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DE670" w14:textId="77777777" w:rsidR="001E6AD6" w:rsidRPr="00C30F63" w:rsidRDefault="001E6AD6" w:rsidP="00C30F63">
      <w:pPr>
        <w:pStyle w:val="Default"/>
        <w:numPr>
          <w:ilvl w:val="0"/>
          <w:numId w:val="1"/>
        </w:numPr>
        <w:tabs>
          <w:tab w:val="left" w:pos="142"/>
        </w:tabs>
        <w:spacing w:line="360" w:lineRule="auto"/>
        <w:ind w:left="567" w:hanging="567"/>
        <w:jc w:val="both"/>
        <w:rPr>
          <w:color w:val="auto"/>
        </w:rPr>
      </w:pPr>
      <w:r w:rsidRPr="00C30F63">
        <w:rPr>
          <w:b/>
          <w:bCs/>
          <w:color w:val="auto"/>
        </w:rPr>
        <w:t>Título de la ponencia:</w:t>
      </w:r>
    </w:p>
    <w:p w14:paraId="2E4E1867" w14:textId="77777777" w:rsidR="001E6AD6" w:rsidRPr="00C30F63" w:rsidRDefault="001E6AD6" w:rsidP="00C30F63">
      <w:pPr>
        <w:pStyle w:val="Default"/>
        <w:tabs>
          <w:tab w:val="left" w:pos="142"/>
        </w:tabs>
        <w:spacing w:after="120" w:line="360" w:lineRule="auto"/>
        <w:ind w:left="567"/>
        <w:jc w:val="both"/>
        <w:rPr>
          <w:color w:val="auto"/>
        </w:rPr>
      </w:pPr>
      <w:r w:rsidRPr="00C30F63">
        <w:rPr>
          <w:bCs/>
          <w:color w:val="auto"/>
        </w:rPr>
        <w:t xml:space="preserve">(Des)control social y </w:t>
      </w:r>
      <w:proofErr w:type="spellStart"/>
      <w:r w:rsidRPr="00C30F63">
        <w:rPr>
          <w:bCs/>
          <w:color w:val="auto"/>
        </w:rPr>
        <w:t>contra-desigualdad</w:t>
      </w:r>
      <w:proofErr w:type="spellEnd"/>
      <w:r w:rsidRPr="00C30F63">
        <w:rPr>
          <w:bCs/>
          <w:color w:val="auto"/>
        </w:rPr>
        <w:t xml:space="preserve"> en experiencias docentes en contextos de encierro. Abordaje desde la Sociología de la Individuación.</w:t>
      </w:r>
    </w:p>
    <w:p w14:paraId="5BEA2576" w14:textId="77777777" w:rsidR="00AE2D9C" w:rsidRPr="00C30F63" w:rsidRDefault="005A2CB0" w:rsidP="00C30F63">
      <w:pPr>
        <w:pStyle w:val="Default"/>
        <w:numPr>
          <w:ilvl w:val="0"/>
          <w:numId w:val="1"/>
        </w:numPr>
        <w:tabs>
          <w:tab w:val="left" w:pos="142"/>
        </w:tabs>
        <w:spacing w:line="360" w:lineRule="auto"/>
        <w:ind w:left="567" w:hanging="567"/>
        <w:jc w:val="both"/>
        <w:rPr>
          <w:color w:val="auto"/>
        </w:rPr>
      </w:pPr>
      <w:r w:rsidRPr="00C30F63">
        <w:rPr>
          <w:b/>
          <w:color w:val="auto"/>
        </w:rPr>
        <w:t>Nombres/s y Apellido/s:</w:t>
      </w:r>
    </w:p>
    <w:p w14:paraId="40ABFF07" w14:textId="77777777" w:rsidR="005A2CB0" w:rsidRPr="00C30F63" w:rsidRDefault="005A2CB0" w:rsidP="00C30F63">
      <w:pPr>
        <w:pStyle w:val="Default"/>
        <w:tabs>
          <w:tab w:val="left" w:pos="142"/>
        </w:tabs>
        <w:spacing w:after="120" w:line="360" w:lineRule="auto"/>
        <w:ind w:left="567"/>
        <w:jc w:val="both"/>
        <w:rPr>
          <w:color w:val="auto"/>
        </w:rPr>
      </w:pPr>
      <w:r w:rsidRPr="00C30F63">
        <w:rPr>
          <w:color w:val="auto"/>
        </w:rPr>
        <w:t>Nicolás Carlos Richter.</w:t>
      </w:r>
    </w:p>
    <w:p w14:paraId="21637D3F" w14:textId="77777777" w:rsidR="00AE2D9C" w:rsidRPr="00C30F63" w:rsidRDefault="00AE2D9C" w:rsidP="00C30F63">
      <w:pPr>
        <w:pStyle w:val="Default"/>
        <w:numPr>
          <w:ilvl w:val="0"/>
          <w:numId w:val="1"/>
        </w:numPr>
        <w:tabs>
          <w:tab w:val="left" w:pos="142"/>
        </w:tabs>
        <w:spacing w:line="360" w:lineRule="auto"/>
        <w:ind w:left="567" w:hanging="567"/>
        <w:jc w:val="both"/>
        <w:rPr>
          <w:color w:val="auto"/>
        </w:rPr>
      </w:pPr>
      <w:r w:rsidRPr="00C30F63">
        <w:rPr>
          <w:b/>
          <w:bCs/>
          <w:color w:val="auto"/>
        </w:rPr>
        <w:t>Afiliación institucional:</w:t>
      </w:r>
    </w:p>
    <w:p w14:paraId="00C89B3A" w14:textId="77777777" w:rsidR="005A2CB0" w:rsidRPr="00C30F63" w:rsidRDefault="005A2CB0" w:rsidP="00C30F63">
      <w:pPr>
        <w:pStyle w:val="Default"/>
        <w:tabs>
          <w:tab w:val="left" w:pos="142"/>
        </w:tabs>
        <w:spacing w:after="120" w:line="360" w:lineRule="auto"/>
        <w:ind w:left="567"/>
        <w:jc w:val="both"/>
        <w:rPr>
          <w:color w:val="auto"/>
        </w:rPr>
      </w:pPr>
      <w:r w:rsidRPr="00C30F63">
        <w:rPr>
          <w:bCs/>
          <w:color w:val="auto"/>
        </w:rPr>
        <w:t>Universidad de Buenos Aires, Facultad de Ciencias Sociales</w:t>
      </w:r>
      <w:r w:rsidR="005D4FDD" w:rsidRPr="00C30F63">
        <w:rPr>
          <w:bCs/>
          <w:color w:val="auto"/>
        </w:rPr>
        <w:t>, Instituto de Investigaciones Gino Germani</w:t>
      </w:r>
      <w:r w:rsidRPr="00C30F63">
        <w:rPr>
          <w:bCs/>
          <w:color w:val="auto"/>
        </w:rPr>
        <w:t xml:space="preserve">. </w:t>
      </w:r>
    </w:p>
    <w:p w14:paraId="2AF7C289" w14:textId="77777777" w:rsidR="00AE2D9C" w:rsidRPr="00C30F63" w:rsidRDefault="005A2CB0" w:rsidP="00C30F63">
      <w:pPr>
        <w:pStyle w:val="Default"/>
        <w:numPr>
          <w:ilvl w:val="0"/>
          <w:numId w:val="1"/>
        </w:numPr>
        <w:tabs>
          <w:tab w:val="left" w:pos="142"/>
        </w:tabs>
        <w:spacing w:line="360" w:lineRule="auto"/>
        <w:ind w:left="567" w:hanging="567"/>
        <w:jc w:val="both"/>
        <w:rPr>
          <w:color w:val="auto"/>
        </w:rPr>
      </w:pPr>
      <w:r w:rsidRPr="00C30F63">
        <w:rPr>
          <w:b/>
          <w:bCs/>
          <w:color w:val="auto"/>
        </w:rPr>
        <w:t>Correo electrónico</w:t>
      </w:r>
      <w:r w:rsidR="00AE2D9C" w:rsidRPr="00C30F63">
        <w:rPr>
          <w:b/>
          <w:bCs/>
          <w:color w:val="auto"/>
        </w:rPr>
        <w:t>:</w:t>
      </w:r>
    </w:p>
    <w:p w14:paraId="7DEEB9AA" w14:textId="77777777" w:rsidR="005A2CB0" w:rsidRPr="00C30F63" w:rsidRDefault="005A2CB0" w:rsidP="00C30F63">
      <w:pPr>
        <w:pStyle w:val="Default"/>
        <w:tabs>
          <w:tab w:val="left" w:pos="142"/>
        </w:tabs>
        <w:spacing w:after="120" w:line="360" w:lineRule="auto"/>
        <w:ind w:left="567"/>
        <w:jc w:val="both"/>
        <w:rPr>
          <w:color w:val="auto"/>
        </w:rPr>
      </w:pPr>
      <w:hyperlink r:id="rId8" w:history="1">
        <w:r w:rsidRPr="00C30F63">
          <w:rPr>
            <w:rStyle w:val="Hipervnculo"/>
            <w:bCs/>
          </w:rPr>
          <w:t>nrichter@sociales.uba.ar</w:t>
        </w:r>
      </w:hyperlink>
    </w:p>
    <w:p w14:paraId="4A55A76E" w14:textId="77777777" w:rsidR="00AE2D9C" w:rsidRPr="00C30F63" w:rsidRDefault="005A2CB0" w:rsidP="00C30F63">
      <w:pPr>
        <w:pStyle w:val="Default"/>
        <w:numPr>
          <w:ilvl w:val="0"/>
          <w:numId w:val="1"/>
        </w:numPr>
        <w:tabs>
          <w:tab w:val="left" w:pos="142"/>
        </w:tabs>
        <w:spacing w:line="360" w:lineRule="auto"/>
        <w:ind w:left="567" w:hanging="567"/>
        <w:jc w:val="both"/>
        <w:rPr>
          <w:color w:val="auto"/>
        </w:rPr>
      </w:pPr>
      <w:r w:rsidRPr="00C30F63">
        <w:rPr>
          <w:b/>
          <w:bCs/>
          <w:color w:val="auto"/>
        </w:rPr>
        <w:t>Máximo título alcanzado o formación académica en curso</w:t>
      </w:r>
      <w:r w:rsidR="00BB69B0" w:rsidRPr="00C30F63">
        <w:rPr>
          <w:b/>
          <w:color w:val="auto"/>
        </w:rPr>
        <w:t>:</w:t>
      </w:r>
    </w:p>
    <w:p w14:paraId="53050226" w14:textId="77777777" w:rsidR="00BB69B0" w:rsidRPr="00C30F63" w:rsidRDefault="00BB69B0" w:rsidP="00C30F63">
      <w:pPr>
        <w:pStyle w:val="Default"/>
        <w:tabs>
          <w:tab w:val="left" w:pos="142"/>
        </w:tabs>
        <w:spacing w:after="120" w:line="360" w:lineRule="auto"/>
        <w:ind w:left="567"/>
        <w:jc w:val="both"/>
        <w:rPr>
          <w:color w:val="auto"/>
        </w:rPr>
      </w:pPr>
      <w:r w:rsidRPr="00C30F63">
        <w:rPr>
          <w:color w:val="auto"/>
        </w:rPr>
        <w:t>Lic. y Prof. en Relaciones del Trabajo (UBA-FSOC); Lic. en Gestión Educativa (</w:t>
      </w:r>
      <w:proofErr w:type="spellStart"/>
      <w:r w:rsidRPr="00C30F63">
        <w:rPr>
          <w:color w:val="auto"/>
        </w:rPr>
        <w:t>UNLa</w:t>
      </w:r>
      <w:proofErr w:type="spellEnd"/>
      <w:r w:rsidRPr="00C30F63">
        <w:rPr>
          <w:color w:val="auto"/>
        </w:rPr>
        <w:t>); becario doctoral (UBA-FSOC-IIGG).</w:t>
      </w:r>
    </w:p>
    <w:p w14:paraId="023047D2" w14:textId="77777777" w:rsidR="00AE2D9C" w:rsidRPr="00C30F63" w:rsidRDefault="00BB69B0" w:rsidP="00C30F63">
      <w:pPr>
        <w:pStyle w:val="Default"/>
        <w:numPr>
          <w:ilvl w:val="0"/>
          <w:numId w:val="1"/>
        </w:numPr>
        <w:tabs>
          <w:tab w:val="left" w:pos="142"/>
        </w:tabs>
        <w:spacing w:line="360" w:lineRule="auto"/>
        <w:ind w:left="567" w:hanging="567"/>
        <w:jc w:val="both"/>
        <w:rPr>
          <w:color w:val="auto"/>
        </w:rPr>
      </w:pPr>
      <w:r w:rsidRPr="00C30F63">
        <w:rPr>
          <w:b/>
          <w:bCs/>
          <w:color w:val="auto"/>
        </w:rPr>
        <w:t>Eje problemático propuesto</w:t>
      </w:r>
      <w:r w:rsidR="00AE2D9C" w:rsidRPr="00C30F63">
        <w:rPr>
          <w:b/>
          <w:bCs/>
          <w:color w:val="auto"/>
        </w:rPr>
        <w:t>:</w:t>
      </w:r>
    </w:p>
    <w:p w14:paraId="113FF8DE" w14:textId="77777777" w:rsidR="00BB69B0" w:rsidRPr="00C30F63" w:rsidRDefault="00BB69B0" w:rsidP="00C30F63">
      <w:pPr>
        <w:pStyle w:val="Default"/>
        <w:tabs>
          <w:tab w:val="left" w:pos="142"/>
        </w:tabs>
        <w:spacing w:after="120" w:line="360" w:lineRule="auto"/>
        <w:ind w:left="567"/>
        <w:jc w:val="both"/>
        <w:rPr>
          <w:color w:val="auto"/>
        </w:rPr>
      </w:pPr>
      <w:r w:rsidRPr="00C30F63">
        <w:rPr>
          <w:bCs/>
        </w:rPr>
        <w:t>EJE 2. PODER, DOMINACIÓN Y VIOLENCIA</w:t>
      </w:r>
      <w:r w:rsidRPr="00C30F63">
        <w:rPr>
          <w:b/>
          <w:bCs/>
          <w:color w:val="auto"/>
        </w:rPr>
        <w:t>.</w:t>
      </w:r>
    </w:p>
    <w:p w14:paraId="188D6B68" w14:textId="77777777" w:rsidR="00AE2D9C" w:rsidRPr="00C30F63" w:rsidRDefault="00BB69B0" w:rsidP="00C30F63">
      <w:pPr>
        <w:pStyle w:val="Default"/>
        <w:numPr>
          <w:ilvl w:val="0"/>
          <w:numId w:val="1"/>
        </w:numPr>
        <w:tabs>
          <w:tab w:val="left" w:pos="142"/>
        </w:tabs>
        <w:spacing w:line="360" w:lineRule="auto"/>
        <w:ind w:left="567" w:hanging="567"/>
        <w:jc w:val="both"/>
        <w:rPr>
          <w:color w:val="auto"/>
        </w:rPr>
      </w:pPr>
      <w:r w:rsidRPr="00C30F63">
        <w:rPr>
          <w:b/>
          <w:bCs/>
          <w:color w:val="auto"/>
        </w:rPr>
        <w:t>Resumen:</w:t>
      </w:r>
    </w:p>
    <w:p w14:paraId="045E2B7C" w14:textId="77777777" w:rsidR="00AE2D9C" w:rsidRPr="00C30F63" w:rsidRDefault="00CC033B" w:rsidP="00C30F63">
      <w:pPr>
        <w:pStyle w:val="Default"/>
        <w:tabs>
          <w:tab w:val="left" w:pos="142"/>
        </w:tabs>
        <w:spacing w:after="120" w:line="360" w:lineRule="auto"/>
        <w:ind w:left="567"/>
        <w:jc w:val="both"/>
        <w:rPr>
          <w:color w:val="auto"/>
        </w:rPr>
      </w:pPr>
      <w:r w:rsidRPr="00C30F63">
        <w:rPr>
          <w:color w:val="auto"/>
        </w:rPr>
        <w:t>En esta ponencia presento avances de mi tesis doctoral</w:t>
      </w:r>
      <w:r w:rsidR="00AE2D9C" w:rsidRPr="00C30F63">
        <w:rPr>
          <w:color w:val="auto"/>
        </w:rPr>
        <w:t xml:space="preserve"> como becario </w:t>
      </w:r>
      <w:proofErr w:type="spellStart"/>
      <w:r w:rsidR="00AE2D9C" w:rsidRPr="00C30F63">
        <w:rPr>
          <w:color w:val="auto"/>
        </w:rPr>
        <w:t>UBACyT</w:t>
      </w:r>
      <w:proofErr w:type="spellEnd"/>
      <w:r w:rsidR="00AE2D9C" w:rsidRPr="00C30F63">
        <w:rPr>
          <w:color w:val="auto"/>
        </w:rPr>
        <w:t xml:space="preserve"> </w:t>
      </w:r>
      <w:r w:rsidR="00A92AEC" w:rsidRPr="00C30F63">
        <w:rPr>
          <w:color w:val="auto"/>
        </w:rPr>
        <w:t>(</w:t>
      </w:r>
      <w:r w:rsidR="00AE2D9C" w:rsidRPr="00C30F63">
        <w:rPr>
          <w:color w:val="auto"/>
        </w:rPr>
        <w:t>2020-2023</w:t>
      </w:r>
      <w:r w:rsidR="00A92AEC" w:rsidRPr="00C30F63">
        <w:rPr>
          <w:color w:val="auto"/>
        </w:rPr>
        <w:t>)</w:t>
      </w:r>
      <w:r w:rsidR="00AE2D9C" w:rsidRPr="00C30F63">
        <w:rPr>
          <w:color w:val="auto"/>
        </w:rPr>
        <w:t>,</w:t>
      </w:r>
      <w:r w:rsidRPr="00C30F63">
        <w:rPr>
          <w:color w:val="auto"/>
        </w:rPr>
        <w:t xml:space="preserve"> y de un proyecto de investigación</w:t>
      </w:r>
      <w:r w:rsidR="00AE2D9C" w:rsidRPr="00C30F63">
        <w:rPr>
          <w:color w:val="auto"/>
        </w:rPr>
        <w:t xml:space="preserve"> en curso</w:t>
      </w:r>
      <w:r w:rsidR="00A92AEC" w:rsidRPr="00C30F63">
        <w:rPr>
          <w:color w:val="auto"/>
        </w:rPr>
        <w:t xml:space="preserve"> (2022-2024)</w:t>
      </w:r>
      <w:r w:rsidRPr="00C30F63">
        <w:rPr>
          <w:color w:val="auto"/>
        </w:rPr>
        <w:t xml:space="preserve"> acreditado por la Facultad de Ciencias Sociales de la Universidad de Buenos Aires y radicado en la carrera de Sociología de esa misma casa de estudios. </w:t>
      </w:r>
      <w:r w:rsidR="009C5C18" w:rsidRPr="00C30F63">
        <w:rPr>
          <w:color w:val="auto"/>
        </w:rPr>
        <w:t xml:space="preserve">En términos generales, me propongo analizar las experiencias de docentes en prisiones situadas en el Área Metropolitana de Buenos Aires. </w:t>
      </w:r>
      <w:r w:rsidR="007F14EE" w:rsidRPr="00C30F63">
        <w:rPr>
          <w:color w:val="auto"/>
        </w:rPr>
        <w:t>Aquí</w:t>
      </w:r>
      <w:r w:rsidRPr="00C30F63">
        <w:rPr>
          <w:color w:val="auto"/>
        </w:rPr>
        <w:t xml:space="preserve"> me detengo en lo que categorizo como la </w:t>
      </w:r>
      <w:r w:rsidRPr="00C30F63">
        <w:rPr>
          <w:i/>
          <w:color w:val="auto"/>
        </w:rPr>
        <w:t>prueba del (des)control social</w:t>
      </w:r>
      <w:r w:rsidRPr="00C30F63">
        <w:rPr>
          <w:color w:val="auto"/>
        </w:rPr>
        <w:t xml:space="preserve"> </w:t>
      </w:r>
      <w:r w:rsidR="00A35586" w:rsidRPr="00C30F63">
        <w:rPr>
          <w:color w:val="auto"/>
        </w:rPr>
        <w:t>como parte</w:t>
      </w:r>
      <w:r w:rsidRPr="00C30F63">
        <w:rPr>
          <w:color w:val="auto"/>
        </w:rPr>
        <w:t xml:space="preserve"> de las </w:t>
      </w:r>
      <w:r w:rsidRPr="00C30F63">
        <w:rPr>
          <w:i/>
          <w:color w:val="auto"/>
        </w:rPr>
        <w:t>pruebas específicas</w:t>
      </w:r>
      <w:r w:rsidRPr="00C30F63">
        <w:rPr>
          <w:color w:val="auto"/>
        </w:rPr>
        <w:t xml:space="preserve"> que deben enfrentar les docentes de nivel secundario y superior en distintas cárceles argentinas</w:t>
      </w:r>
      <w:r w:rsidR="00AE2D9C" w:rsidRPr="00C30F63">
        <w:rPr>
          <w:color w:val="auto"/>
        </w:rPr>
        <w:t xml:space="preserve"> bajo la esfera del Servicio Penitenciario Bonaerense</w:t>
      </w:r>
      <w:r w:rsidR="00FE4428" w:rsidRPr="00C30F63">
        <w:rPr>
          <w:color w:val="auto"/>
        </w:rPr>
        <w:t xml:space="preserve"> (SPB)</w:t>
      </w:r>
      <w:r w:rsidR="00AE2D9C" w:rsidRPr="00C30F63">
        <w:rPr>
          <w:color w:val="auto"/>
        </w:rPr>
        <w:t>, por un lado, y Federal</w:t>
      </w:r>
      <w:r w:rsidR="00FE4428" w:rsidRPr="00C30F63">
        <w:rPr>
          <w:color w:val="auto"/>
        </w:rPr>
        <w:t xml:space="preserve"> (SPF)</w:t>
      </w:r>
      <w:r w:rsidR="00AE2D9C" w:rsidRPr="00C30F63">
        <w:rPr>
          <w:color w:val="auto"/>
        </w:rPr>
        <w:t>, por el otro.</w:t>
      </w:r>
      <w:r w:rsidR="00A35586" w:rsidRPr="00C30F63">
        <w:rPr>
          <w:color w:val="auto"/>
        </w:rPr>
        <w:t xml:space="preserve"> El trabajo inductivo para inferir dichas pruebas se enmarca en una vocación sociológica que pretende dar cuenta, dentro de procesos de individuación, de cuáles son las </w:t>
      </w:r>
      <w:r w:rsidR="00A35586" w:rsidRPr="00C30F63">
        <w:rPr>
          <w:i/>
          <w:color w:val="auto"/>
        </w:rPr>
        <w:t>pruebas comunes</w:t>
      </w:r>
      <w:r w:rsidR="00A35586" w:rsidRPr="00C30F63">
        <w:rPr>
          <w:color w:val="auto"/>
        </w:rPr>
        <w:t xml:space="preserve"> en una sociedad determinada, y qué respuestas ofrecen las actrices y los actores a las mismas. </w:t>
      </w:r>
      <w:r w:rsidR="00FE4428" w:rsidRPr="00C30F63">
        <w:rPr>
          <w:color w:val="auto"/>
        </w:rPr>
        <w:t>Para ello</w:t>
      </w:r>
      <w:r w:rsidR="007F14EE" w:rsidRPr="00C30F63">
        <w:rPr>
          <w:color w:val="auto"/>
        </w:rPr>
        <w:t xml:space="preserve">, en un primer momento hago un recorrido somero por las principales corrientes y propuestas que trabajan la cuestión del </w:t>
      </w:r>
      <w:r w:rsidR="007F14EE" w:rsidRPr="00C30F63">
        <w:rPr>
          <w:i/>
          <w:color w:val="auto"/>
        </w:rPr>
        <w:t>control social</w:t>
      </w:r>
      <w:r w:rsidR="007F14EE" w:rsidRPr="00C30F63">
        <w:rPr>
          <w:color w:val="auto"/>
        </w:rPr>
        <w:t xml:space="preserve"> como </w:t>
      </w:r>
      <w:r w:rsidR="007F14EE" w:rsidRPr="00C30F63">
        <w:rPr>
          <w:color w:val="auto"/>
        </w:rPr>
        <w:lastRenderedPageBreak/>
        <w:t>problema, para dar paso, en un segundo momento, a la emergencia y constitución del (des)control social como prueba</w:t>
      </w:r>
      <w:r w:rsidR="00FE4428" w:rsidRPr="00C30F63">
        <w:rPr>
          <w:color w:val="auto"/>
        </w:rPr>
        <w:t xml:space="preserve"> específica</w:t>
      </w:r>
      <w:r w:rsidR="007F14EE" w:rsidRPr="00C30F63">
        <w:rPr>
          <w:color w:val="auto"/>
        </w:rPr>
        <w:t xml:space="preserve"> en las experiencias docentes analizadas. Para finalizar, sistematizo en la noción de </w:t>
      </w:r>
      <w:r w:rsidR="007F14EE" w:rsidRPr="00C30F63">
        <w:rPr>
          <w:i/>
          <w:color w:val="auto"/>
        </w:rPr>
        <w:t>contra-desigualdad</w:t>
      </w:r>
      <w:r w:rsidR="007F14EE" w:rsidRPr="00C30F63">
        <w:rPr>
          <w:color w:val="auto"/>
        </w:rPr>
        <w:t xml:space="preserve"> los rasgos más significativos de las formas en que les docentes responden a </w:t>
      </w:r>
      <w:r w:rsidR="00FE4428" w:rsidRPr="00C30F63">
        <w:rPr>
          <w:color w:val="auto"/>
        </w:rPr>
        <w:t>aquella</w:t>
      </w:r>
      <w:r w:rsidR="007F14EE" w:rsidRPr="00C30F63">
        <w:rPr>
          <w:color w:val="auto"/>
        </w:rPr>
        <w:t xml:space="preserve"> prueba.</w:t>
      </w:r>
      <w:r w:rsidR="00FE4428" w:rsidRPr="00C30F63">
        <w:rPr>
          <w:color w:val="auto"/>
        </w:rPr>
        <w:t xml:space="preserve"> </w:t>
      </w:r>
      <w:r w:rsidR="00B00603" w:rsidRPr="00C30F63">
        <w:rPr>
          <w:color w:val="auto"/>
        </w:rPr>
        <w:t xml:space="preserve">Me posiciono en la intersección entre teoría fundamentada y hermenéutica para analizar críticamente y desde una perspectiva eminentemente cualitativa, los sentidos que construyen las actrices y los actores en sus experiencias. </w:t>
      </w:r>
      <w:r w:rsidR="00FE4428" w:rsidRPr="00C30F63">
        <w:rPr>
          <w:color w:val="auto"/>
        </w:rPr>
        <w:t xml:space="preserve">El corpus de análisis está conformado por veinte entrevistas en profundidad a docentes de niveles secundario y superior del SPB y el SPF. Para la reducción de datos y codificación utilizo el programa </w:t>
      </w:r>
      <w:proofErr w:type="spellStart"/>
      <w:r w:rsidR="00FE4428" w:rsidRPr="00C30F63">
        <w:rPr>
          <w:color w:val="auto"/>
        </w:rPr>
        <w:t>Atlas.ti</w:t>
      </w:r>
      <w:proofErr w:type="spellEnd"/>
      <w:r w:rsidR="00FE4428" w:rsidRPr="00C30F63">
        <w:rPr>
          <w:color w:val="auto"/>
        </w:rPr>
        <w:t xml:space="preserve"> 7.0.</w:t>
      </w:r>
    </w:p>
    <w:p w14:paraId="2BB6D817" w14:textId="77777777" w:rsidR="00542B4E" w:rsidRPr="00C30F63" w:rsidRDefault="00542B4E" w:rsidP="00C30F63">
      <w:pPr>
        <w:pStyle w:val="Default"/>
        <w:numPr>
          <w:ilvl w:val="0"/>
          <w:numId w:val="1"/>
        </w:numPr>
        <w:tabs>
          <w:tab w:val="left" w:pos="142"/>
        </w:tabs>
        <w:spacing w:line="360" w:lineRule="auto"/>
        <w:ind w:left="567" w:hanging="567"/>
        <w:jc w:val="both"/>
        <w:rPr>
          <w:color w:val="auto"/>
        </w:rPr>
      </w:pPr>
      <w:r w:rsidRPr="00C30F63">
        <w:rPr>
          <w:b/>
          <w:bCs/>
          <w:color w:val="auto"/>
        </w:rPr>
        <w:t>Palabras clave:</w:t>
      </w:r>
    </w:p>
    <w:p w14:paraId="208CABFF" w14:textId="77777777" w:rsidR="00322C63" w:rsidRPr="00C30F63" w:rsidRDefault="00542B4E" w:rsidP="00C30F63">
      <w:pPr>
        <w:pStyle w:val="Default"/>
        <w:tabs>
          <w:tab w:val="left" w:pos="142"/>
        </w:tabs>
        <w:spacing w:after="120" w:line="360" w:lineRule="auto"/>
        <w:ind w:left="567"/>
        <w:jc w:val="both"/>
        <w:rPr>
          <w:bCs/>
          <w:color w:val="auto"/>
        </w:rPr>
      </w:pPr>
      <w:r w:rsidRPr="00C30F63">
        <w:rPr>
          <w:bCs/>
          <w:color w:val="auto"/>
        </w:rPr>
        <w:t>SOCIOLOGÍA DE LA INDIVIDUACIÓN – EXPERIENCIA DOCENTE – EDUACIÓN EN PRISIONES</w:t>
      </w:r>
    </w:p>
    <w:p w14:paraId="4FAF0D9C" w14:textId="77777777" w:rsidR="005A2CB0" w:rsidRPr="00C30F63" w:rsidRDefault="00322C63" w:rsidP="00C30F63">
      <w:pPr>
        <w:pStyle w:val="Ttulo2"/>
        <w:spacing w:before="0" w:after="120" w:line="360" w:lineRule="auto"/>
        <w:jc w:val="both"/>
        <w:rPr>
          <w:rFonts w:ascii="Times New Roman" w:hAnsi="Times New Roman"/>
          <w:sz w:val="24"/>
          <w:szCs w:val="24"/>
        </w:rPr>
      </w:pPr>
      <w:r w:rsidRPr="00C30F63">
        <w:rPr>
          <w:rFonts w:ascii="Times New Roman" w:hAnsi="Times New Roman"/>
          <w:sz w:val="24"/>
          <w:szCs w:val="24"/>
        </w:rPr>
        <w:br w:type="page"/>
      </w:r>
      <w:bookmarkStart w:id="0" w:name="_Toc114484626"/>
      <w:bookmarkStart w:id="1" w:name="_Toc114694754"/>
      <w:r w:rsidRPr="00C30F63">
        <w:rPr>
          <w:rFonts w:ascii="Times New Roman" w:hAnsi="Times New Roman"/>
          <w:sz w:val="24"/>
          <w:szCs w:val="24"/>
        </w:rPr>
        <w:lastRenderedPageBreak/>
        <w:t>El control social como problema</w:t>
      </w:r>
      <w:bookmarkEnd w:id="0"/>
      <w:bookmarkEnd w:id="1"/>
    </w:p>
    <w:p w14:paraId="09A9E773" w14:textId="77777777" w:rsidR="00CB2058" w:rsidRPr="00C30F63" w:rsidRDefault="00184DAA" w:rsidP="00C30F63">
      <w:pPr>
        <w:spacing w:after="120" w:line="360" w:lineRule="auto"/>
        <w:jc w:val="both"/>
        <w:rPr>
          <w:rFonts w:ascii="Times New Roman" w:hAnsi="Times New Roman"/>
          <w:sz w:val="24"/>
          <w:szCs w:val="24"/>
        </w:rPr>
      </w:pPr>
      <w:r w:rsidRPr="00C30F63">
        <w:rPr>
          <w:rFonts w:ascii="Times New Roman" w:hAnsi="Times New Roman"/>
          <w:sz w:val="24"/>
          <w:szCs w:val="24"/>
        </w:rPr>
        <w:t>Dentro del instrumental teórico-conceptual que despliega Dubet</w:t>
      </w:r>
      <w:r w:rsidR="000A3432" w:rsidRPr="00C30F63">
        <w:rPr>
          <w:rFonts w:ascii="Times New Roman" w:hAnsi="Times New Roman"/>
          <w:sz w:val="24"/>
          <w:szCs w:val="24"/>
        </w:rPr>
        <w:t xml:space="preserve"> (1994; 2006; 2013)</w:t>
      </w:r>
      <w:r w:rsidRPr="00C30F63">
        <w:rPr>
          <w:rFonts w:ascii="Times New Roman" w:hAnsi="Times New Roman"/>
          <w:sz w:val="24"/>
          <w:szCs w:val="24"/>
        </w:rPr>
        <w:t xml:space="preserve"> en el marco de su </w:t>
      </w:r>
      <w:r w:rsidRPr="00C30F63">
        <w:rPr>
          <w:rFonts w:ascii="Times New Roman" w:hAnsi="Times New Roman"/>
          <w:i/>
          <w:sz w:val="24"/>
          <w:szCs w:val="24"/>
        </w:rPr>
        <w:t>sociología de la experiencia social</w:t>
      </w:r>
      <w:r w:rsidR="000A3432" w:rsidRPr="00C30F63">
        <w:rPr>
          <w:rFonts w:ascii="Times New Roman" w:hAnsi="Times New Roman"/>
          <w:sz w:val="24"/>
          <w:szCs w:val="24"/>
        </w:rPr>
        <w:t>,</w:t>
      </w:r>
      <w:r w:rsidRPr="00C30F63">
        <w:rPr>
          <w:rFonts w:ascii="Times New Roman" w:hAnsi="Times New Roman"/>
          <w:sz w:val="24"/>
          <w:szCs w:val="24"/>
        </w:rPr>
        <w:t xml:space="preserve"> y específicamente para pensar el declive de las instituciones y del </w:t>
      </w:r>
      <w:r w:rsidRPr="00C30F63">
        <w:rPr>
          <w:rFonts w:ascii="Times New Roman" w:hAnsi="Times New Roman"/>
          <w:i/>
          <w:sz w:val="24"/>
          <w:szCs w:val="24"/>
        </w:rPr>
        <w:t>programa institucional</w:t>
      </w:r>
      <w:r w:rsidR="003E4071" w:rsidRPr="00C30F63">
        <w:rPr>
          <w:rFonts w:ascii="Times New Roman" w:hAnsi="Times New Roman"/>
          <w:i/>
          <w:sz w:val="24"/>
          <w:szCs w:val="24"/>
        </w:rPr>
        <w:t xml:space="preserve"> </w:t>
      </w:r>
      <w:r w:rsidR="003E4071" w:rsidRPr="00C30F63">
        <w:rPr>
          <w:rFonts w:ascii="Times New Roman" w:hAnsi="Times New Roman"/>
          <w:sz w:val="24"/>
          <w:szCs w:val="24"/>
        </w:rPr>
        <w:t>(PI, en adelante)</w:t>
      </w:r>
      <w:r w:rsidR="000A3432" w:rsidRPr="00C30F63">
        <w:rPr>
          <w:rFonts w:ascii="Times New Roman" w:hAnsi="Times New Roman"/>
          <w:sz w:val="24"/>
          <w:szCs w:val="24"/>
        </w:rPr>
        <w:t xml:space="preserve">, la categoría de </w:t>
      </w:r>
      <w:r w:rsidR="000A3432" w:rsidRPr="00C30F63">
        <w:rPr>
          <w:rFonts w:ascii="Times New Roman" w:hAnsi="Times New Roman"/>
          <w:i/>
          <w:sz w:val="24"/>
          <w:szCs w:val="24"/>
        </w:rPr>
        <w:t>control social</w:t>
      </w:r>
      <w:r w:rsidR="000A3432" w:rsidRPr="00C30F63">
        <w:rPr>
          <w:rFonts w:ascii="Times New Roman" w:hAnsi="Times New Roman"/>
          <w:sz w:val="24"/>
          <w:szCs w:val="24"/>
        </w:rPr>
        <w:t xml:space="preserve"> ocupa un lugar protagónico, sobre todo para dar cuenta de las</w:t>
      </w:r>
      <w:r w:rsidR="00E028D7" w:rsidRPr="00C30F63">
        <w:rPr>
          <w:rFonts w:ascii="Times New Roman" w:hAnsi="Times New Roman"/>
          <w:sz w:val="24"/>
          <w:szCs w:val="24"/>
        </w:rPr>
        <w:t xml:space="preserve"> </w:t>
      </w:r>
      <w:r w:rsidR="00E028D7" w:rsidRPr="00C30F63">
        <w:rPr>
          <w:rFonts w:ascii="Times New Roman" w:hAnsi="Times New Roman"/>
          <w:i/>
          <w:sz w:val="24"/>
          <w:szCs w:val="24"/>
        </w:rPr>
        <w:t>lógicas de acción</w:t>
      </w:r>
      <w:r w:rsidR="00E028D7" w:rsidRPr="00C30F63">
        <w:rPr>
          <w:rFonts w:ascii="Times New Roman" w:hAnsi="Times New Roman"/>
          <w:sz w:val="24"/>
          <w:szCs w:val="24"/>
        </w:rPr>
        <w:t xml:space="preserve"> implicadas en las</w:t>
      </w:r>
      <w:r w:rsidR="000A3432" w:rsidRPr="00C30F63">
        <w:rPr>
          <w:rFonts w:ascii="Times New Roman" w:hAnsi="Times New Roman"/>
          <w:sz w:val="24"/>
          <w:szCs w:val="24"/>
        </w:rPr>
        <w:t xml:space="preserve"> experiencias de </w:t>
      </w:r>
      <w:r w:rsidR="000A3432" w:rsidRPr="00C30F63">
        <w:rPr>
          <w:rFonts w:ascii="Times New Roman" w:hAnsi="Times New Roman"/>
          <w:i/>
          <w:sz w:val="24"/>
          <w:szCs w:val="24"/>
        </w:rPr>
        <w:t>trabajo sobre los otros</w:t>
      </w:r>
      <w:r w:rsidR="000A3432" w:rsidRPr="00C30F63">
        <w:rPr>
          <w:rFonts w:ascii="Times New Roman" w:hAnsi="Times New Roman"/>
          <w:sz w:val="24"/>
          <w:szCs w:val="24"/>
        </w:rPr>
        <w:t>.</w:t>
      </w:r>
      <w:r w:rsidR="00E028D7" w:rsidRPr="00C30F63">
        <w:rPr>
          <w:rFonts w:ascii="Times New Roman" w:hAnsi="Times New Roman"/>
          <w:sz w:val="24"/>
          <w:szCs w:val="24"/>
        </w:rPr>
        <w:t xml:space="preserve"> Más allá de esto, y sin bien la propuesta y la perspectiva de Dubet son centrales como inspiración y marco teórico de mis investigaciones, </w:t>
      </w:r>
      <w:r w:rsidR="001E143C" w:rsidRPr="00C30F63">
        <w:rPr>
          <w:rFonts w:ascii="Times New Roman" w:hAnsi="Times New Roman"/>
          <w:sz w:val="24"/>
          <w:szCs w:val="24"/>
        </w:rPr>
        <w:t xml:space="preserve">en Ciencias Sociales </w:t>
      </w:r>
      <w:r w:rsidR="00E028D7" w:rsidRPr="00C30F63">
        <w:rPr>
          <w:rFonts w:ascii="Times New Roman" w:hAnsi="Times New Roman"/>
          <w:sz w:val="24"/>
          <w:szCs w:val="24"/>
        </w:rPr>
        <w:t xml:space="preserve">existe una serie de trabajos anteriores y distintos, tanto </w:t>
      </w:r>
      <w:r w:rsidR="001E143C" w:rsidRPr="00C30F63">
        <w:rPr>
          <w:rFonts w:ascii="Times New Roman" w:hAnsi="Times New Roman"/>
          <w:sz w:val="24"/>
          <w:szCs w:val="24"/>
        </w:rPr>
        <w:t xml:space="preserve">metodológicamente </w:t>
      </w:r>
      <w:proofErr w:type="gramStart"/>
      <w:r w:rsidR="001E143C" w:rsidRPr="00C30F63">
        <w:rPr>
          <w:rFonts w:ascii="Times New Roman" w:hAnsi="Times New Roman"/>
          <w:sz w:val="24"/>
          <w:szCs w:val="24"/>
        </w:rPr>
        <w:t>cuanto</w:t>
      </w:r>
      <w:proofErr w:type="gramEnd"/>
      <w:r w:rsidR="001E143C" w:rsidRPr="00C30F63">
        <w:rPr>
          <w:rFonts w:ascii="Times New Roman" w:hAnsi="Times New Roman"/>
          <w:sz w:val="24"/>
          <w:szCs w:val="24"/>
        </w:rPr>
        <w:t xml:space="preserve"> en posicionamientos teóricos e incluso políticos, que merecen atención </w:t>
      </w:r>
      <w:r w:rsidR="00CB2058" w:rsidRPr="00C30F63">
        <w:rPr>
          <w:rFonts w:ascii="Times New Roman" w:hAnsi="Times New Roman"/>
          <w:sz w:val="24"/>
          <w:szCs w:val="24"/>
        </w:rPr>
        <w:t>a la hora de tematizar y problematizar la noción de control social.</w:t>
      </w:r>
    </w:p>
    <w:p w14:paraId="5620EF15" w14:textId="6CC53062" w:rsidR="000A3432" w:rsidRPr="00C30F63" w:rsidRDefault="00CB2058" w:rsidP="00C30F63">
      <w:pPr>
        <w:spacing w:after="120" w:line="360" w:lineRule="auto"/>
        <w:jc w:val="both"/>
        <w:rPr>
          <w:rFonts w:ascii="Times New Roman" w:hAnsi="Times New Roman"/>
          <w:sz w:val="24"/>
          <w:szCs w:val="24"/>
        </w:rPr>
      </w:pPr>
      <w:r w:rsidRPr="00C30F63">
        <w:rPr>
          <w:rFonts w:ascii="Times New Roman" w:hAnsi="Times New Roman"/>
          <w:sz w:val="24"/>
          <w:szCs w:val="24"/>
        </w:rPr>
        <w:t>En un recorrido no exhaustivo p</w:t>
      </w:r>
      <w:r w:rsidR="00FE152D" w:rsidRPr="00C30F63">
        <w:rPr>
          <w:rFonts w:ascii="Times New Roman" w:hAnsi="Times New Roman"/>
          <w:sz w:val="24"/>
          <w:szCs w:val="24"/>
        </w:rPr>
        <w:t>or</w:t>
      </w:r>
      <w:r w:rsidR="005F271F" w:rsidRPr="00C30F63">
        <w:rPr>
          <w:rFonts w:ascii="Times New Roman" w:hAnsi="Times New Roman"/>
          <w:sz w:val="24"/>
          <w:szCs w:val="24"/>
        </w:rPr>
        <w:t xml:space="preserve"> algunas de</w:t>
      </w:r>
      <w:r w:rsidR="00FE152D" w:rsidRPr="00C30F63">
        <w:rPr>
          <w:rFonts w:ascii="Times New Roman" w:hAnsi="Times New Roman"/>
          <w:sz w:val="24"/>
          <w:szCs w:val="24"/>
        </w:rPr>
        <w:t xml:space="preserve"> las principales corrientes </w:t>
      </w:r>
      <w:r w:rsidR="005F271F" w:rsidRPr="00C30F63">
        <w:rPr>
          <w:rFonts w:ascii="Times New Roman" w:hAnsi="Times New Roman"/>
          <w:sz w:val="24"/>
          <w:szCs w:val="24"/>
        </w:rPr>
        <w:t>que se interesan</w:t>
      </w:r>
      <w:r w:rsidR="00A679CA" w:rsidRPr="00C30F63">
        <w:rPr>
          <w:rFonts w:ascii="Times New Roman" w:hAnsi="Times New Roman"/>
          <w:sz w:val="24"/>
          <w:szCs w:val="24"/>
        </w:rPr>
        <w:t>, explícita o implícitamente,</w:t>
      </w:r>
      <w:r w:rsidR="005F271F" w:rsidRPr="00C30F63">
        <w:rPr>
          <w:rFonts w:ascii="Times New Roman" w:hAnsi="Times New Roman"/>
          <w:sz w:val="24"/>
          <w:szCs w:val="24"/>
        </w:rPr>
        <w:t xml:space="preserve"> por </w:t>
      </w:r>
      <w:r w:rsidRPr="00C30F63">
        <w:rPr>
          <w:rFonts w:ascii="Times New Roman" w:hAnsi="Times New Roman"/>
          <w:sz w:val="24"/>
          <w:szCs w:val="24"/>
        </w:rPr>
        <w:t>ese</w:t>
      </w:r>
      <w:r w:rsidR="00FE152D" w:rsidRPr="00C30F63">
        <w:rPr>
          <w:rFonts w:ascii="Times New Roman" w:hAnsi="Times New Roman"/>
          <w:sz w:val="24"/>
          <w:szCs w:val="24"/>
        </w:rPr>
        <w:t xml:space="preserve"> tópico</w:t>
      </w:r>
      <w:r w:rsidR="006C2DDE" w:rsidRPr="00C30F63">
        <w:rPr>
          <w:rFonts w:ascii="Times New Roman" w:hAnsi="Times New Roman"/>
          <w:sz w:val="24"/>
          <w:szCs w:val="24"/>
        </w:rPr>
        <w:t xml:space="preserve"> en su vertiente de dominación y conflicto de las relaciones sociales (Olmo, 2005)</w:t>
      </w:r>
      <w:r w:rsidR="00FE152D" w:rsidRPr="00C30F63">
        <w:rPr>
          <w:rFonts w:ascii="Times New Roman" w:hAnsi="Times New Roman"/>
          <w:sz w:val="24"/>
          <w:szCs w:val="24"/>
        </w:rPr>
        <w:t xml:space="preserve">, tomo los aportes de </w:t>
      </w:r>
      <w:r w:rsidR="009F7262" w:rsidRPr="00C30F63">
        <w:rPr>
          <w:rFonts w:ascii="Times New Roman" w:hAnsi="Times New Roman"/>
          <w:sz w:val="24"/>
          <w:szCs w:val="24"/>
        </w:rPr>
        <w:t xml:space="preserve">Erving </w:t>
      </w:r>
      <w:r w:rsidR="00FE152D" w:rsidRPr="00C30F63">
        <w:rPr>
          <w:rFonts w:ascii="Times New Roman" w:hAnsi="Times New Roman"/>
          <w:sz w:val="24"/>
          <w:szCs w:val="24"/>
        </w:rPr>
        <w:t xml:space="preserve">Goffman, </w:t>
      </w:r>
      <w:r w:rsidR="009F7262" w:rsidRPr="00C30F63">
        <w:rPr>
          <w:rFonts w:ascii="Times New Roman" w:hAnsi="Times New Roman"/>
          <w:sz w:val="24"/>
          <w:szCs w:val="24"/>
        </w:rPr>
        <w:t xml:space="preserve">Louis </w:t>
      </w:r>
      <w:r w:rsidR="00FE152D" w:rsidRPr="00C30F63">
        <w:rPr>
          <w:rFonts w:ascii="Times New Roman" w:hAnsi="Times New Roman"/>
          <w:sz w:val="24"/>
          <w:szCs w:val="24"/>
        </w:rPr>
        <w:t xml:space="preserve">Althusser, </w:t>
      </w:r>
      <w:r w:rsidR="00F16E1B" w:rsidRPr="00C30F63">
        <w:rPr>
          <w:rFonts w:ascii="Times New Roman" w:hAnsi="Times New Roman"/>
          <w:sz w:val="24"/>
          <w:szCs w:val="24"/>
        </w:rPr>
        <w:t xml:space="preserve">y </w:t>
      </w:r>
      <w:r w:rsidR="009F7262" w:rsidRPr="00C30F63">
        <w:rPr>
          <w:rFonts w:ascii="Times New Roman" w:hAnsi="Times New Roman"/>
          <w:sz w:val="24"/>
          <w:szCs w:val="24"/>
        </w:rPr>
        <w:t xml:space="preserve">Michel </w:t>
      </w:r>
      <w:r w:rsidR="00FE152D" w:rsidRPr="00C30F63">
        <w:rPr>
          <w:rFonts w:ascii="Times New Roman" w:hAnsi="Times New Roman"/>
          <w:sz w:val="24"/>
          <w:szCs w:val="24"/>
        </w:rPr>
        <w:t>Foucault</w:t>
      </w:r>
      <w:r w:rsidR="00F16E1B" w:rsidRPr="00C30F63">
        <w:rPr>
          <w:rFonts w:ascii="Times New Roman" w:hAnsi="Times New Roman"/>
          <w:sz w:val="24"/>
          <w:szCs w:val="24"/>
        </w:rPr>
        <w:t>,</w:t>
      </w:r>
      <w:r w:rsidR="00E17A25" w:rsidRPr="00C30F63">
        <w:rPr>
          <w:rFonts w:ascii="Times New Roman" w:hAnsi="Times New Roman"/>
          <w:sz w:val="24"/>
          <w:szCs w:val="24"/>
        </w:rPr>
        <w:t xml:space="preserve"> en los que, con diferentes énfasis y matices, se entrelazan cuestiones vinculadas a los principales elementos del control social y el encierro, la subjetividad, el Estado, el capitalismo y el neoliberalismo</w:t>
      </w:r>
      <w:r w:rsidR="00FE152D" w:rsidRPr="00C30F63">
        <w:rPr>
          <w:rFonts w:ascii="Times New Roman" w:hAnsi="Times New Roman"/>
          <w:sz w:val="24"/>
          <w:szCs w:val="24"/>
        </w:rPr>
        <w:t xml:space="preserve">. </w:t>
      </w:r>
      <w:r w:rsidR="00E17A25" w:rsidRPr="00C30F63">
        <w:rPr>
          <w:rFonts w:ascii="Times New Roman" w:hAnsi="Times New Roman"/>
          <w:sz w:val="24"/>
          <w:szCs w:val="24"/>
        </w:rPr>
        <w:t>A</w:t>
      </w:r>
      <w:r w:rsidR="00FE152D" w:rsidRPr="00C30F63">
        <w:rPr>
          <w:rFonts w:ascii="Times New Roman" w:hAnsi="Times New Roman"/>
          <w:sz w:val="24"/>
          <w:szCs w:val="24"/>
        </w:rPr>
        <w:t>l carácter ya clásico que tienen sendos trabajos respecto del control social en sus múltiples variantes</w:t>
      </w:r>
      <w:r w:rsidR="006423DE" w:rsidRPr="00C30F63">
        <w:rPr>
          <w:rFonts w:ascii="Times New Roman" w:hAnsi="Times New Roman"/>
          <w:sz w:val="24"/>
          <w:szCs w:val="24"/>
        </w:rPr>
        <w:t xml:space="preserve"> interpretativas</w:t>
      </w:r>
      <w:r w:rsidR="00FE152D" w:rsidRPr="00C30F63">
        <w:rPr>
          <w:rFonts w:ascii="Times New Roman" w:hAnsi="Times New Roman"/>
          <w:sz w:val="24"/>
          <w:szCs w:val="24"/>
        </w:rPr>
        <w:t xml:space="preserve">, </w:t>
      </w:r>
      <w:r w:rsidR="00E17A25" w:rsidRPr="00C30F63">
        <w:rPr>
          <w:rFonts w:ascii="Times New Roman" w:hAnsi="Times New Roman"/>
          <w:sz w:val="24"/>
          <w:szCs w:val="24"/>
        </w:rPr>
        <w:t>se suma</w:t>
      </w:r>
      <w:r w:rsidR="00FE152D" w:rsidRPr="00C30F63">
        <w:rPr>
          <w:rFonts w:ascii="Times New Roman" w:hAnsi="Times New Roman"/>
          <w:sz w:val="24"/>
          <w:szCs w:val="24"/>
        </w:rPr>
        <w:t xml:space="preserve"> la afinidad temática que todos ellos portan con respecto a mis temas de investigación, </w:t>
      </w:r>
      <w:r w:rsidR="00E17A25" w:rsidRPr="00C30F63">
        <w:rPr>
          <w:rFonts w:ascii="Times New Roman" w:hAnsi="Times New Roman"/>
          <w:sz w:val="24"/>
          <w:szCs w:val="24"/>
        </w:rPr>
        <w:t>en e</w:t>
      </w:r>
      <w:r w:rsidR="00FE152D" w:rsidRPr="00C30F63">
        <w:rPr>
          <w:rFonts w:ascii="Times New Roman" w:hAnsi="Times New Roman"/>
          <w:sz w:val="24"/>
          <w:szCs w:val="24"/>
        </w:rPr>
        <w:t>strecha</w:t>
      </w:r>
      <w:r w:rsidR="00E17A25" w:rsidRPr="00C30F63">
        <w:rPr>
          <w:rFonts w:ascii="Times New Roman" w:hAnsi="Times New Roman"/>
          <w:sz w:val="24"/>
          <w:szCs w:val="24"/>
        </w:rPr>
        <w:t xml:space="preserve"> relación</w:t>
      </w:r>
      <w:r w:rsidR="00FE152D" w:rsidRPr="00C30F63">
        <w:rPr>
          <w:rFonts w:ascii="Times New Roman" w:hAnsi="Times New Roman"/>
          <w:sz w:val="24"/>
          <w:szCs w:val="24"/>
        </w:rPr>
        <w:t xml:space="preserve"> </w:t>
      </w:r>
      <w:r w:rsidR="00E17A25" w:rsidRPr="00C30F63">
        <w:rPr>
          <w:rFonts w:ascii="Times New Roman" w:hAnsi="Times New Roman"/>
          <w:sz w:val="24"/>
          <w:szCs w:val="24"/>
        </w:rPr>
        <w:t>con</w:t>
      </w:r>
      <w:r w:rsidR="00FE152D" w:rsidRPr="00C30F63">
        <w:rPr>
          <w:rFonts w:ascii="Times New Roman" w:hAnsi="Times New Roman"/>
          <w:sz w:val="24"/>
          <w:szCs w:val="24"/>
        </w:rPr>
        <w:t xml:space="preserve"> las agencias de control punitivo</w:t>
      </w:r>
      <w:r w:rsidR="00E17A25" w:rsidRPr="00C30F63">
        <w:rPr>
          <w:rFonts w:ascii="Times New Roman" w:hAnsi="Times New Roman"/>
          <w:sz w:val="24"/>
          <w:szCs w:val="24"/>
        </w:rPr>
        <w:t>,</w:t>
      </w:r>
      <w:r w:rsidR="00FE152D" w:rsidRPr="00C30F63">
        <w:rPr>
          <w:rFonts w:ascii="Times New Roman" w:hAnsi="Times New Roman"/>
          <w:sz w:val="24"/>
          <w:szCs w:val="24"/>
        </w:rPr>
        <w:t xml:space="preserve"> las experiencias sociales y los procesos de individuación.</w:t>
      </w:r>
    </w:p>
    <w:p w14:paraId="4880DD55" w14:textId="77777777" w:rsidR="005F271F" w:rsidRPr="00C30F63" w:rsidRDefault="005F271F" w:rsidP="00C30F63">
      <w:pPr>
        <w:pStyle w:val="Ttulo3"/>
        <w:spacing w:before="0" w:after="120" w:line="360" w:lineRule="auto"/>
        <w:jc w:val="both"/>
        <w:rPr>
          <w:rFonts w:ascii="Times New Roman" w:hAnsi="Times New Roman"/>
          <w:sz w:val="24"/>
          <w:szCs w:val="24"/>
        </w:rPr>
      </w:pPr>
      <w:bookmarkStart w:id="2" w:name="_Toc114484627"/>
      <w:bookmarkStart w:id="3" w:name="_Toc114694755"/>
      <w:r w:rsidRPr="00C30F63">
        <w:rPr>
          <w:rFonts w:ascii="Times New Roman" w:hAnsi="Times New Roman"/>
          <w:sz w:val="24"/>
          <w:szCs w:val="24"/>
        </w:rPr>
        <w:t>Goffman y las instituciones totales</w:t>
      </w:r>
      <w:bookmarkEnd w:id="2"/>
      <w:bookmarkEnd w:id="3"/>
    </w:p>
    <w:p w14:paraId="12B7E484" w14:textId="60089F86" w:rsidR="00A83104" w:rsidRPr="00C30F63" w:rsidRDefault="00A83104" w:rsidP="00C30F63">
      <w:pPr>
        <w:spacing w:after="120" w:line="360" w:lineRule="auto"/>
        <w:jc w:val="both"/>
        <w:rPr>
          <w:rFonts w:ascii="Times New Roman" w:hAnsi="Times New Roman"/>
          <w:sz w:val="24"/>
          <w:szCs w:val="24"/>
        </w:rPr>
      </w:pPr>
      <w:r w:rsidRPr="00C30F63">
        <w:rPr>
          <w:rFonts w:ascii="Times New Roman" w:hAnsi="Times New Roman"/>
          <w:sz w:val="24"/>
          <w:szCs w:val="24"/>
        </w:rPr>
        <w:t xml:space="preserve">En el campo de los estudios sobre sociología de las instituciones, sociología de la prisión, y control social punitivo, el nombre de Erving Goffman se impone la mayoría de las veces como una referencia insoslayable. </w:t>
      </w:r>
      <w:r w:rsidR="008A170A" w:rsidRPr="00C30F63">
        <w:rPr>
          <w:rFonts w:ascii="Times New Roman" w:hAnsi="Times New Roman"/>
          <w:sz w:val="24"/>
          <w:szCs w:val="24"/>
        </w:rPr>
        <w:t xml:space="preserve">El carácter microsociológico de </w:t>
      </w:r>
      <w:r w:rsidR="00C65344" w:rsidRPr="00C30F63">
        <w:rPr>
          <w:rFonts w:ascii="Times New Roman" w:hAnsi="Times New Roman"/>
          <w:sz w:val="24"/>
          <w:szCs w:val="24"/>
        </w:rPr>
        <w:t>sus trabajos</w:t>
      </w:r>
      <w:r w:rsidR="008A170A" w:rsidRPr="00C30F63">
        <w:rPr>
          <w:rFonts w:ascii="Times New Roman" w:hAnsi="Times New Roman"/>
          <w:sz w:val="24"/>
          <w:szCs w:val="24"/>
        </w:rPr>
        <w:t>, en el amplio espectro de sus incursiones, podríamos acordar que mantuvo siempre un interés nodal por las interacciones y sus marcos (</w:t>
      </w:r>
      <w:proofErr w:type="spellStart"/>
      <w:proofErr w:type="gramStart"/>
      <w:r w:rsidR="008A170A" w:rsidRPr="00C30F63">
        <w:rPr>
          <w:rFonts w:ascii="Times New Roman" w:hAnsi="Times New Roman"/>
          <w:i/>
          <w:sz w:val="24"/>
          <w:szCs w:val="24"/>
        </w:rPr>
        <w:t>frame</w:t>
      </w:r>
      <w:proofErr w:type="spellEnd"/>
      <w:proofErr w:type="gramEnd"/>
      <w:r w:rsidR="008A170A" w:rsidRPr="00C30F63">
        <w:rPr>
          <w:rFonts w:ascii="Times New Roman" w:hAnsi="Times New Roman"/>
          <w:sz w:val="24"/>
          <w:szCs w:val="24"/>
        </w:rPr>
        <w:t>)</w:t>
      </w:r>
      <w:r w:rsidR="00C65344" w:rsidRPr="00C30F63">
        <w:rPr>
          <w:rFonts w:ascii="Times New Roman" w:hAnsi="Times New Roman"/>
          <w:sz w:val="24"/>
          <w:szCs w:val="24"/>
        </w:rPr>
        <w:t>, y la estructura de la experiencia individual de la vida social (Joseph, 1999)</w:t>
      </w:r>
      <w:r w:rsidR="008A170A" w:rsidRPr="00C30F63">
        <w:rPr>
          <w:rFonts w:ascii="Times New Roman" w:hAnsi="Times New Roman"/>
          <w:sz w:val="24"/>
          <w:szCs w:val="24"/>
        </w:rPr>
        <w:t xml:space="preserve">. Es desde ahí que debemos leer lo que plantea en torno a las instituciones con características totales. Aquí me detendré en sistematizar los principales rasgos de </w:t>
      </w:r>
      <w:r w:rsidR="00D16296" w:rsidRPr="00C30F63">
        <w:rPr>
          <w:rFonts w:ascii="Times New Roman" w:hAnsi="Times New Roman"/>
          <w:sz w:val="24"/>
          <w:szCs w:val="24"/>
        </w:rPr>
        <w:t>estas</w:t>
      </w:r>
      <w:r w:rsidR="008A170A" w:rsidRPr="00C30F63">
        <w:rPr>
          <w:rFonts w:ascii="Times New Roman" w:hAnsi="Times New Roman"/>
          <w:sz w:val="24"/>
          <w:szCs w:val="24"/>
        </w:rPr>
        <w:t xml:space="preserve"> en plan de abonar </w:t>
      </w:r>
      <w:r w:rsidR="00752D79" w:rsidRPr="00C30F63">
        <w:rPr>
          <w:rFonts w:ascii="Times New Roman" w:hAnsi="Times New Roman"/>
          <w:sz w:val="24"/>
          <w:szCs w:val="24"/>
        </w:rPr>
        <w:t>una</w:t>
      </w:r>
      <w:r w:rsidR="008A170A" w:rsidRPr="00C30F63">
        <w:rPr>
          <w:rFonts w:ascii="Times New Roman" w:hAnsi="Times New Roman"/>
          <w:sz w:val="24"/>
          <w:szCs w:val="24"/>
        </w:rPr>
        <w:t xml:space="preserve"> somera caracterización de diferentes agencias, niveles, ejes en la órbita del control social.</w:t>
      </w:r>
    </w:p>
    <w:p w14:paraId="33C65F3D" w14:textId="592386CB" w:rsidR="00B306AB" w:rsidRPr="00C30F63" w:rsidRDefault="00F16C5B" w:rsidP="00C30F63">
      <w:pPr>
        <w:spacing w:after="120" w:line="360" w:lineRule="auto"/>
        <w:jc w:val="both"/>
        <w:rPr>
          <w:rFonts w:ascii="Times New Roman" w:hAnsi="Times New Roman"/>
          <w:sz w:val="24"/>
          <w:szCs w:val="24"/>
        </w:rPr>
      </w:pPr>
      <w:r w:rsidRPr="00C30F63">
        <w:rPr>
          <w:rFonts w:ascii="Times New Roman" w:hAnsi="Times New Roman"/>
          <w:sz w:val="24"/>
          <w:szCs w:val="24"/>
        </w:rPr>
        <w:lastRenderedPageBreak/>
        <w:t xml:space="preserve">La categorización de las </w:t>
      </w:r>
      <w:r w:rsidRPr="00C30F63">
        <w:rPr>
          <w:rFonts w:ascii="Times New Roman" w:hAnsi="Times New Roman"/>
          <w:i/>
          <w:sz w:val="24"/>
          <w:szCs w:val="24"/>
        </w:rPr>
        <w:t>instituciones totales</w:t>
      </w:r>
      <w:r w:rsidRPr="00C30F63">
        <w:rPr>
          <w:rFonts w:ascii="Times New Roman" w:hAnsi="Times New Roman"/>
          <w:sz w:val="24"/>
          <w:szCs w:val="24"/>
        </w:rPr>
        <w:t xml:space="preserve"> surge principalmente de los resultados del trabajo de campo que Goffman</w:t>
      </w:r>
      <w:r w:rsidR="00B306AB" w:rsidRPr="00C30F63">
        <w:rPr>
          <w:rFonts w:ascii="Times New Roman" w:hAnsi="Times New Roman"/>
          <w:sz w:val="24"/>
          <w:szCs w:val="24"/>
        </w:rPr>
        <w:t xml:space="preserve"> (2001)</w:t>
      </w:r>
      <w:r w:rsidRPr="00C30F63">
        <w:rPr>
          <w:rFonts w:ascii="Times New Roman" w:hAnsi="Times New Roman"/>
          <w:sz w:val="24"/>
          <w:szCs w:val="24"/>
        </w:rPr>
        <w:t xml:space="preserve"> realiza entre 1954 y 1957 en un hospital psiquiátrico con alrededor de siete mil pacientes en Washington, Estados Unidos. </w:t>
      </w:r>
      <w:r w:rsidR="00965786" w:rsidRPr="00C30F63">
        <w:rPr>
          <w:rFonts w:ascii="Times New Roman" w:hAnsi="Times New Roman"/>
          <w:sz w:val="24"/>
          <w:szCs w:val="24"/>
        </w:rPr>
        <w:t>A raíz de sus objetivos iniciales, con los que pretende “aprender algo”</w:t>
      </w:r>
      <w:r w:rsidR="00B306AB" w:rsidRPr="00C30F63">
        <w:rPr>
          <w:rFonts w:ascii="Times New Roman" w:hAnsi="Times New Roman"/>
          <w:sz w:val="24"/>
          <w:szCs w:val="24"/>
        </w:rPr>
        <w:t xml:space="preserve"> (p. 9)</w:t>
      </w:r>
      <w:r w:rsidR="00965786" w:rsidRPr="00C30F63">
        <w:rPr>
          <w:rFonts w:ascii="Times New Roman" w:hAnsi="Times New Roman"/>
          <w:sz w:val="24"/>
          <w:szCs w:val="24"/>
        </w:rPr>
        <w:t xml:space="preserve"> de las experiencias subjetivas de pacientes de dicho hospital, emprende</w:t>
      </w:r>
      <w:r w:rsidR="00E7430E" w:rsidRPr="00C30F63">
        <w:rPr>
          <w:rFonts w:ascii="Times New Roman" w:hAnsi="Times New Roman"/>
          <w:sz w:val="24"/>
          <w:szCs w:val="24"/>
        </w:rPr>
        <w:t>,</w:t>
      </w:r>
      <w:r w:rsidR="00965786" w:rsidRPr="00C30F63">
        <w:rPr>
          <w:rFonts w:ascii="Times New Roman" w:hAnsi="Times New Roman"/>
          <w:sz w:val="24"/>
          <w:szCs w:val="24"/>
        </w:rPr>
        <w:t xml:space="preserve"> entre otras empresas</w:t>
      </w:r>
      <w:r w:rsidR="00E7430E" w:rsidRPr="00C30F63">
        <w:rPr>
          <w:rFonts w:ascii="Times New Roman" w:hAnsi="Times New Roman"/>
          <w:sz w:val="24"/>
          <w:szCs w:val="24"/>
        </w:rPr>
        <w:t>,</w:t>
      </w:r>
      <w:r w:rsidR="00965786" w:rsidRPr="00C30F63">
        <w:rPr>
          <w:rFonts w:ascii="Times New Roman" w:hAnsi="Times New Roman"/>
          <w:sz w:val="24"/>
          <w:szCs w:val="24"/>
        </w:rPr>
        <w:t xml:space="preserve"> la caracterización de lo que para él constituyen las instituciones tot</w:t>
      </w:r>
      <w:r w:rsidR="00B306AB" w:rsidRPr="00C30F63">
        <w:rPr>
          <w:rFonts w:ascii="Times New Roman" w:hAnsi="Times New Roman"/>
          <w:sz w:val="24"/>
          <w:szCs w:val="24"/>
        </w:rPr>
        <w:t>ales</w:t>
      </w:r>
      <w:r w:rsidR="00965786" w:rsidRPr="00C30F63">
        <w:rPr>
          <w:rFonts w:ascii="Times New Roman" w:hAnsi="Times New Roman"/>
          <w:sz w:val="24"/>
          <w:szCs w:val="24"/>
        </w:rPr>
        <w:t>.</w:t>
      </w:r>
      <w:r w:rsidR="00F92AEC" w:rsidRPr="00C30F63">
        <w:rPr>
          <w:rFonts w:ascii="Times New Roman" w:hAnsi="Times New Roman"/>
          <w:sz w:val="24"/>
          <w:szCs w:val="24"/>
        </w:rPr>
        <w:t xml:space="preserve"> En primer </w:t>
      </w:r>
      <w:r w:rsidR="00752D79" w:rsidRPr="00C30F63">
        <w:rPr>
          <w:rFonts w:ascii="Times New Roman" w:hAnsi="Times New Roman"/>
          <w:sz w:val="24"/>
          <w:szCs w:val="24"/>
        </w:rPr>
        <w:t>lugar,</w:t>
      </w:r>
      <w:r w:rsidR="00F92AEC" w:rsidRPr="00C30F63">
        <w:rPr>
          <w:rFonts w:ascii="Times New Roman" w:hAnsi="Times New Roman"/>
          <w:sz w:val="24"/>
          <w:szCs w:val="24"/>
        </w:rPr>
        <w:t xml:space="preserve"> estas instituciones se definen por cierta regularidad respecto a las actividades que en </w:t>
      </w:r>
      <w:r w:rsidR="00B306AB" w:rsidRPr="00C30F63">
        <w:rPr>
          <w:rFonts w:ascii="Times New Roman" w:hAnsi="Times New Roman"/>
          <w:sz w:val="24"/>
          <w:szCs w:val="24"/>
        </w:rPr>
        <w:t>ellas se llevan a cabo. En segundo lugar, en ellas se da la tendencia hacia la absorción tanto del tiempo como de los intereses de las personas miembros, lo que llega a constituir un verdadero “mundo propio” (p. 17).</w:t>
      </w:r>
      <w:r w:rsidR="00480E2E" w:rsidRPr="00C30F63">
        <w:rPr>
          <w:rFonts w:ascii="Times New Roman" w:hAnsi="Times New Roman"/>
          <w:sz w:val="24"/>
          <w:szCs w:val="24"/>
        </w:rPr>
        <w:t xml:space="preserve"> En tercer lugar, se trata de lugares que dificultan u obstaculizan la interacción social y/o el éxodo de sus miembros; están rodeadas de puertas, rejas, muros, cercas, ríos, bosques, pantanos. En cuarto lugar, </w:t>
      </w:r>
      <w:r w:rsidR="0095226F" w:rsidRPr="00C30F63">
        <w:rPr>
          <w:rFonts w:ascii="Times New Roman" w:hAnsi="Times New Roman"/>
          <w:sz w:val="24"/>
          <w:szCs w:val="24"/>
        </w:rPr>
        <w:t xml:space="preserve">allí la vida se desarrolla en el mismo lugar y bajo una única autoridad. En quinto lugar, las actividades cotidianas se realizan en compañía muchas personas, a quienes se da el mismo trato y de quienes se requiere que hagan las mismas cosas; </w:t>
      </w:r>
      <w:r w:rsidR="0085380B" w:rsidRPr="00C30F63">
        <w:rPr>
          <w:rFonts w:ascii="Times New Roman" w:hAnsi="Times New Roman"/>
          <w:sz w:val="24"/>
          <w:szCs w:val="24"/>
        </w:rPr>
        <w:t xml:space="preserve">la programación de </w:t>
      </w:r>
      <w:r w:rsidR="0095226F" w:rsidRPr="00C30F63">
        <w:rPr>
          <w:rFonts w:ascii="Times New Roman" w:hAnsi="Times New Roman"/>
          <w:sz w:val="24"/>
          <w:szCs w:val="24"/>
        </w:rPr>
        <w:t xml:space="preserve">dichas actividades </w:t>
      </w:r>
      <w:r w:rsidR="0085380B" w:rsidRPr="00C30F63">
        <w:rPr>
          <w:rFonts w:ascii="Times New Roman" w:hAnsi="Times New Roman"/>
          <w:sz w:val="24"/>
          <w:szCs w:val="24"/>
        </w:rPr>
        <w:t xml:space="preserve">responde secuencias y ritmos prefijados jerárquicamente, y la realización de </w:t>
      </w:r>
      <w:proofErr w:type="gramStart"/>
      <w:r w:rsidR="0085380B" w:rsidRPr="00C30F63">
        <w:rPr>
          <w:rFonts w:ascii="Times New Roman" w:hAnsi="Times New Roman"/>
          <w:sz w:val="24"/>
          <w:szCs w:val="24"/>
        </w:rPr>
        <w:t>las mismas</w:t>
      </w:r>
      <w:proofErr w:type="gramEnd"/>
      <w:r w:rsidR="0085380B" w:rsidRPr="00C30F63">
        <w:rPr>
          <w:rFonts w:ascii="Times New Roman" w:hAnsi="Times New Roman"/>
          <w:sz w:val="24"/>
          <w:szCs w:val="24"/>
        </w:rPr>
        <w:t xml:space="preserve"> es supervisada por </w:t>
      </w:r>
      <w:r w:rsidR="00E17841" w:rsidRPr="00C30F63">
        <w:rPr>
          <w:rFonts w:ascii="Times New Roman" w:hAnsi="Times New Roman"/>
          <w:sz w:val="24"/>
          <w:szCs w:val="24"/>
        </w:rPr>
        <w:t>agentes institucionales</w:t>
      </w:r>
      <w:r w:rsidR="0085380B" w:rsidRPr="00C30F63">
        <w:rPr>
          <w:rFonts w:ascii="Times New Roman" w:hAnsi="Times New Roman"/>
          <w:sz w:val="24"/>
          <w:szCs w:val="24"/>
        </w:rPr>
        <w:t>.</w:t>
      </w:r>
      <w:r w:rsidR="0095226F" w:rsidRPr="00C30F63">
        <w:rPr>
          <w:rFonts w:ascii="Times New Roman" w:hAnsi="Times New Roman"/>
          <w:sz w:val="24"/>
          <w:szCs w:val="24"/>
        </w:rPr>
        <w:t xml:space="preserve"> </w:t>
      </w:r>
    </w:p>
    <w:p w14:paraId="5C408558" w14:textId="77777777" w:rsidR="008A170A" w:rsidRPr="00C30F63" w:rsidRDefault="00B306AB" w:rsidP="00C30F63">
      <w:pPr>
        <w:spacing w:after="120" w:line="360" w:lineRule="auto"/>
        <w:jc w:val="both"/>
        <w:rPr>
          <w:rFonts w:ascii="Times New Roman" w:hAnsi="Times New Roman"/>
          <w:sz w:val="24"/>
          <w:szCs w:val="24"/>
        </w:rPr>
      </w:pPr>
      <w:r w:rsidRPr="00C30F63">
        <w:rPr>
          <w:rFonts w:ascii="Times New Roman" w:hAnsi="Times New Roman"/>
          <w:sz w:val="24"/>
          <w:szCs w:val="24"/>
        </w:rPr>
        <w:t>Goffman</w:t>
      </w:r>
      <w:r w:rsidR="00E17841" w:rsidRPr="00C30F63">
        <w:rPr>
          <w:rFonts w:ascii="Times New Roman" w:hAnsi="Times New Roman"/>
          <w:sz w:val="24"/>
          <w:szCs w:val="24"/>
        </w:rPr>
        <w:t xml:space="preserve"> (2001)</w:t>
      </w:r>
      <w:r w:rsidRPr="00C30F63">
        <w:rPr>
          <w:rFonts w:ascii="Times New Roman" w:hAnsi="Times New Roman"/>
          <w:sz w:val="24"/>
          <w:szCs w:val="24"/>
        </w:rPr>
        <w:t xml:space="preserve"> sostiene que las personas miembros de las instituciones totales tienen tanto en común que bastaría con observarlas en detalle para conocer al resto de las instituciones de ese tenor; mirando el comportamiento de pacientes psiquiátricas/os podemos así aprender mucho sobre el funcionamiento de una prisión o un submarino.</w:t>
      </w:r>
      <w:r w:rsidR="00BE566E" w:rsidRPr="00C30F63">
        <w:rPr>
          <w:rFonts w:ascii="Times New Roman" w:hAnsi="Times New Roman"/>
          <w:sz w:val="24"/>
          <w:szCs w:val="24"/>
        </w:rPr>
        <w:t xml:space="preserve"> Sin embargo, a esos rasgos comunes</w:t>
      </w:r>
      <w:r w:rsidR="00E17841" w:rsidRPr="00C30F63">
        <w:rPr>
          <w:rFonts w:ascii="Times New Roman" w:hAnsi="Times New Roman"/>
          <w:sz w:val="24"/>
          <w:szCs w:val="24"/>
        </w:rPr>
        <w:t xml:space="preserve"> de organización burocrática de “conglomerados humanos” y sus necesidades (p. 23),</w:t>
      </w:r>
      <w:r w:rsidR="00BE566E" w:rsidRPr="00C30F63">
        <w:rPr>
          <w:rFonts w:ascii="Times New Roman" w:hAnsi="Times New Roman"/>
          <w:sz w:val="24"/>
          <w:szCs w:val="24"/>
        </w:rPr>
        <w:t xml:space="preserve"> sobrevienen también algunas diferencias significativas, y aunque no profundiza demasiado sobre ello, deja presentado un límite a la indistinción y el intercambio funcional.</w:t>
      </w:r>
    </w:p>
    <w:p w14:paraId="3248672C" w14:textId="77777777" w:rsidR="00F92AEC" w:rsidRPr="00C30F63" w:rsidRDefault="00AC03C2" w:rsidP="00C30F63">
      <w:pPr>
        <w:pStyle w:val="Ttulo3"/>
        <w:spacing w:before="0" w:after="120" w:line="360" w:lineRule="auto"/>
        <w:jc w:val="both"/>
        <w:rPr>
          <w:rFonts w:ascii="Times New Roman" w:hAnsi="Times New Roman"/>
          <w:sz w:val="24"/>
          <w:szCs w:val="24"/>
        </w:rPr>
      </w:pPr>
      <w:bookmarkStart w:id="4" w:name="_Toc114484628"/>
      <w:bookmarkStart w:id="5" w:name="_Toc114694756"/>
      <w:r w:rsidRPr="00C30F63">
        <w:rPr>
          <w:rFonts w:ascii="Times New Roman" w:hAnsi="Times New Roman"/>
          <w:sz w:val="24"/>
          <w:szCs w:val="24"/>
        </w:rPr>
        <w:t>El aparato de Althusser</w:t>
      </w:r>
      <w:bookmarkEnd w:id="4"/>
      <w:bookmarkEnd w:id="5"/>
    </w:p>
    <w:p w14:paraId="1EAAD389" w14:textId="77777777" w:rsidR="002A3247" w:rsidRPr="00C30F63" w:rsidRDefault="00F77859" w:rsidP="00C30F63">
      <w:pPr>
        <w:spacing w:after="120" w:line="360" w:lineRule="auto"/>
        <w:jc w:val="both"/>
        <w:rPr>
          <w:rFonts w:ascii="Times New Roman" w:hAnsi="Times New Roman"/>
          <w:sz w:val="24"/>
          <w:szCs w:val="24"/>
        </w:rPr>
      </w:pPr>
      <w:r w:rsidRPr="00C30F63">
        <w:rPr>
          <w:rFonts w:ascii="Times New Roman" w:hAnsi="Times New Roman"/>
          <w:sz w:val="24"/>
          <w:szCs w:val="24"/>
        </w:rPr>
        <w:t xml:space="preserve">Enmarcada en lo que algunos análisis denominan la segunda fase del pensamiento </w:t>
      </w:r>
      <w:proofErr w:type="spellStart"/>
      <w:r w:rsidRPr="00C30F63">
        <w:rPr>
          <w:rFonts w:ascii="Times New Roman" w:hAnsi="Times New Roman"/>
          <w:sz w:val="24"/>
          <w:szCs w:val="24"/>
        </w:rPr>
        <w:t>althusseriano</w:t>
      </w:r>
      <w:proofErr w:type="spellEnd"/>
      <w:r w:rsidRPr="00C30F63">
        <w:rPr>
          <w:rFonts w:ascii="Times New Roman" w:hAnsi="Times New Roman"/>
          <w:sz w:val="24"/>
          <w:szCs w:val="24"/>
        </w:rPr>
        <w:t xml:space="preserve">, cuyo derrotero culminaría con su propuesta de un </w:t>
      </w:r>
      <w:r w:rsidRPr="00C30F63">
        <w:rPr>
          <w:rFonts w:ascii="Times New Roman" w:hAnsi="Times New Roman"/>
          <w:i/>
          <w:sz w:val="24"/>
          <w:szCs w:val="24"/>
        </w:rPr>
        <w:t>materialismo aleatorio</w:t>
      </w:r>
      <w:r w:rsidRPr="00C30F63">
        <w:rPr>
          <w:rFonts w:ascii="Times New Roman" w:hAnsi="Times New Roman"/>
          <w:sz w:val="24"/>
          <w:szCs w:val="24"/>
        </w:rPr>
        <w:t xml:space="preserve"> (Gómez y </w:t>
      </w:r>
      <w:proofErr w:type="spellStart"/>
      <w:r w:rsidRPr="00C30F63">
        <w:rPr>
          <w:rFonts w:ascii="Times New Roman" w:hAnsi="Times New Roman"/>
          <w:sz w:val="24"/>
          <w:szCs w:val="24"/>
        </w:rPr>
        <w:t>Naidorf</w:t>
      </w:r>
      <w:proofErr w:type="spellEnd"/>
      <w:r w:rsidRPr="00C30F63">
        <w:rPr>
          <w:rFonts w:ascii="Times New Roman" w:hAnsi="Times New Roman"/>
          <w:sz w:val="24"/>
          <w:szCs w:val="24"/>
        </w:rPr>
        <w:t>, 2018), la obra “Ideología y aparatos ideológicos de Estado”</w:t>
      </w:r>
      <w:r w:rsidR="00394734" w:rsidRPr="00C30F63">
        <w:rPr>
          <w:rFonts w:ascii="Times New Roman" w:hAnsi="Times New Roman"/>
          <w:sz w:val="24"/>
          <w:szCs w:val="24"/>
        </w:rPr>
        <w:t xml:space="preserve"> (Althusser, 2003)</w:t>
      </w:r>
      <w:r w:rsidRPr="00C30F63">
        <w:rPr>
          <w:rFonts w:ascii="Times New Roman" w:hAnsi="Times New Roman"/>
          <w:sz w:val="24"/>
          <w:szCs w:val="24"/>
        </w:rPr>
        <w:t xml:space="preserve"> </w:t>
      </w:r>
      <w:r w:rsidR="00B20E5E" w:rsidRPr="00C30F63">
        <w:rPr>
          <w:rFonts w:ascii="Times New Roman" w:hAnsi="Times New Roman"/>
          <w:sz w:val="24"/>
          <w:szCs w:val="24"/>
        </w:rPr>
        <w:t>es probablemente uno de sus principales aportes a los</w:t>
      </w:r>
      <w:r w:rsidR="00394734" w:rsidRPr="00C30F63">
        <w:rPr>
          <w:rFonts w:ascii="Times New Roman" w:hAnsi="Times New Roman"/>
          <w:sz w:val="24"/>
          <w:szCs w:val="24"/>
        </w:rPr>
        <w:t xml:space="preserve"> campos disciplinares interesados en las funciones del sistema educativo en general y del trabajo docente en particular</w:t>
      </w:r>
      <w:r w:rsidR="00B20E5E" w:rsidRPr="00C30F63">
        <w:rPr>
          <w:rFonts w:ascii="Times New Roman" w:hAnsi="Times New Roman"/>
          <w:sz w:val="24"/>
          <w:szCs w:val="24"/>
        </w:rPr>
        <w:t xml:space="preserve"> (Álvarez-Uría y Varela, 2009; Rubilar Santander, 2008)</w:t>
      </w:r>
      <w:r w:rsidR="00394734" w:rsidRPr="00C30F63">
        <w:rPr>
          <w:rFonts w:ascii="Times New Roman" w:hAnsi="Times New Roman"/>
          <w:sz w:val="24"/>
          <w:szCs w:val="24"/>
        </w:rPr>
        <w:t>.</w:t>
      </w:r>
      <w:r w:rsidR="00FB4AA6" w:rsidRPr="00C30F63">
        <w:rPr>
          <w:rFonts w:ascii="Times New Roman" w:hAnsi="Times New Roman"/>
          <w:sz w:val="24"/>
          <w:szCs w:val="24"/>
        </w:rPr>
        <w:t xml:space="preserve"> Allí el Estado aparece </w:t>
      </w:r>
      <w:r w:rsidR="0072686E" w:rsidRPr="00C30F63">
        <w:rPr>
          <w:rFonts w:ascii="Times New Roman" w:hAnsi="Times New Roman"/>
          <w:sz w:val="24"/>
          <w:szCs w:val="24"/>
        </w:rPr>
        <w:t xml:space="preserve">como un aparato </w:t>
      </w:r>
      <w:r w:rsidR="00FB4AA6" w:rsidRPr="00C30F63">
        <w:rPr>
          <w:rFonts w:ascii="Times New Roman" w:hAnsi="Times New Roman"/>
          <w:sz w:val="24"/>
          <w:szCs w:val="24"/>
        </w:rPr>
        <w:t>represivo</w:t>
      </w:r>
      <w:r w:rsidR="0072686E" w:rsidRPr="00C30F63">
        <w:rPr>
          <w:rFonts w:ascii="Times New Roman" w:hAnsi="Times New Roman"/>
          <w:sz w:val="24"/>
          <w:szCs w:val="24"/>
        </w:rPr>
        <w:t>, es decir que funciona mediante la violencia,</w:t>
      </w:r>
      <w:r w:rsidR="00FB4AA6" w:rsidRPr="00C30F63">
        <w:rPr>
          <w:rFonts w:ascii="Times New Roman" w:hAnsi="Times New Roman"/>
          <w:sz w:val="24"/>
          <w:szCs w:val="24"/>
        </w:rPr>
        <w:t xml:space="preserve"> cuya ejecución y represión</w:t>
      </w:r>
      <w:r w:rsidR="0072686E" w:rsidRPr="00C30F63">
        <w:rPr>
          <w:rFonts w:ascii="Times New Roman" w:hAnsi="Times New Roman"/>
          <w:sz w:val="24"/>
          <w:szCs w:val="24"/>
        </w:rPr>
        <w:t>,</w:t>
      </w:r>
      <w:r w:rsidR="00FB4AA6" w:rsidRPr="00C30F63">
        <w:rPr>
          <w:rFonts w:ascii="Times New Roman" w:hAnsi="Times New Roman"/>
          <w:sz w:val="24"/>
          <w:szCs w:val="24"/>
        </w:rPr>
        <w:t xml:space="preserve"> a través de </w:t>
      </w:r>
      <w:r w:rsidR="00FB4AA6" w:rsidRPr="00C30F63">
        <w:rPr>
          <w:rFonts w:ascii="Times New Roman" w:hAnsi="Times New Roman"/>
          <w:sz w:val="24"/>
          <w:szCs w:val="24"/>
        </w:rPr>
        <w:lastRenderedPageBreak/>
        <w:t>su policía, tribunales, prisiones y ejército</w:t>
      </w:r>
      <w:r w:rsidR="0072686E" w:rsidRPr="00C30F63">
        <w:rPr>
          <w:rFonts w:ascii="Times New Roman" w:hAnsi="Times New Roman"/>
          <w:sz w:val="24"/>
          <w:szCs w:val="24"/>
        </w:rPr>
        <w:t>,</w:t>
      </w:r>
      <w:r w:rsidR="00FB4AA6" w:rsidRPr="00C30F63">
        <w:rPr>
          <w:rFonts w:ascii="Times New Roman" w:hAnsi="Times New Roman"/>
          <w:sz w:val="24"/>
          <w:szCs w:val="24"/>
        </w:rPr>
        <w:t xml:space="preserve"> opera</w:t>
      </w:r>
      <w:r w:rsidR="0072686E" w:rsidRPr="00C30F63">
        <w:rPr>
          <w:rFonts w:ascii="Times New Roman" w:hAnsi="Times New Roman"/>
          <w:sz w:val="24"/>
          <w:szCs w:val="24"/>
        </w:rPr>
        <w:t>n</w:t>
      </w:r>
      <w:r w:rsidR="00FB4AA6" w:rsidRPr="00C30F63">
        <w:rPr>
          <w:rFonts w:ascii="Times New Roman" w:hAnsi="Times New Roman"/>
          <w:sz w:val="24"/>
          <w:szCs w:val="24"/>
        </w:rPr>
        <w:t xml:space="preserve"> directamente a favor de las</w:t>
      </w:r>
      <w:r w:rsidR="0072686E" w:rsidRPr="00C30F63">
        <w:rPr>
          <w:rFonts w:ascii="Times New Roman" w:hAnsi="Times New Roman"/>
          <w:sz w:val="24"/>
          <w:szCs w:val="24"/>
        </w:rPr>
        <w:t xml:space="preserve"> alianzas entre</w:t>
      </w:r>
      <w:r w:rsidR="00FB4AA6" w:rsidRPr="00C30F63">
        <w:rPr>
          <w:rFonts w:ascii="Times New Roman" w:hAnsi="Times New Roman"/>
          <w:sz w:val="24"/>
          <w:szCs w:val="24"/>
        </w:rPr>
        <w:t xml:space="preserve"> clases dominantes y en contra del proletariado.</w:t>
      </w:r>
      <w:r w:rsidR="006C55CA" w:rsidRPr="00C30F63">
        <w:rPr>
          <w:rFonts w:ascii="Times New Roman" w:hAnsi="Times New Roman"/>
          <w:sz w:val="24"/>
          <w:szCs w:val="24"/>
        </w:rPr>
        <w:t xml:space="preserve"> </w:t>
      </w:r>
      <w:r w:rsidR="007A7989" w:rsidRPr="00C30F63">
        <w:rPr>
          <w:rFonts w:ascii="Times New Roman" w:hAnsi="Times New Roman"/>
          <w:sz w:val="24"/>
          <w:szCs w:val="24"/>
        </w:rPr>
        <w:t>Para ampliar el análisis del Estado en esa distinción como aparato (represivo), Althusser conceptualiza la dimensión plural de aparatos ideológicos; mientras que el aparato (represivo) de Estado funciona mediante la violencia, los aparatos ideológicos de Estado</w:t>
      </w:r>
      <w:r w:rsidR="002B135F" w:rsidRPr="00C30F63">
        <w:rPr>
          <w:rFonts w:ascii="Times New Roman" w:hAnsi="Times New Roman"/>
          <w:sz w:val="24"/>
          <w:szCs w:val="24"/>
        </w:rPr>
        <w:t xml:space="preserve"> (AIE)</w:t>
      </w:r>
      <w:r w:rsidR="007A7989" w:rsidRPr="00C30F63">
        <w:rPr>
          <w:rFonts w:ascii="Times New Roman" w:hAnsi="Times New Roman"/>
          <w:sz w:val="24"/>
          <w:szCs w:val="24"/>
        </w:rPr>
        <w:t xml:space="preserve"> lo hacen mediante la </w:t>
      </w:r>
      <w:r w:rsidR="007A7989" w:rsidRPr="00C30F63">
        <w:rPr>
          <w:rFonts w:ascii="Times New Roman" w:hAnsi="Times New Roman"/>
          <w:i/>
          <w:sz w:val="24"/>
          <w:szCs w:val="24"/>
        </w:rPr>
        <w:t>ideología</w:t>
      </w:r>
      <w:r w:rsidR="007A7989" w:rsidRPr="00C30F63">
        <w:rPr>
          <w:rFonts w:ascii="Times New Roman" w:hAnsi="Times New Roman"/>
          <w:sz w:val="24"/>
          <w:szCs w:val="24"/>
        </w:rPr>
        <w:t>.</w:t>
      </w:r>
      <w:r w:rsidR="008A1FAF" w:rsidRPr="00C30F63">
        <w:rPr>
          <w:rFonts w:ascii="Times New Roman" w:hAnsi="Times New Roman"/>
          <w:sz w:val="24"/>
          <w:szCs w:val="24"/>
        </w:rPr>
        <w:t xml:space="preserve"> Por supuesto advierte acerca del carácter ideal de dicha separación, y reconoce que en la práctica sendos registros se manifiestan de forma impura, solapada. </w:t>
      </w:r>
    </w:p>
    <w:p w14:paraId="1A81EC5D" w14:textId="77777777" w:rsidR="007A7989" w:rsidRPr="00C30F63" w:rsidRDefault="007A7989" w:rsidP="00C30F63">
      <w:pPr>
        <w:spacing w:after="120" w:line="360" w:lineRule="auto"/>
        <w:jc w:val="both"/>
        <w:rPr>
          <w:rFonts w:ascii="Times New Roman" w:hAnsi="Times New Roman"/>
          <w:sz w:val="24"/>
          <w:szCs w:val="24"/>
        </w:rPr>
      </w:pPr>
      <w:r w:rsidRPr="00C30F63">
        <w:rPr>
          <w:rFonts w:ascii="Times New Roman" w:hAnsi="Times New Roman"/>
          <w:sz w:val="24"/>
          <w:szCs w:val="24"/>
        </w:rPr>
        <w:t xml:space="preserve">Entre otras instituciones tales como las iglesias, la radio, la televisión, la familia, la literatura o los deportes, la escuela </w:t>
      </w:r>
      <w:r w:rsidR="00360C88" w:rsidRPr="00C30F63">
        <w:rPr>
          <w:rFonts w:ascii="Times New Roman" w:hAnsi="Times New Roman"/>
          <w:sz w:val="24"/>
          <w:szCs w:val="24"/>
        </w:rPr>
        <w:t xml:space="preserve">(o aparato escolar) </w:t>
      </w:r>
      <w:r w:rsidRPr="00C30F63">
        <w:rPr>
          <w:rFonts w:ascii="Times New Roman" w:hAnsi="Times New Roman"/>
          <w:sz w:val="24"/>
          <w:szCs w:val="24"/>
        </w:rPr>
        <w:t>es categorizada como el AIE por excelencia</w:t>
      </w:r>
      <w:r w:rsidR="00360C88" w:rsidRPr="00C30F63">
        <w:rPr>
          <w:rFonts w:ascii="Times New Roman" w:hAnsi="Times New Roman"/>
          <w:sz w:val="24"/>
          <w:szCs w:val="24"/>
        </w:rPr>
        <w:t>, en pareja con la familia,</w:t>
      </w:r>
      <w:r w:rsidRPr="00C30F63">
        <w:rPr>
          <w:rFonts w:ascii="Times New Roman" w:hAnsi="Times New Roman"/>
          <w:sz w:val="24"/>
          <w:szCs w:val="24"/>
        </w:rPr>
        <w:t xml:space="preserve"> al momento de producir y reproducir las condiciones de producción de las relaciones de dominación capitalistas. </w:t>
      </w:r>
      <w:r w:rsidR="00263EAD" w:rsidRPr="00C30F63">
        <w:rPr>
          <w:rFonts w:ascii="Times New Roman" w:hAnsi="Times New Roman"/>
          <w:sz w:val="24"/>
          <w:szCs w:val="24"/>
        </w:rPr>
        <w:t>Para Althusser el ascenso de la burguesía como actor social determinante en la constitución de los Estados modernos forzó la imposición de la escuela como AIE por sobre la función que anteriormente, y también emparejada con la familia, cumplía la iglesia.</w:t>
      </w:r>
      <w:r w:rsidR="002B135F" w:rsidRPr="00C30F63">
        <w:rPr>
          <w:rFonts w:ascii="Times New Roman" w:hAnsi="Times New Roman"/>
          <w:sz w:val="24"/>
          <w:szCs w:val="24"/>
        </w:rPr>
        <w:t xml:space="preserve"> Como una música silenciosa y sutil, las más de las veces alejada de la coerción física violenta, la ideología dominante </w:t>
      </w:r>
      <w:r w:rsidR="00897185" w:rsidRPr="00C30F63">
        <w:rPr>
          <w:rFonts w:ascii="Times New Roman" w:hAnsi="Times New Roman"/>
          <w:sz w:val="24"/>
          <w:szCs w:val="24"/>
        </w:rPr>
        <w:t xml:space="preserve">accede de manera casi gratuita a grandes cantidades de personas escolarizadas durante largos períodos de tiempo para realizar su trabajo de </w:t>
      </w:r>
      <w:r w:rsidR="006A662B" w:rsidRPr="00C30F63">
        <w:rPr>
          <w:rFonts w:ascii="Times New Roman" w:hAnsi="Times New Roman"/>
          <w:sz w:val="24"/>
          <w:szCs w:val="24"/>
        </w:rPr>
        <w:t>inculcación masiva</w:t>
      </w:r>
      <w:r w:rsidR="00897185" w:rsidRPr="00C30F63">
        <w:rPr>
          <w:rFonts w:ascii="Times New Roman" w:hAnsi="Times New Roman"/>
          <w:sz w:val="24"/>
          <w:szCs w:val="24"/>
        </w:rPr>
        <w:t>.</w:t>
      </w:r>
    </w:p>
    <w:p w14:paraId="05556B1A" w14:textId="77777777" w:rsidR="005D4FDD" w:rsidRPr="00C30F63" w:rsidRDefault="005D4FDD" w:rsidP="00C30F63">
      <w:pPr>
        <w:pStyle w:val="Ttulo3"/>
        <w:spacing w:before="0" w:after="120" w:line="360" w:lineRule="auto"/>
        <w:jc w:val="both"/>
        <w:rPr>
          <w:rFonts w:ascii="Times New Roman" w:hAnsi="Times New Roman"/>
          <w:sz w:val="24"/>
          <w:szCs w:val="24"/>
        </w:rPr>
      </w:pPr>
      <w:bookmarkStart w:id="6" w:name="_Toc114484629"/>
      <w:bookmarkStart w:id="7" w:name="_Toc114694757"/>
      <w:r w:rsidRPr="00C30F63">
        <w:rPr>
          <w:rFonts w:ascii="Times New Roman" w:hAnsi="Times New Roman"/>
          <w:sz w:val="24"/>
          <w:szCs w:val="24"/>
        </w:rPr>
        <w:t>Foucault y la anatomía política del cuerpo</w:t>
      </w:r>
      <w:bookmarkEnd w:id="6"/>
      <w:bookmarkEnd w:id="7"/>
    </w:p>
    <w:p w14:paraId="38FA8A94" w14:textId="1B941F08" w:rsidR="009159E0" w:rsidRPr="00C30F63" w:rsidRDefault="009159E0" w:rsidP="00C30F63">
      <w:pPr>
        <w:spacing w:after="120" w:line="360" w:lineRule="auto"/>
        <w:jc w:val="both"/>
        <w:rPr>
          <w:rFonts w:ascii="Times New Roman" w:hAnsi="Times New Roman"/>
          <w:sz w:val="24"/>
          <w:szCs w:val="24"/>
        </w:rPr>
      </w:pPr>
      <w:r w:rsidRPr="00C30F63">
        <w:rPr>
          <w:rFonts w:ascii="Times New Roman" w:hAnsi="Times New Roman"/>
          <w:sz w:val="24"/>
          <w:szCs w:val="24"/>
        </w:rPr>
        <w:t xml:space="preserve">En el punto álgido de la etapa </w:t>
      </w:r>
      <w:r w:rsidR="00273D0E" w:rsidRPr="00C30F63">
        <w:rPr>
          <w:rFonts w:ascii="Times New Roman" w:hAnsi="Times New Roman"/>
          <w:sz w:val="24"/>
          <w:szCs w:val="24"/>
        </w:rPr>
        <w:t>genealógica</w:t>
      </w:r>
      <w:r w:rsidR="009E2AA4" w:rsidRPr="00C30F63">
        <w:rPr>
          <w:rFonts w:ascii="Times New Roman" w:hAnsi="Times New Roman"/>
          <w:sz w:val="24"/>
          <w:szCs w:val="24"/>
        </w:rPr>
        <w:t xml:space="preserve"> </w:t>
      </w:r>
      <w:r w:rsidR="00457A13" w:rsidRPr="00C30F63">
        <w:rPr>
          <w:rFonts w:ascii="Times New Roman" w:hAnsi="Times New Roman"/>
          <w:sz w:val="24"/>
          <w:szCs w:val="24"/>
        </w:rPr>
        <w:t>en</w:t>
      </w:r>
      <w:r w:rsidRPr="00C30F63">
        <w:rPr>
          <w:rFonts w:ascii="Times New Roman" w:hAnsi="Times New Roman"/>
          <w:sz w:val="24"/>
          <w:szCs w:val="24"/>
        </w:rPr>
        <w:t xml:space="preserve"> Foucault (</w:t>
      </w:r>
      <w:proofErr w:type="spellStart"/>
      <w:r w:rsidR="00457A13" w:rsidRPr="00C30F63">
        <w:rPr>
          <w:rFonts w:ascii="Times New Roman" w:hAnsi="Times New Roman"/>
          <w:sz w:val="24"/>
          <w:szCs w:val="24"/>
        </w:rPr>
        <w:t>Raffin</w:t>
      </w:r>
      <w:proofErr w:type="spellEnd"/>
      <w:r w:rsidR="00457A13" w:rsidRPr="00C30F63">
        <w:rPr>
          <w:rFonts w:ascii="Times New Roman" w:hAnsi="Times New Roman"/>
          <w:sz w:val="24"/>
          <w:szCs w:val="24"/>
        </w:rPr>
        <w:t>, 2008</w:t>
      </w:r>
      <w:r w:rsidRPr="00C30F63">
        <w:rPr>
          <w:rFonts w:ascii="Times New Roman" w:hAnsi="Times New Roman"/>
          <w:sz w:val="24"/>
          <w:szCs w:val="24"/>
        </w:rPr>
        <w:t xml:space="preserve">) aparece esta idea de la disciplina como una anatomía política del cuerpo. Aunque en la misma lectura de </w:t>
      </w:r>
      <w:r w:rsidRPr="00C30F63">
        <w:rPr>
          <w:rFonts w:ascii="Times New Roman" w:hAnsi="Times New Roman"/>
          <w:i/>
          <w:iCs/>
          <w:sz w:val="24"/>
          <w:szCs w:val="24"/>
        </w:rPr>
        <w:t>Vigilar y castigar</w:t>
      </w:r>
      <w:r w:rsidRPr="00C30F63">
        <w:rPr>
          <w:rFonts w:ascii="Times New Roman" w:hAnsi="Times New Roman"/>
          <w:sz w:val="24"/>
          <w:szCs w:val="24"/>
        </w:rPr>
        <w:t xml:space="preserve"> (Foucault, </w:t>
      </w:r>
      <w:r w:rsidR="00457A13" w:rsidRPr="00C30F63">
        <w:rPr>
          <w:rFonts w:ascii="Times New Roman" w:hAnsi="Times New Roman"/>
          <w:sz w:val="24"/>
          <w:szCs w:val="24"/>
        </w:rPr>
        <w:t>2013</w:t>
      </w:r>
      <w:r w:rsidRPr="00C30F63">
        <w:rPr>
          <w:rFonts w:ascii="Times New Roman" w:hAnsi="Times New Roman"/>
          <w:sz w:val="24"/>
          <w:szCs w:val="24"/>
        </w:rPr>
        <w:t>) se trat</w:t>
      </w:r>
      <w:r w:rsidR="00330B74" w:rsidRPr="00C30F63">
        <w:rPr>
          <w:rFonts w:ascii="Times New Roman" w:hAnsi="Times New Roman"/>
          <w:sz w:val="24"/>
          <w:szCs w:val="24"/>
        </w:rPr>
        <w:t>e</w:t>
      </w:r>
      <w:r w:rsidRPr="00C30F63">
        <w:rPr>
          <w:rFonts w:ascii="Times New Roman" w:hAnsi="Times New Roman"/>
          <w:sz w:val="24"/>
          <w:szCs w:val="24"/>
        </w:rPr>
        <w:t xml:space="preserve"> más una transición o articulación entre proyectos intelectuales inter</w:t>
      </w:r>
      <w:r w:rsidR="009E2AA4" w:rsidRPr="00C30F63">
        <w:rPr>
          <w:rFonts w:ascii="Times New Roman" w:hAnsi="Times New Roman"/>
          <w:sz w:val="24"/>
          <w:szCs w:val="24"/>
        </w:rPr>
        <w:t xml:space="preserve">esados por relaciones de saber, relaciones de poder y procesos de subjetivación, </w:t>
      </w:r>
      <w:r w:rsidR="00330B74" w:rsidRPr="00C30F63">
        <w:rPr>
          <w:rFonts w:ascii="Times New Roman" w:hAnsi="Times New Roman"/>
          <w:sz w:val="24"/>
          <w:szCs w:val="24"/>
        </w:rPr>
        <w:t xml:space="preserve">sus análisis respecto al poder disciplinario implican un tratamiento del control social </w:t>
      </w:r>
      <w:r w:rsidR="00E27D40" w:rsidRPr="00C30F63">
        <w:rPr>
          <w:rFonts w:ascii="Times New Roman" w:hAnsi="Times New Roman"/>
          <w:sz w:val="24"/>
          <w:szCs w:val="24"/>
        </w:rPr>
        <w:t>que podría decantarse más por el último que por el primero.</w:t>
      </w:r>
    </w:p>
    <w:p w14:paraId="7EA32A33" w14:textId="63DE0BDF" w:rsidR="00E27D40" w:rsidRPr="00C30F63" w:rsidRDefault="00E27D40" w:rsidP="00C30F63">
      <w:pPr>
        <w:spacing w:after="120" w:line="360" w:lineRule="auto"/>
        <w:jc w:val="both"/>
        <w:rPr>
          <w:rFonts w:ascii="Times New Roman" w:hAnsi="Times New Roman"/>
          <w:sz w:val="24"/>
          <w:szCs w:val="24"/>
        </w:rPr>
      </w:pPr>
      <w:r w:rsidRPr="00C30F63">
        <w:rPr>
          <w:rFonts w:ascii="Times New Roman" w:hAnsi="Times New Roman"/>
          <w:sz w:val="24"/>
          <w:szCs w:val="24"/>
        </w:rPr>
        <w:t xml:space="preserve">Foucault plantea que, en el devenir de tres formas de castigos, hay una </w:t>
      </w:r>
      <w:r w:rsidR="00584495" w:rsidRPr="00C30F63">
        <w:rPr>
          <w:rFonts w:ascii="Times New Roman" w:hAnsi="Times New Roman"/>
          <w:sz w:val="24"/>
          <w:szCs w:val="24"/>
        </w:rPr>
        <w:t>de ellas que prevalece sobre las otras</w:t>
      </w:r>
      <w:r w:rsidRPr="00C30F63">
        <w:rPr>
          <w:rFonts w:ascii="Times New Roman" w:hAnsi="Times New Roman"/>
          <w:sz w:val="24"/>
          <w:szCs w:val="24"/>
        </w:rPr>
        <w:t xml:space="preserve">. Al cuerpo como objeto del suplicio y la manipulación de las representaciones del alma se impone </w:t>
      </w:r>
      <w:r w:rsidR="00584495" w:rsidRPr="00C30F63">
        <w:rPr>
          <w:rFonts w:ascii="Times New Roman" w:hAnsi="Times New Roman"/>
          <w:sz w:val="24"/>
          <w:szCs w:val="24"/>
        </w:rPr>
        <w:t xml:space="preserve">algo así como la dominación del cuerpo. </w:t>
      </w:r>
      <w:r w:rsidRPr="00C30F63">
        <w:rPr>
          <w:rFonts w:ascii="Times New Roman" w:hAnsi="Times New Roman"/>
          <w:sz w:val="24"/>
          <w:szCs w:val="24"/>
        </w:rPr>
        <w:t xml:space="preserve"> </w:t>
      </w:r>
      <w:r w:rsidR="00584495" w:rsidRPr="00C30F63">
        <w:rPr>
          <w:rFonts w:ascii="Times New Roman" w:hAnsi="Times New Roman"/>
          <w:sz w:val="24"/>
          <w:szCs w:val="24"/>
        </w:rPr>
        <w:t xml:space="preserve">Entendidas como tecnologías de poder, omnipresentes en mayor o menor medida, estas formas producen lo que en definitiva van a constituir los cuerpos dóciles, los cuales resultan obedientes y útiles gracias a ese trabajo silencioso, sutil, permanente, detallado, </w:t>
      </w:r>
      <w:proofErr w:type="spellStart"/>
      <w:r w:rsidR="00584495" w:rsidRPr="00C30F63">
        <w:rPr>
          <w:rFonts w:ascii="Times New Roman" w:hAnsi="Times New Roman"/>
          <w:sz w:val="24"/>
          <w:szCs w:val="24"/>
        </w:rPr>
        <w:t>microfísico</w:t>
      </w:r>
      <w:proofErr w:type="spellEnd"/>
      <w:r w:rsidR="00584495" w:rsidRPr="00C30F63">
        <w:rPr>
          <w:rFonts w:ascii="Times New Roman" w:hAnsi="Times New Roman"/>
          <w:sz w:val="24"/>
          <w:szCs w:val="24"/>
        </w:rPr>
        <w:t>.</w:t>
      </w:r>
    </w:p>
    <w:p w14:paraId="5F8001E7" w14:textId="77777777" w:rsidR="000D2401" w:rsidRDefault="000D2401" w:rsidP="00C30F63">
      <w:pPr>
        <w:spacing w:after="120" w:line="360" w:lineRule="auto"/>
        <w:jc w:val="center"/>
        <w:rPr>
          <w:rFonts w:ascii="Times New Roman" w:hAnsi="Times New Roman"/>
          <w:sz w:val="24"/>
          <w:szCs w:val="24"/>
        </w:rPr>
      </w:pPr>
    </w:p>
    <w:p w14:paraId="587A55FB" w14:textId="63EEE97B" w:rsidR="00F16E1B" w:rsidRPr="00C30F63" w:rsidRDefault="00F16E1B" w:rsidP="00C30F63">
      <w:pPr>
        <w:spacing w:after="120" w:line="360" w:lineRule="auto"/>
        <w:jc w:val="center"/>
        <w:rPr>
          <w:rFonts w:ascii="Times New Roman" w:hAnsi="Times New Roman"/>
          <w:sz w:val="24"/>
          <w:szCs w:val="24"/>
        </w:rPr>
      </w:pPr>
      <w:r w:rsidRPr="00C30F63">
        <w:rPr>
          <w:rFonts w:ascii="Times New Roman" w:hAnsi="Times New Roman"/>
          <w:sz w:val="24"/>
          <w:szCs w:val="24"/>
        </w:rPr>
        <w:t>***</w:t>
      </w:r>
    </w:p>
    <w:p w14:paraId="0F39C336" w14:textId="436C7B58" w:rsidR="00322C63" w:rsidRPr="00C30F63" w:rsidRDefault="00F16E1B" w:rsidP="000D2401">
      <w:pPr>
        <w:spacing w:after="120" w:line="360" w:lineRule="auto"/>
        <w:jc w:val="both"/>
        <w:rPr>
          <w:rFonts w:ascii="Times New Roman" w:hAnsi="Times New Roman"/>
          <w:sz w:val="24"/>
          <w:szCs w:val="24"/>
        </w:rPr>
      </w:pPr>
      <w:r w:rsidRPr="00C30F63">
        <w:rPr>
          <w:rFonts w:ascii="Times New Roman" w:hAnsi="Times New Roman"/>
          <w:sz w:val="24"/>
          <w:szCs w:val="24"/>
        </w:rPr>
        <w:lastRenderedPageBreak/>
        <w:t>Hasta aquí las perspectivas de Goffman, Althusser y Foucault convergen en lo que adelantamos con Olmos (2005), cada una a su manera, respecto de la dominación y el conflicto social. Tanto en su vertiente institucional como en la vertiente ideológica o la microfísica, se trata, entiendo, de revisar críticamente las estructuras del control social en tanto correspondencia de roles, funciones y posiciones en la arena social.</w:t>
      </w:r>
      <w:r w:rsidR="00C66445" w:rsidRPr="00C30F63">
        <w:rPr>
          <w:rFonts w:ascii="Times New Roman" w:hAnsi="Times New Roman"/>
          <w:sz w:val="24"/>
          <w:szCs w:val="24"/>
        </w:rPr>
        <w:t xml:space="preserve"> En lo que sigue, desarrollo la especificidad del control social en los términos de Dubet y sus derivas en el análisis de experiencias de docentes en prisiones del SPB y del SPF.</w:t>
      </w:r>
    </w:p>
    <w:p w14:paraId="3602B5CD" w14:textId="77777777" w:rsidR="00322C63" w:rsidRPr="00C30F63" w:rsidRDefault="00322C63" w:rsidP="00C30F63">
      <w:pPr>
        <w:pStyle w:val="Ttulo2"/>
        <w:spacing w:before="0" w:after="120"/>
        <w:rPr>
          <w:rFonts w:ascii="Times New Roman" w:hAnsi="Times New Roman"/>
          <w:sz w:val="24"/>
          <w:szCs w:val="24"/>
        </w:rPr>
      </w:pPr>
      <w:bookmarkStart w:id="8" w:name="_Toc114484631"/>
      <w:bookmarkStart w:id="9" w:name="_Toc114694758"/>
      <w:r w:rsidRPr="00C30F63">
        <w:rPr>
          <w:rFonts w:ascii="Times New Roman" w:hAnsi="Times New Roman"/>
          <w:sz w:val="24"/>
          <w:szCs w:val="24"/>
        </w:rPr>
        <w:t>El control social como lógica de acción</w:t>
      </w:r>
      <w:r w:rsidR="001F3584" w:rsidRPr="00C30F63">
        <w:rPr>
          <w:rFonts w:ascii="Times New Roman" w:hAnsi="Times New Roman"/>
          <w:sz w:val="24"/>
          <w:szCs w:val="24"/>
        </w:rPr>
        <w:t xml:space="preserve">. </w:t>
      </w:r>
      <w:r w:rsidRPr="00C30F63">
        <w:rPr>
          <w:rFonts w:ascii="Times New Roman" w:hAnsi="Times New Roman"/>
          <w:sz w:val="24"/>
          <w:szCs w:val="24"/>
        </w:rPr>
        <w:t>El (des)control social como prueba específica</w:t>
      </w:r>
      <w:bookmarkEnd w:id="8"/>
      <w:bookmarkEnd w:id="9"/>
    </w:p>
    <w:p w14:paraId="21054261" w14:textId="77777777" w:rsidR="00961BCD" w:rsidRPr="00C30F63" w:rsidRDefault="00CA5707" w:rsidP="00C30F63">
      <w:pPr>
        <w:spacing w:after="120" w:line="360" w:lineRule="auto"/>
        <w:jc w:val="both"/>
        <w:rPr>
          <w:rFonts w:ascii="Times New Roman" w:hAnsi="Times New Roman"/>
          <w:sz w:val="24"/>
          <w:szCs w:val="24"/>
        </w:rPr>
      </w:pPr>
      <w:r w:rsidRPr="00C30F63">
        <w:rPr>
          <w:rFonts w:ascii="Times New Roman" w:hAnsi="Times New Roman"/>
          <w:sz w:val="24"/>
          <w:szCs w:val="24"/>
        </w:rPr>
        <w:t>Para Dubet (2006) l</w:t>
      </w:r>
      <w:r w:rsidR="00C705FA" w:rsidRPr="00C30F63">
        <w:rPr>
          <w:rFonts w:ascii="Times New Roman" w:hAnsi="Times New Roman"/>
          <w:sz w:val="24"/>
          <w:szCs w:val="24"/>
        </w:rPr>
        <w:t>as instituciones tradicionales y re</w:t>
      </w:r>
      <w:r w:rsidR="00754EBB" w:rsidRPr="00C30F63">
        <w:rPr>
          <w:rFonts w:ascii="Times New Roman" w:hAnsi="Times New Roman"/>
          <w:sz w:val="24"/>
          <w:szCs w:val="24"/>
        </w:rPr>
        <w:t>publicanas</w:t>
      </w:r>
      <w:r w:rsidR="00CD2B7F" w:rsidRPr="00C30F63">
        <w:rPr>
          <w:rFonts w:ascii="Times New Roman" w:hAnsi="Times New Roman"/>
          <w:sz w:val="24"/>
          <w:szCs w:val="24"/>
        </w:rPr>
        <w:t xml:space="preserve"> bajo el manto del </w:t>
      </w:r>
      <w:r w:rsidR="003E4071" w:rsidRPr="00C30F63">
        <w:rPr>
          <w:rFonts w:ascii="Times New Roman" w:hAnsi="Times New Roman"/>
          <w:sz w:val="24"/>
          <w:szCs w:val="24"/>
        </w:rPr>
        <w:t>PI</w:t>
      </w:r>
      <w:r w:rsidR="00754EBB" w:rsidRPr="00C30F63">
        <w:rPr>
          <w:rFonts w:ascii="Times New Roman" w:hAnsi="Times New Roman"/>
          <w:sz w:val="24"/>
          <w:szCs w:val="24"/>
        </w:rPr>
        <w:t xml:space="preserve">, </w:t>
      </w:r>
      <w:r w:rsidR="00FE7841" w:rsidRPr="00C30F63">
        <w:rPr>
          <w:rFonts w:ascii="Times New Roman" w:hAnsi="Times New Roman"/>
          <w:sz w:val="24"/>
          <w:szCs w:val="24"/>
        </w:rPr>
        <w:t>entre las que se encuentra</w:t>
      </w:r>
      <w:r w:rsidR="00754EBB" w:rsidRPr="00C30F63">
        <w:rPr>
          <w:rFonts w:ascii="Times New Roman" w:hAnsi="Times New Roman"/>
          <w:sz w:val="24"/>
          <w:szCs w:val="24"/>
        </w:rPr>
        <w:t xml:space="preserve"> la escuela, tienen</w:t>
      </w:r>
      <w:r w:rsidR="00C705FA" w:rsidRPr="00C30F63">
        <w:rPr>
          <w:rFonts w:ascii="Times New Roman" w:hAnsi="Times New Roman"/>
          <w:sz w:val="24"/>
          <w:szCs w:val="24"/>
        </w:rPr>
        <w:t xml:space="preserve"> </w:t>
      </w:r>
      <w:r w:rsidR="00754EBB" w:rsidRPr="00C30F63">
        <w:rPr>
          <w:rFonts w:ascii="Times New Roman" w:hAnsi="Times New Roman"/>
          <w:sz w:val="24"/>
          <w:szCs w:val="24"/>
        </w:rPr>
        <w:t xml:space="preserve">la función de fabricar, en un mismo movimiento, individuos socializados y sujetos autónomos gracias a un trabajo específico, como lo es el trabajo sobre los otros. </w:t>
      </w:r>
      <w:r w:rsidRPr="00C30F63">
        <w:rPr>
          <w:rFonts w:ascii="Times New Roman" w:hAnsi="Times New Roman"/>
          <w:sz w:val="24"/>
          <w:szCs w:val="24"/>
        </w:rPr>
        <w:t>E</w:t>
      </w:r>
      <w:r w:rsidR="00754EBB" w:rsidRPr="00C30F63">
        <w:rPr>
          <w:rFonts w:ascii="Times New Roman" w:hAnsi="Times New Roman"/>
          <w:sz w:val="24"/>
          <w:szCs w:val="24"/>
        </w:rPr>
        <w:t xml:space="preserve">l declive del </w:t>
      </w:r>
      <w:r w:rsidR="003E4071" w:rsidRPr="00C30F63">
        <w:rPr>
          <w:rFonts w:ascii="Times New Roman" w:hAnsi="Times New Roman"/>
          <w:sz w:val="24"/>
          <w:szCs w:val="24"/>
        </w:rPr>
        <w:t>PI</w:t>
      </w:r>
      <w:r w:rsidR="00754EBB" w:rsidRPr="00C30F63">
        <w:rPr>
          <w:rFonts w:ascii="Times New Roman" w:hAnsi="Times New Roman"/>
          <w:sz w:val="24"/>
          <w:szCs w:val="24"/>
        </w:rPr>
        <w:t xml:space="preserve"> </w:t>
      </w:r>
      <w:r w:rsidR="00FE7841" w:rsidRPr="00C30F63">
        <w:rPr>
          <w:rFonts w:ascii="Times New Roman" w:hAnsi="Times New Roman"/>
          <w:sz w:val="24"/>
          <w:szCs w:val="24"/>
        </w:rPr>
        <w:t>se expresa en la</w:t>
      </w:r>
      <w:r w:rsidR="00754EBB" w:rsidRPr="00C30F63">
        <w:rPr>
          <w:rFonts w:ascii="Times New Roman" w:hAnsi="Times New Roman"/>
          <w:sz w:val="24"/>
          <w:szCs w:val="24"/>
        </w:rPr>
        <w:t xml:space="preserve"> escisión de distintas dimensiones de la práctica </w:t>
      </w:r>
      <w:r w:rsidR="00FE7841" w:rsidRPr="00C30F63">
        <w:rPr>
          <w:rFonts w:ascii="Times New Roman" w:hAnsi="Times New Roman"/>
          <w:sz w:val="24"/>
          <w:szCs w:val="24"/>
        </w:rPr>
        <w:t xml:space="preserve">al interior de las instituciones, y en la necesidad imperiosa de los actores de volver a dotar de sentido sus experiencias profesionales por vía de un trabajo sobre sí mismos. </w:t>
      </w:r>
      <w:r w:rsidR="00754EBB" w:rsidRPr="00C30F63">
        <w:rPr>
          <w:rFonts w:ascii="Times New Roman" w:hAnsi="Times New Roman"/>
          <w:sz w:val="24"/>
          <w:szCs w:val="24"/>
        </w:rPr>
        <w:t xml:space="preserve">Precisamente el (meta)trabajo que deben realizar quienes llevan adelante un trabajo sobre los otros </w:t>
      </w:r>
      <w:r w:rsidR="00354899" w:rsidRPr="00C30F63">
        <w:rPr>
          <w:rFonts w:ascii="Times New Roman" w:hAnsi="Times New Roman"/>
          <w:sz w:val="24"/>
          <w:szCs w:val="24"/>
        </w:rPr>
        <w:t xml:space="preserve">es el de administrar, coordinar y combinar lo que Dubet llama </w:t>
      </w:r>
      <w:r w:rsidR="00FE7841" w:rsidRPr="00C30F63">
        <w:rPr>
          <w:rFonts w:ascii="Times New Roman" w:hAnsi="Times New Roman"/>
          <w:sz w:val="24"/>
          <w:szCs w:val="24"/>
        </w:rPr>
        <w:t>lógicas de acción (control social; servicio; relación), las cuales cada vez se independizan más unas de otras.</w:t>
      </w:r>
    </w:p>
    <w:p w14:paraId="61D052F6" w14:textId="77777777" w:rsidR="00354899" w:rsidRPr="00C30F63" w:rsidRDefault="00354899" w:rsidP="00C30F63">
      <w:pPr>
        <w:spacing w:after="120" w:line="360" w:lineRule="auto"/>
        <w:jc w:val="both"/>
        <w:rPr>
          <w:rFonts w:ascii="Times New Roman" w:hAnsi="Times New Roman"/>
          <w:sz w:val="24"/>
          <w:szCs w:val="24"/>
        </w:rPr>
      </w:pPr>
      <w:r w:rsidRPr="00C30F63">
        <w:rPr>
          <w:rFonts w:ascii="Times New Roman" w:hAnsi="Times New Roman"/>
          <w:sz w:val="24"/>
          <w:szCs w:val="24"/>
        </w:rPr>
        <w:t xml:space="preserve">En el caso de las experiencias docentes en contextos de encierro, la institución escuela no solamente se encuentra inserta, cuando no injertada, dentro de otra institución, sino </w:t>
      </w:r>
      <w:proofErr w:type="gramStart"/>
      <w:r w:rsidRPr="00C30F63">
        <w:rPr>
          <w:rFonts w:ascii="Times New Roman" w:hAnsi="Times New Roman"/>
          <w:sz w:val="24"/>
          <w:szCs w:val="24"/>
        </w:rPr>
        <w:t>que</w:t>
      </w:r>
      <w:proofErr w:type="gramEnd"/>
      <w:r w:rsidRPr="00C30F63">
        <w:rPr>
          <w:rFonts w:ascii="Times New Roman" w:hAnsi="Times New Roman"/>
          <w:sz w:val="24"/>
          <w:szCs w:val="24"/>
        </w:rPr>
        <w:t xml:space="preserve"> además –y esto es lo determinante para la idea que sostengo– el proceso de transformación de principios y valores en acción y subjetividad se da sobre</w:t>
      </w:r>
      <w:r w:rsidR="00CA5707" w:rsidRPr="00C30F63">
        <w:rPr>
          <w:rFonts w:ascii="Times New Roman" w:hAnsi="Times New Roman"/>
          <w:sz w:val="24"/>
          <w:szCs w:val="24"/>
        </w:rPr>
        <w:t xml:space="preserve"> un</w:t>
      </w:r>
      <w:r w:rsidRPr="00C30F63">
        <w:rPr>
          <w:rFonts w:ascii="Times New Roman" w:hAnsi="Times New Roman"/>
          <w:sz w:val="24"/>
          <w:szCs w:val="24"/>
        </w:rPr>
        <w:t xml:space="preserve"> </w:t>
      </w:r>
      <w:r w:rsidRPr="00C30F63">
        <w:rPr>
          <w:rFonts w:ascii="Times New Roman" w:hAnsi="Times New Roman"/>
          <w:i/>
          <w:sz w:val="24"/>
          <w:szCs w:val="24"/>
        </w:rPr>
        <w:t xml:space="preserve">otro </w:t>
      </w:r>
      <w:r w:rsidRPr="00C30F63">
        <w:rPr>
          <w:rFonts w:ascii="Times New Roman" w:hAnsi="Times New Roman"/>
          <w:sz w:val="24"/>
          <w:szCs w:val="24"/>
        </w:rPr>
        <w:t>(previamente)</w:t>
      </w:r>
      <w:r w:rsidRPr="00C30F63">
        <w:rPr>
          <w:rFonts w:ascii="Times New Roman" w:hAnsi="Times New Roman"/>
          <w:i/>
          <w:sz w:val="24"/>
          <w:szCs w:val="24"/>
        </w:rPr>
        <w:t xml:space="preserve"> trabajado</w:t>
      </w:r>
      <w:r w:rsidRPr="00C30F63">
        <w:rPr>
          <w:rFonts w:ascii="Times New Roman" w:hAnsi="Times New Roman"/>
          <w:sz w:val="24"/>
          <w:szCs w:val="24"/>
        </w:rPr>
        <w:t>.</w:t>
      </w:r>
    </w:p>
    <w:p w14:paraId="100B8B66" w14:textId="77777777" w:rsidR="007B337F" w:rsidRPr="00C30F63" w:rsidRDefault="00354899" w:rsidP="00C30F63">
      <w:pPr>
        <w:spacing w:after="120" w:line="360" w:lineRule="auto"/>
        <w:jc w:val="both"/>
        <w:rPr>
          <w:rFonts w:ascii="Times New Roman" w:hAnsi="Times New Roman"/>
          <w:sz w:val="24"/>
          <w:szCs w:val="24"/>
        </w:rPr>
      </w:pPr>
      <w:r w:rsidRPr="00C30F63">
        <w:rPr>
          <w:rFonts w:ascii="Times New Roman" w:hAnsi="Times New Roman"/>
          <w:sz w:val="24"/>
          <w:szCs w:val="24"/>
        </w:rPr>
        <w:t xml:space="preserve">Así, la categoría del otro trabajado me permite agrupar en un nuevo tipo ideal todas y cada una de las </w:t>
      </w:r>
      <w:proofErr w:type="spellStart"/>
      <w:r w:rsidRPr="00C30F63">
        <w:rPr>
          <w:rFonts w:ascii="Times New Roman" w:hAnsi="Times New Roman"/>
          <w:sz w:val="24"/>
          <w:szCs w:val="24"/>
        </w:rPr>
        <w:t>vulnerabilizaciones</w:t>
      </w:r>
      <w:proofErr w:type="spellEnd"/>
      <w:r w:rsidRPr="00C30F63">
        <w:rPr>
          <w:rFonts w:ascii="Times New Roman" w:hAnsi="Times New Roman"/>
          <w:sz w:val="24"/>
          <w:szCs w:val="24"/>
        </w:rPr>
        <w:t xml:space="preserve"> que se extienden a través de las </w:t>
      </w:r>
      <w:r w:rsidR="00903F96" w:rsidRPr="00C30F63">
        <w:rPr>
          <w:rFonts w:ascii="Times New Roman" w:hAnsi="Times New Roman"/>
          <w:sz w:val="24"/>
          <w:szCs w:val="24"/>
        </w:rPr>
        <w:t>vidas biológicas y biográficas de quienes estudian en la cárcel.</w:t>
      </w:r>
      <w:r w:rsidR="009815D2" w:rsidRPr="00C30F63">
        <w:rPr>
          <w:rFonts w:ascii="Times New Roman" w:hAnsi="Times New Roman"/>
          <w:sz w:val="24"/>
          <w:szCs w:val="24"/>
        </w:rPr>
        <w:t xml:space="preserve"> Son estas </w:t>
      </w:r>
      <w:proofErr w:type="spellStart"/>
      <w:r w:rsidR="009815D2" w:rsidRPr="00C30F63">
        <w:rPr>
          <w:rFonts w:ascii="Times New Roman" w:hAnsi="Times New Roman"/>
          <w:i/>
          <w:sz w:val="24"/>
          <w:szCs w:val="24"/>
        </w:rPr>
        <w:t>vulnerabilizaciones</w:t>
      </w:r>
      <w:proofErr w:type="spellEnd"/>
      <w:r w:rsidR="009815D2" w:rsidRPr="00C30F63">
        <w:rPr>
          <w:rFonts w:ascii="Times New Roman" w:hAnsi="Times New Roman"/>
          <w:i/>
          <w:sz w:val="24"/>
          <w:szCs w:val="24"/>
        </w:rPr>
        <w:t xml:space="preserve"> extendidas </w:t>
      </w:r>
      <w:r w:rsidR="007B337F" w:rsidRPr="00C30F63">
        <w:rPr>
          <w:rFonts w:ascii="Times New Roman" w:hAnsi="Times New Roman"/>
          <w:sz w:val="24"/>
          <w:szCs w:val="24"/>
        </w:rPr>
        <w:t xml:space="preserve">en sus diversas </w:t>
      </w:r>
      <w:proofErr w:type="spellStart"/>
      <w:r w:rsidR="007B337F" w:rsidRPr="00C30F63">
        <w:rPr>
          <w:rFonts w:ascii="Times New Roman" w:hAnsi="Times New Roman"/>
          <w:sz w:val="24"/>
          <w:szCs w:val="24"/>
        </w:rPr>
        <w:t>diemnsiones</w:t>
      </w:r>
      <w:proofErr w:type="spellEnd"/>
      <w:r w:rsidR="007B337F" w:rsidRPr="00C30F63">
        <w:rPr>
          <w:rFonts w:ascii="Times New Roman" w:hAnsi="Times New Roman"/>
          <w:sz w:val="24"/>
          <w:szCs w:val="24"/>
        </w:rPr>
        <w:t xml:space="preserve"> (longitud; anchura; superficie; extrarradio; profundidad; estigma) las que operan en la construcción del perfil de quienes estudian en la cárcel y, por ende, </w:t>
      </w:r>
      <w:r w:rsidR="00024734" w:rsidRPr="00C30F63">
        <w:rPr>
          <w:rFonts w:ascii="Times New Roman" w:hAnsi="Times New Roman"/>
          <w:sz w:val="24"/>
          <w:szCs w:val="24"/>
        </w:rPr>
        <w:t xml:space="preserve">de quienes </w:t>
      </w:r>
      <w:r w:rsidR="007B337F" w:rsidRPr="00C30F63">
        <w:rPr>
          <w:rFonts w:ascii="Times New Roman" w:hAnsi="Times New Roman"/>
          <w:sz w:val="24"/>
          <w:szCs w:val="24"/>
        </w:rPr>
        <w:t>constituyen la materia prima del trabajo sobre los otros</w:t>
      </w:r>
      <w:r w:rsidR="00CA5707" w:rsidRPr="00C30F63">
        <w:rPr>
          <w:rFonts w:ascii="Times New Roman" w:hAnsi="Times New Roman"/>
          <w:sz w:val="24"/>
          <w:szCs w:val="24"/>
        </w:rPr>
        <w:t xml:space="preserve"> (Richter, 2022a; 2022b)</w:t>
      </w:r>
      <w:r w:rsidR="007B337F" w:rsidRPr="00C30F63">
        <w:rPr>
          <w:rFonts w:ascii="Times New Roman" w:hAnsi="Times New Roman"/>
          <w:sz w:val="24"/>
          <w:szCs w:val="24"/>
        </w:rPr>
        <w:t>.</w:t>
      </w:r>
    </w:p>
    <w:p w14:paraId="25EF8E57" w14:textId="77777777" w:rsidR="00024734" w:rsidRPr="00C30F63" w:rsidRDefault="00024734" w:rsidP="00C30F63">
      <w:pPr>
        <w:spacing w:after="120" w:line="360" w:lineRule="auto"/>
        <w:jc w:val="both"/>
        <w:rPr>
          <w:rFonts w:ascii="Times New Roman" w:hAnsi="Times New Roman"/>
          <w:sz w:val="24"/>
          <w:szCs w:val="24"/>
        </w:rPr>
      </w:pPr>
      <w:r w:rsidRPr="00C30F63">
        <w:rPr>
          <w:rFonts w:ascii="Times New Roman" w:hAnsi="Times New Roman"/>
          <w:sz w:val="24"/>
          <w:szCs w:val="24"/>
        </w:rPr>
        <w:t xml:space="preserve">Es cierto que Dubet (2006) insiste en el carácter ideal de su categorización del </w:t>
      </w:r>
      <w:r w:rsidR="003E4071" w:rsidRPr="00C30F63">
        <w:rPr>
          <w:rFonts w:ascii="Times New Roman" w:hAnsi="Times New Roman"/>
          <w:sz w:val="24"/>
          <w:szCs w:val="24"/>
        </w:rPr>
        <w:t>PI</w:t>
      </w:r>
      <w:r w:rsidRPr="00C30F63">
        <w:rPr>
          <w:rFonts w:ascii="Times New Roman" w:hAnsi="Times New Roman"/>
          <w:sz w:val="24"/>
          <w:szCs w:val="24"/>
        </w:rPr>
        <w:t xml:space="preserve"> y los distintos roles implicados</w:t>
      </w:r>
      <w:r w:rsidR="00DC06BF" w:rsidRPr="00C30F63">
        <w:rPr>
          <w:rFonts w:ascii="Times New Roman" w:hAnsi="Times New Roman"/>
          <w:sz w:val="24"/>
          <w:szCs w:val="24"/>
        </w:rPr>
        <w:t xml:space="preserve"> en el mismo</w:t>
      </w:r>
      <w:r w:rsidRPr="00C30F63">
        <w:rPr>
          <w:rFonts w:ascii="Times New Roman" w:hAnsi="Times New Roman"/>
          <w:sz w:val="24"/>
          <w:szCs w:val="24"/>
        </w:rPr>
        <w:t xml:space="preserve">, sobre todo al hacer frente a la lógica de control social. De esta manera, ni los roles ni las posiciones son puras en estado práctico, lo cual deja entreabierta la posibilidad a que el rol docente y el rol de estudiante </w:t>
      </w:r>
      <w:r w:rsidR="006946C6" w:rsidRPr="00C30F63">
        <w:rPr>
          <w:rFonts w:ascii="Times New Roman" w:hAnsi="Times New Roman"/>
          <w:sz w:val="24"/>
          <w:szCs w:val="24"/>
        </w:rPr>
        <w:t>arrastren a la relación intrainstitucional trabajos sociales previos. Sin embargo, el caso del control social en escuelas en contextos de privación de la libertad monta un escenario de interacción en el que los roles, que por definición se encuentran preestablecidos y a distancia del trato más personal, son redefinidos a fuerza del encuentro entre profesionales que tienen como tarea el trabajo sobre los otros y estudiantes que, como individuos, portan las marcas biológicas y biográficas de haber sido y estar siendo trabajados.</w:t>
      </w:r>
    </w:p>
    <w:p w14:paraId="7234619D" w14:textId="1B27D2A5" w:rsidR="00DC06BF" w:rsidRPr="00C30F63" w:rsidRDefault="00DC06BF" w:rsidP="00C30F63">
      <w:pPr>
        <w:spacing w:after="120" w:line="360" w:lineRule="auto"/>
        <w:jc w:val="both"/>
        <w:rPr>
          <w:rFonts w:ascii="Times New Roman" w:hAnsi="Times New Roman"/>
          <w:sz w:val="24"/>
          <w:szCs w:val="24"/>
        </w:rPr>
      </w:pPr>
      <w:r w:rsidRPr="00C30F63">
        <w:rPr>
          <w:rFonts w:ascii="Times New Roman" w:hAnsi="Times New Roman"/>
          <w:sz w:val="24"/>
          <w:szCs w:val="24"/>
        </w:rPr>
        <w:lastRenderedPageBreak/>
        <w:t xml:space="preserve">La categoría de </w:t>
      </w:r>
      <w:r w:rsidRPr="000D2401">
        <w:rPr>
          <w:rFonts w:ascii="Times New Roman" w:hAnsi="Times New Roman"/>
          <w:i/>
          <w:iCs/>
          <w:sz w:val="24"/>
          <w:szCs w:val="24"/>
        </w:rPr>
        <w:t>(des)control social</w:t>
      </w:r>
      <w:r w:rsidRPr="00C30F63">
        <w:rPr>
          <w:rFonts w:ascii="Times New Roman" w:hAnsi="Times New Roman"/>
          <w:sz w:val="24"/>
          <w:szCs w:val="24"/>
        </w:rPr>
        <w:t xml:space="preserve"> me permite dar cuenta de toda esa complejidad, que probablemente no se agote en el universo de </w:t>
      </w:r>
      <w:r w:rsidR="00880AE4">
        <w:rPr>
          <w:rFonts w:ascii="Times New Roman" w:hAnsi="Times New Roman"/>
          <w:sz w:val="24"/>
          <w:szCs w:val="24"/>
        </w:rPr>
        <w:t>l</w:t>
      </w:r>
      <w:r w:rsidRPr="00C30F63">
        <w:rPr>
          <w:rFonts w:ascii="Times New Roman" w:hAnsi="Times New Roman"/>
          <w:sz w:val="24"/>
          <w:szCs w:val="24"/>
        </w:rPr>
        <w:t xml:space="preserve">a educación en cárceles, y de la particularidad de las experiencias docentes en estos contextos. </w:t>
      </w:r>
      <w:r w:rsidR="00880AE4">
        <w:rPr>
          <w:rFonts w:ascii="Times New Roman" w:hAnsi="Times New Roman"/>
          <w:sz w:val="24"/>
          <w:szCs w:val="24"/>
        </w:rPr>
        <w:t>Aquí p</w:t>
      </w:r>
      <w:r w:rsidRPr="00C30F63">
        <w:rPr>
          <w:rFonts w:ascii="Times New Roman" w:hAnsi="Times New Roman"/>
          <w:sz w:val="24"/>
          <w:szCs w:val="24"/>
        </w:rPr>
        <w:t xml:space="preserve">resento algunos rasgos del </w:t>
      </w:r>
      <w:r w:rsidR="003E4071" w:rsidRPr="00C30F63">
        <w:rPr>
          <w:rFonts w:ascii="Times New Roman" w:hAnsi="Times New Roman"/>
          <w:sz w:val="24"/>
          <w:szCs w:val="24"/>
        </w:rPr>
        <w:t>PI</w:t>
      </w:r>
      <w:r w:rsidRPr="00C30F63">
        <w:rPr>
          <w:rFonts w:ascii="Times New Roman" w:hAnsi="Times New Roman"/>
          <w:i/>
          <w:sz w:val="24"/>
          <w:szCs w:val="24"/>
        </w:rPr>
        <w:t xml:space="preserve"> </w:t>
      </w:r>
      <w:r w:rsidRPr="00C30F63">
        <w:rPr>
          <w:rFonts w:ascii="Times New Roman" w:hAnsi="Times New Roman"/>
          <w:sz w:val="24"/>
          <w:szCs w:val="24"/>
        </w:rPr>
        <w:t>(Dubet, 2006) y su actualización en instituciones educativas de nivel secundario en prisiones federales y bonaerenses.</w:t>
      </w:r>
      <w:r w:rsidR="003E4071" w:rsidRPr="00C30F63">
        <w:rPr>
          <w:rFonts w:ascii="Times New Roman" w:hAnsi="Times New Roman"/>
          <w:sz w:val="24"/>
          <w:szCs w:val="24"/>
        </w:rPr>
        <w:t xml:space="preserve"> Con ello pretendo esbozar un marco en el que la escisión del (des)control social juega un papel privilegiado para analizar dichas experiencias.</w:t>
      </w:r>
    </w:p>
    <w:p w14:paraId="5E91C536" w14:textId="1C3FA162" w:rsidR="00D72096" w:rsidRPr="00C30F63" w:rsidRDefault="00D72096" w:rsidP="00C30F63">
      <w:pPr>
        <w:spacing w:after="120" w:line="360" w:lineRule="auto"/>
        <w:jc w:val="both"/>
        <w:rPr>
          <w:rFonts w:ascii="Times New Roman" w:hAnsi="Times New Roman"/>
          <w:sz w:val="24"/>
          <w:szCs w:val="24"/>
        </w:rPr>
      </w:pPr>
      <w:r w:rsidRPr="00C30F63">
        <w:rPr>
          <w:rFonts w:ascii="Times New Roman" w:hAnsi="Times New Roman"/>
          <w:sz w:val="24"/>
          <w:szCs w:val="24"/>
        </w:rPr>
        <w:t xml:space="preserve">En primer </w:t>
      </w:r>
      <w:r w:rsidR="00B949C7" w:rsidRPr="00C30F63">
        <w:rPr>
          <w:rFonts w:ascii="Times New Roman" w:hAnsi="Times New Roman"/>
          <w:sz w:val="24"/>
          <w:szCs w:val="24"/>
        </w:rPr>
        <w:t>lugar,</w:t>
      </w:r>
      <w:r w:rsidRPr="00C30F63">
        <w:rPr>
          <w:rFonts w:ascii="Times New Roman" w:hAnsi="Times New Roman"/>
          <w:sz w:val="24"/>
          <w:szCs w:val="24"/>
        </w:rPr>
        <w:t xml:space="preserve"> </w:t>
      </w:r>
      <w:r w:rsidR="00776CBA">
        <w:rPr>
          <w:rFonts w:ascii="Times New Roman" w:hAnsi="Times New Roman"/>
          <w:sz w:val="24"/>
          <w:szCs w:val="24"/>
        </w:rPr>
        <w:t>uno de los rasgos del PI es</w:t>
      </w:r>
      <w:r w:rsidRPr="00C30F63">
        <w:rPr>
          <w:rFonts w:ascii="Times New Roman" w:hAnsi="Times New Roman"/>
          <w:sz w:val="24"/>
          <w:szCs w:val="24"/>
        </w:rPr>
        <w:t xml:space="preserve"> su </w:t>
      </w:r>
      <w:r w:rsidRPr="00C30F63">
        <w:rPr>
          <w:rFonts w:ascii="Times New Roman" w:hAnsi="Times New Roman"/>
          <w:i/>
          <w:sz w:val="24"/>
          <w:szCs w:val="24"/>
        </w:rPr>
        <w:t>índole religiosa</w:t>
      </w:r>
      <w:r w:rsidRPr="00C30F63">
        <w:rPr>
          <w:rFonts w:ascii="Times New Roman" w:hAnsi="Times New Roman"/>
          <w:sz w:val="24"/>
          <w:szCs w:val="24"/>
        </w:rPr>
        <w:t>, la cual no implica la presencia continua de lo religioso en tanto un sistema organizado de creencias y dogmas, sino una forma de establecer el trabajo sobre los otros en la que se prioriza la relación entre cuestiones universales e individuos particulares. En esa línea, para Dubet es la iglesia la que inventa la escuela justamente por su proyecto de “dominación universal de las almas” (2006, p. 33).</w:t>
      </w:r>
    </w:p>
    <w:p w14:paraId="19478827" w14:textId="77777777" w:rsidR="00BA3722" w:rsidRPr="00C30F63" w:rsidRDefault="00D72096" w:rsidP="00C30F63">
      <w:pPr>
        <w:spacing w:after="120" w:line="360" w:lineRule="auto"/>
        <w:jc w:val="both"/>
        <w:rPr>
          <w:rFonts w:ascii="Times New Roman" w:hAnsi="Times New Roman"/>
          <w:sz w:val="24"/>
          <w:szCs w:val="24"/>
        </w:rPr>
      </w:pPr>
      <w:r w:rsidRPr="00C30F63">
        <w:rPr>
          <w:rFonts w:ascii="Times New Roman" w:hAnsi="Times New Roman"/>
          <w:sz w:val="24"/>
          <w:szCs w:val="24"/>
        </w:rPr>
        <w:t xml:space="preserve">Esto da paso, en segundo lugar, a la idea de </w:t>
      </w:r>
      <w:r w:rsidRPr="00C30F63">
        <w:rPr>
          <w:rFonts w:ascii="Times New Roman" w:hAnsi="Times New Roman"/>
          <w:i/>
          <w:sz w:val="24"/>
          <w:szCs w:val="24"/>
        </w:rPr>
        <w:t>conversión</w:t>
      </w:r>
      <w:r w:rsidRPr="00C30F63">
        <w:rPr>
          <w:rFonts w:ascii="Times New Roman" w:hAnsi="Times New Roman"/>
          <w:sz w:val="24"/>
          <w:szCs w:val="24"/>
        </w:rPr>
        <w:t>. Es decir, no necesariamente en los términos de inculcación evangélica, sino de adoctrinamiento en normas, criterios y valores de carácter universal</w:t>
      </w:r>
      <w:r w:rsidR="00BA3722" w:rsidRPr="00C30F63">
        <w:rPr>
          <w:rFonts w:ascii="Times New Roman" w:hAnsi="Times New Roman"/>
          <w:sz w:val="24"/>
          <w:szCs w:val="24"/>
        </w:rPr>
        <w:t xml:space="preserve"> que a su vez redunda en un descubrimiento del propio ser individual. </w:t>
      </w:r>
    </w:p>
    <w:p w14:paraId="683F0A58" w14:textId="536187E0" w:rsidR="00DC06BF" w:rsidRPr="00C30F63" w:rsidRDefault="00BA3722" w:rsidP="00C30F63">
      <w:pPr>
        <w:spacing w:after="120" w:line="360" w:lineRule="auto"/>
        <w:jc w:val="both"/>
        <w:rPr>
          <w:rFonts w:ascii="Times New Roman" w:hAnsi="Times New Roman"/>
          <w:sz w:val="24"/>
          <w:szCs w:val="24"/>
        </w:rPr>
      </w:pPr>
      <w:r w:rsidRPr="00C30F63">
        <w:rPr>
          <w:rFonts w:ascii="Times New Roman" w:hAnsi="Times New Roman"/>
          <w:sz w:val="24"/>
          <w:szCs w:val="24"/>
        </w:rPr>
        <w:t xml:space="preserve">Tanto la índole religiosa como la conversión abonan un proceso que implica, en tercer lugar, la consideración de lo escolar como algo </w:t>
      </w:r>
      <w:r w:rsidRPr="00C30F63">
        <w:rPr>
          <w:rFonts w:ascii="Times New Roman" w:hAnsi="Times New Roman"/>
          <w:i/>
          <w:sz w:val="24"/>
          <w:szCs w:val="24"/>
        </w:rPr>
        <w:t>por fuera del mundo</w:t>
      </w:r>
      <w:r w:rsidR="00067532" w:rsidRPr="00C30F63">
        <w:rPr>
          <w:rFonts w:ascii="Times New Roman" w:hAnsi="Times New Roman"/>
          <w:sz w:val="24"/>
          <w:szCs w:val="24"/>
        </w:rPr>
        <w:t>, al margen o en paralelo a los avatares de la realidad social. Esto podría sonar contradictorio, porque en última instancia eso que queda por fuera debe tener algún cimiento inteligible en el mundo real; pero más bien se trata de colocar siempre por encima de necesidades, interacciones y sentimientos personales, asuntos impersonales que hacen simultáneamente tanto al sujeto como al grupo del cual forma parte</w:t>
      </w:r>
      <w:r w:rsidR="007D542E" w:rsidRPr="00C30F63">
        <w:rPr>
          <w:rFonts w:ascii="Times New Roman" w:hAnsi="Times New Roman"/>
          <w:sz w:val="24"/>
          <w:szCs w:val="24"/>
        </w:rPr>
        <w:t xml:space="preserve">. Podría tratarse de la producción de guerrero, acólitos, ciudadanas o consumidoras; una vez más, cambian los </w:t>
      </w:r>
      <w:r w:rsidR="00B949C7" w:rsidRPr="00C30F63">
        <w:rPr>
          <w:rFonts w:ascii="Times New Roman" w:hAnsi="Times New Roman"/>
          <w:sz w:val="24"/>
          <w:szCs w:val="24"/>
        </w:rPr>
        <w:t>contenidos,</w:t>
      </w:r>
      <w:r w:rsidR="007D542E" w:rsidRPr="00C30F63">
        <w:rPr>
          <w:rFonts w:ascii="Times New Roman" w:hAnsi="Times New Roman"/>
          <w:sz w:val="24"/>
          <w:szCs w:val="24"/>
        </w:rPr>
        <w:t xml:space="preserve"> pero no las formas.</w:t>
      </w:r>
    </w:p>
    <w:p w14:paraId="557CCB6D" w14:textId="77777777" w:rsidR="00666590" w:rsidRPr="00C30F63" w:rsidRDefault="00666590" w:rsidP="00C30F63">
      <w:pPr>
        <w:spacing w:after="120" w:line="360" w:lineRule="auto"/>
        <w:jc w:val="both"/>
        <w:rPr>
          <w:rFonts w:ascii="Times New Roman" w:hAnsi="Times New Roman"/>
          <w:sz w:val="24"/>
          <w:szCs w:val="24"/>
        </w:rPr>
      </w:pPr>
      <w:r w:rsidRPr="00C30F63">
        <w:rPr>
          <w:rFonts w:ascii="Times New Roman" w:hAnsi="Times New Roman"/>
          <w:sz w:val="24"/>
          <w:szCs w:val="24"/>
        </w:rPr>
        <w:t xml:space="preserve">En cuarto y último lugar, en una enumeración intencional y que deja afuera otros rasgos por cuestiones de espacio, aparece la relación apenas sugerida más arriba entre la </w:t>
      </w:r>
      <w:r w:rsidRPr="00C30F63">
        <w:rPr>
          <w:rFonts w:ascii="Times New Roman" w:hAnsi="Times New Roman"/>
          <w:i/>
          <w:sz w:val="24"/>
          <w:szCs w:val="24"/>
        </w:rPr>
        <w:t>producción de sujetos libres</w:t>
      </w:r>
      <w:r w:rsidRPr="00C30F63">
        <w:rPr>
          <w:rFonts w:ascii="Times New Roman" w:hAnsi="Times New Roman"/>
          <w:sz w:val="24"/>
          <w:szCs w:val="24"/>
        </w:rPr>
        <w:t xml:space="preserve"> y el mantenimiento tanto del </w:t>
      </w:r>
      <w:r w:rsidRPr="00C30F63">
        <w:rPr>
          <w:rFonts w:ascii="Times New Roman" w:hAnsi="Times New Roman"/>
          <w:i/>
          <w:sz w:val="24"/>
          <w:szCs w:val="24"/>
        </w:rPr>
        <w:t>orden establecido</w:t>
      </w:r>
      <w:r w:rsidRPr="00C30F63">
        <w:rPr>
          <w:rFonts w:ascii="Times New Roman" w:hAnsi="Times New Roman"/>
          <w:sz w:val="24"/>
          <w:szCs w:val="24"/>
        </w:rPr>
        <w:t xml:space="preserve"> como del </w:t>
      </w:r>
      <w:r w:rsidRPr="00C30F63">
        <w:rPr>
          <w:rFonts w:ascii="Times New Roman" w:hAnsi="Times New Roman"/>
          <w:i/>
          <w:sz w:val="24"/>
          <w:szCs w:val="24"/>
        </w:rPr>
        <w:t>orden de la justicia</w:t>
      </w:r>
      <w:r w:rsidRPr="00C30F63">
        <w:rPr>
          <w:rFonts w:ascii="Times New Roman" w:hAnsi="Times New Roman"/>
          <w:sz w:val="24"/>
          <w:szCs w:val="24"/>
        </w:rPr>
        <w:t>.</w:t>
      </w:r>
    </w:p>
    <w:p w14:paraId="0D6E9374" w14:textId="4740AE4E" w:rsidR="00D65ED8" w:rsidRDefault="00776CBA" w:rsidP="00C30F63">
      <w:pPr>
        <w:spacing w:after="120" w:line="360" w:lineRule="auto"/>
        <w:jc w:val="both"/>
        <w:rPr>
          <w:rFonts w:ascii="Times New Roman" w:hAnsi="Times New Roman"/>
          <w:sz w:val="24"/>
          <w:szCs w:val="24"/>
        </w:rPr>
      </w:pPr>
      <w:r>
        <w:rPr>
          <w:rFonts w:ascii="Times New Roman" w:hAnsi="Times New Roman"/>
          <w:sz w:val="24"/>
          <w:szCs w:val="24"/>
        </w:rPr>
        <w:t>Todos y cada uno de esos rasgos se encuentran tensionados en lo que categorizo como distintos énfasis con los que emerge la noción de (des)control social</w:t>
      </w:r>
      <w:r w:rsidR="00DE34C1">
        <w:rPr>
          <w:rFonts w:ascii="Times New Roman" w:hAnsi="Times New Roman"/>
          <w:sz w:val="24"/>
          <w:szCs w:val="24"/>
        </w:rPr>
        <w:t>.</w:t>
      </w:r>
      <w:r>
        <w:rPr>
          <w:rFonts w:ascii="Times New Roman" w:hAnsi="Times New Roman"/>
          <w:sz w:val="24"/>
          <w:szCs w:val="24"/>
        </w:rPr>
        <w:t xml:space="preserve">  En esta ocasión</w:t>
      </w:r>
      <w:r w:rsidR="007B337F" w:rsidRPr="00C30F63">
        <w:rPr>
          <w:rFonts w:ascii="Times New Roman" w:hAnsi="Times New Roman"/>
          <w:sz w:val="24"/>
          <w:szCs w:val="24"/>
        </w:rPr>
        <w:t xml:space="preserve"> </w:t>
      </w:r>
      <w:r w:rsidR="00DE34C1">
        <w:rPr>
          <w:rFonts w:ascii="Times New Roman" w:hAnsi="Times New Roman"/>
          <w:sz w:val="24"/>
          <w:szCs w:val="24"/>
        </w:rPr>
        <w:t xml:space="preserve">presento el </w:t>
      </w:r>
      <w:r w:rsidR="00DE34C1">
        <w:rPr>
          <w:rFonts w:ascii="Times New Roman" w:hAnsi="Times New Roman"/>
          <w:i/>
          <w:iCs/>
          <w:sz w:val="24"/>
          <w:szCs w:val="24"/>
        </w:rPr>
        <w:t xml:space="preserve">énfasis sobre el otro </w:t>
      </w:r>
      <w:proofErr w:type="spellStart"/>
      <w:r w:rsidR="00DE34C1">
        <w:rPr>
          <w:rFonts w:ascii="Times New Roman" w:hAnsi="Times New Roman"/>
          <w:i/>
          <w:iCs/>
          <w:sz w:val="24"/>
          <w:szCs w:val="24"/>
        </w:rPr>
        <w:t>vulnerabilizado</w:t>
      </w:r>
      <w:proofErr w:type="spellEnd"/>
      <w:r w:rsidR="00DE34C1">
        <w:rPr>
          <w:rFonts w:ascii="Times New Roman" w:hAnsi="Times New Roman"/>
          <w:sz w:val="24"/>
          <w:szCs w:val="24"/>
        </w:rPr>
        <w:t>. Es decir, en las experiencias docentes analizadas emergen conjuntos de razones que empujan a la acción y que no responden</w:t>
      </w:r>
      <w:r w:rsidR="00810516">
        <w:rPr>
          <w:rFonts w:ascii="Times New Roman" w:hAnsi="Times New Roman"/>
          <w:sz w:val="24"/>
          <w:szCs w:val="24"/>
        </w:rPr>
        <w:t xml:space="preserve"> a los roles tradicionales de docente y estudiante implicados en la lógica original de control social. Este énfasis aparece vinculado a ideas acerca de oportunidades, bienestar y desigualdades. Los fragmentos de entrevista que siguen lo comparto a modo de disparadores para la discusión. En ellos encuentro cristalizadas las principales características d</w:t>
      </w:r>
      <w:r w:rsidR="00D65ED8">
        <w:rPr>
          <w:rFonts w:ascii="Times New Roman" w:hAnsi="Times New Roman"/>
          <w:sz w:val="24"/>
          <w:szCs w:val="24"/>
        </w:rPr>
        <w:t>el énfasis mencionado:</w:t>
      </w:r>
    </w:p>
    <w:p w14:paraId="19D8459F" w14:textId="159BD709" w:rsidR="00D65ED8" w:rsidRDefault="00D65ED8" w:rsidP="00D65ED8">
      <w:pPr>
        <w:autoSpaceDE w:val="0"/>
        <w:autoSpaceDN w:val="0"/>
        <w:adjustRightInd w:val="0"/>
        <w:spacing w:after="0" w:line="240" w:lineRule="auto"/>
        <w:ind w:left="567" w:right="567"/>
        <w:jc w:val="both"/>
        <w:rPr>
          <w:rFonts w:ascii="Times New Roman" w:hAnsi="Times New Roman"/>
          <w:kern w:val="1"/>
          <w:lang w:eastAsia="es-AR"/>
        </w:rPr>
      </w:pPr>
      <w:r w:rsidRPr="00D65ED8">
        <w:rPr>
          <w:rFonts w:ascii="Times New Roman" w:hAnsi="Times New Roman"/>
          <w:kern w:val="1"/>
          <w:lang w:eastAsia="es-AR"/>
        </w:rPr>
        <w:t xml:space="preserve">Pero también, está toda la parte teórica, pero ahora vamos a la parte humana, porque no dejamos de ser personas. Entonces, una buena clase en cuando vos estás bien y tus alumnos están bien. El arranque tiene que ser ahí. Porque por ahí los temas son buenísimos y la actividad que vamos a hacer es buenísima. Pero si </w:t>
      </w:r>
      <w:proofErr w:type="spellStart"/>
      <w:r w:rsidRPr="00D65ED8">
        <w:rPr>
          <w:rFonts w:ascii="Times New Roman" w:hAnsi="Times New Roman"/>
          <w:kern w:val="1"/>
          <w:lang w:eastAsia="es-AR"/>
        </w:rPr>
        <w:t>tenés</w:t>
      </w:r>
      <w:proofErr w:type="spellEnd"/>
      <w:r w:rsidRPr="00D65ED8">
        <w:rPr>
          <w:rFonts w:ascii="Times New Roman" w:hAnsi="Times New Roman"/>
          <w:kern w:val="1"/>
          <w:lang w:eastAsia="es-AR"/>
        </w:rPr>
        <w:t xml:space="preserve"> un alumno que viene de estar 3 días sin agua, o pasarse una semana en un calabozo. Por ahí mi clase, yo expliqué perfecto, estuvo buenísimo lo que yo dije, era re entretenido. Pero si la persona en sí no está bien, la clase no es ideal. Primero las personas y después vemos qué pasa</w:t>
      </w:r>
      <w:r>
        <w:rPr>
          <w:rFonts w:ascii="Times New Roman" w:hAnsi="Times New Roman"/>
          <w:kern w:val="1"/>
          <w:lang w:eastAsia="es-AR"/>
        </w:rPr>
        <w:t xml:space="preserve"> (Rodrigo, docente CENS 1)</w:t>
      </w:r>
      <w:r w:rsidRPr="00D65ED8">
        <w:rPr>
          <w:rFonts w:ascii="Times New Roman" w:hAnsi="Times New Roman"/>
          <w:kern w:val="1"/>
          <w:lang w:eastAsia="es-AR"/>
        </w:rPr>
        <w:t>.</w:t>
      </w:r>
    </w:p>
    <w:p w14:paraId="1695208E" w14:textId="720EA879" w:rsidR="00D65ED8" w:rsidRDefault="00D65ED8" w:rsidP="00D65ED8">
      <w:pPr>
        <w:autoSpaceDE w:val="0"/>
        <w:autoSpaceDN w:val="0"/>
        <w:adjustRightInd w:val="0"/>
        <w:spacing w:after="0" w:line="240" w:lineRule="auto"/>
        <w:ind w:left="567" w:right="567"/>
        <w:jc w:val="both"/>
        <w:rPr>
          <w:rFonts w:ascii="Times New Roman" w:hAnsi="Times New Roman"/>
          <w:kern w:val="1"/>
          <w:lang w:eastAsia="es-AR"/>
        </w:rPr>
      </w:pPr>
    </w:p>
    <w:p w14:paraId="5629B714" w14:textId="2E7BBDC8" w:rsidR="00D65ED8" w:rsidRDefault="00D65ED8" w:rsidP="00D65ED8">
      <w:pPr>
        <w:autoSpaceDE w:val="0"/>
        <w:autoSpaceDN w:val="0"/>
        <w:adjustRightInd w:val="0"/>
        <w:spacing w:after="0" w:line="240" w:lineRule="auto"/>
        <w:ind w:left="567" w:right="567"/>
        <w:jc w:val="both"/>
        <w:rPr>
          <w:rFonts w:ascii="Times New Roman" w:hAnsi="Times New Roman"/>
          <w:kern w:val="1"/>
          <w:lang w:eastAsia="es-AR"/>
        </w:rPr>
      </w:pPr>
      <w:r w:rsidRPr="00D65ED8">
        <w:rPr>
          <w:rFonts w:ascii="Times New Roman" w:hAnsi="Times New Roman"/>
          <w:kern w:val="1"/>
          <w:lang w:eastAsia="es-AR"/>
        </w:rPr>
        <w:t xml:space="preserve">Entonces, después de tantos años de estar con ellos y ver que ellos terminan creyendo que ellos eligieron robar. Eso es terrible, porque </w:t>
      </w:r>
      <w:proofErr w:type="spellStart"/>
      <w:r w:rsidRPr="00D65ED8">
        <w:rPr>
          <w:rFonts w:ascii="Times New Roman" w:hAnsi="Times New Roman"/>
          <w:kern w:val="1"/>
          <w:lang w:eastAsia="es-AR"/>
        </w:rPr>
        <w:t>sabés</w:t>
      </w:r>
      <w:proofErr w:type="spellEnd"/>
      <w:r w:rsidRPr="00D65ED8">
        <w:rPr>
          <w:rFonts w:ascii="Times New Roman" w:hAnsi="Times New Roman"/>
          <w:kern w:val="1"/>
          <w:lang w:eastAsia="es-AR"/>
        </w:rPr>
        <w:t xml:space="preserve"> lo que cuesta hacerlos pensar en algo superior. Porque después ellos te empiezan a decir "no, pero mi mamá y mi papá eran trabajadores", cuando vos le decís "pero, no; son las circunstancias...". Hasta que pueden pensar que va más allá de la mamá, del papá, de vivir en una villa, de ser pobre. Que tiene que ver con la imposibilidad de elección, que yo también tuve hasta que pude elegir. Porque no todos tenemos la posibilidad de ser... O sea, cuando vos </w:t>
      </w:r>
      <w:proofErr w:type="spellStart"/>
      <w:r w:rsidRPr="00D65ED8">
        <w:rPr>
          <w:rFonts w:ascii="Times New Roman" w:hAnsi="Times New Roman"/>
          <w:kern w:val="1"/>
          <w:lang w:eastAsia="es-AR"/>
        </w:rPr>
        <w:t>tenés</w:t>
      </w:r>
      <w:proofErr w:type="spellEnd"/>
      <w:r w:rsidRPr="00D65ED8">
        <w:rPr>
          <w:rFonts w:ascii="Times New Roman" w:hAnsi="Times New Roman"/>
          <w:kern w:val="1"/>
          <w:lang w:eastAsia="es-AR"/>
        </w:rPr>
        <w:t xml:space="preserve"> 12 años, no </w:t>
      </w:r>
      <w:proofErr w:type="spellStart"/>
      <w:r w:rsidRPr="00D65ED8">
        <w:rPr>
          <w:rFonts w:ascii="Times New Roman" w:hAnsi="Times New Roman"/>
          <w:kern w:val="1"/>
          <w:lang w:eastAsia="es-AR"/>
        </w:rPr>
        <w:t>tenés</w:t>
      </w:r>
      <w:proofErr w:type="spellEnd"/>
      <w:r w:rsidRPr="00D65ED8">
        <w:rPr>
          <w:rFonts w:ascii="Times New Roman" w:hAnsi="Times New Roman"/>
          <w:kern w:val="1"/>
          <w:lang w:eastAsia="es-AR"/>
        </w:rPr>
        <w:t xml:space="preserve"> 5 posibilidades: ser peluquero, robar, ser astronauta, </w:t>
      </w:r>
      <w:proofErr w:type="gramStart"/>
      <w:r w:rsidRPr="00D65ED8">
        <w:rPr>
          <w:rFonts w:ascii="Times New Roman" w:hAnsi="Times New Roman"/>
          <w:kern w:val="1"/>
          <w:lang w:eastAsia="es-AR"/>
        </w:rPr>
        <w:t>físico-químico</w:t>
      </w:r>
      <w:proofErr w:type="gramEnd"/>
      <w:r w:rsidRPr="00D65ED8">
        <w:rPr>
          <w:rFonts w:ascii="Times New Roman" w:hAnsi="Times New Roman"/>
          <w:kern w:val="1"/>
          <w:lang w:eastAsia="es-AR"/>
        </w:rPr>
        <w:t xml:space="preserve">, o profesor de gimnasia. No es que vos de esas 5 posibilidades, cualquiera </w:t>
      </w:r>
      <w:proofErr w:type="spellStart"/>
      <w:r w:rsidRPr="00D65ED8">
        <w:rPr>
          <w:rFonts w:ascii="Times New Roman" w:hAnsi="Times New Roman"/>
          <w:kern w:val="1"/>
          <w:lang w:eastAsia="es-AR"/>
        </w:rPr>
        <w:t>podés</w:t>
      </w:r>
      <w:proofErr w:type="spellEnd"/>
      <w:r w:rsidRPr="00D65ED8">
        <w:rPr>
          <w:rFonts w:ascii="Times New Roman" w:hAnsi="Times New Roman"/>
          <w:kern w:val="1"/>
          <w:lang w:eastAsia="es-AR"/>
        </w:rPr>
        <w:t xml:space="preserve"> elegir. No. Entonces es mentira la elección. Vos elegís en base al campo que vos </w:t>
      </w:r>
      <w:proofErr w:type="spellStart"/>
      <w:r w:rsidRPr="00D65ED8">
        <w:rPr>
          <w:rFonts w:ascii="Times New Roman" w:hAnsi="Times New Roman"/>
          <w:kern w:val="1"/>
          <w:lang w:eastAsia="es-AR"/>
        </w:rPr>
        <w:t>tenés</w:t>
      </w:r>
      <w:proofErr w:type="spellEnd"/>
      <w:r w:rsidRPr="00D65ED8">
        <w:rPr>
          <w:rFonts w:ascii="Times New Roman" w:hAnsi="Times New Roman"/>
          <w:kern w:val="1"/>
          <w:lang w:eastAsia="es-AR"/>
        </w:rPr>
        <w:t xml:space="preserve"> de acción y de las herramientas con las que </w:t>
      </w:r>
      <w:proofErr w:type="spellStart"/>
      <w:r w:rsidRPr="00D65ED8">
        <w:rPr>
          <w:rFonts w:ascii="Times New Roman" w:hAnsi="Times New Roman"/>
          <w:kern w:val="1"/>
          <w:lang w:eastAsia="es-AR"/>
        </w:rPr>
        <w:t>contás</w:t>
      </w:r>
      <w:proofErr w:type="spellEnd"/>
      <w:r w:rsidRPr="00D65ED8">
        <w:rPr>
          <w:rFonts w:ascii="Times New Roman" w:hAnsi="Times New Roman"/>
          <w:kern w:val="1"/>
          <w:lang w:eastAsia="es-AR"/>
        </w:rPr>
        <w:t xml:space="preserve">. Hay herramientas que ni </w:t>
      </w:r>
      <w:proofErr w:type="spellStart"/>
      <w:r w:rsidRPr="00D65ED8">
        <w:rPr>
          <w:rFonts w:ascii="Times New Roman" w:hAnsi="Times New Roman"/>
          <w:kern w:val="1"/>
          <w:lang w:eastAsia="es-AR"/>
        </w:rPr>
        <w:t>sabés</w:t>
      </w:r>
      <w:proofErr w:type="spellEnd"/>
      <w:r w:rsidRPr="00D65ED8">
        <w:rPr>
          <w:rFonts w:ascii="Times New Roman" w:hAnsi="Times New Roman"/>
          <w:kern w:val="1"/>
          <w:lang w:eastAsia="es-AR"/>
        </w:rPr>
        <w:t xml:space="preserve"> que </w:t>
      </w:r>
      <w:proofErr w:type="spellStart"/>
      <w:r w:rsidRPr="00D65ED8">
        <w:rPr>
          <w:rFonts w:ascii="Times New Roman" w:hAnsi="Times New Roman"/>
          <w:kern w:val="1"/>
          <w:lang w:eastAsia="es-AR"/>
        </w:rPr>
        <w:t>tenés</w:t>
      </w:r>
      <w:proofErr w:type="spellEnd"/>
      <w:r w:rsidRPr="00D65ED8">
        <w:rPr>
          <w:rFonts w:ascii="Times New Roman" w:hAnsi="Times New Roman"/>
          <w:kern w:val="1"/>
          <w:lang w:eastAsia="es-AR"/>
        </w:rPr>
        <w:t>, que la vida y la coyuntura y tu trayectoria no te permiten verlas. Entonces, yo lo que rescato es esto: que la resocialización no existe</w:t>
      </w:r>
      <w:r>
        <w:rPr>
          <w:rFonts w:ascii="Times New Roman" w:hAnsi="Times New Roman"/>
          <w:kern w:val="1"/>
          <w:lang w:eastAsia="es-AR"/>
        </w:rPr>
        <w:t xml:space="preserve"> (María, docente CENS 2)</w:t>
      </w:r>
      <w:r w:rsidRPr="00D65ED8">
        <w:rPr>
          <w:rFonts w:ascii="Times New Roman" w:hAnsi="Times New Roman"/>
          <w:kern w:val="1"/>
          <w:lang w:eastAsia="es-AR"/>
        </w:rPr>
        <w:t>.</w:t>
      </w:r>
    </w:p>
    <w:p w14:paraId="5C2C68FD" w14:textId="2EC488C1" w:rsidR="00D65ED8" w:rsidRDefault="00D65ED8" w:rsidP="00D65ED8">
      <w:pPr>
        <w:autoSpaceDE w:val="0"/>
        <w:autoSpaceDN w:val="0"/>
        <w:adjustRightInd w:val="0"/>
        <w:spacing w:after="0" w:line="240" w:lineRule="auto"/>
        <w:ind w:left="567" w:right="567"/>
        <w:jc w:val="both"/>
        <w:rPr>
          <w:rFonts w:ascii="Times New Roman" w:hAnsi="Times New Roman"/>
          <w:kern w:val="1"/>
          <w:lang w:eastAsia="es-AR"/>
        </w:rPr>
      </w:pPr>
    </w:p>
    <w:p w14:paraId="78856E3D" w14:textId="17059C4D" w:rsidR="00D65ED8" w:rsidRPr="00D65ED8" w:rsidRDefault="00D65ED8" w:rsidP="00D65ED8">
      <w:pPr>
        <w:autoSpaceDE w:val="0"/>
        <w:autoSpaceDN w:val="0"/>
        <w:adjustRightInd w:val="0"/>
        <w:spacing w:after="0" w:line="240" w:lineRule="auto"/>
        <w:ind w:left="567" w:right="567"/>
        <w:jc w:val="both"/>
        <w:rPr>
          <w:rFonts w:ascii="Times New Roman" w:hAnsi="Times New Roman"/>
          <w:kern w:val="1"/>
          <w:lang w:eastAsia="es-AR"/>
        </w:rPr>
      </w:pPr>
      <w:r w:rsidRPr="00D65ED8">
        <w:rPr>
          <w:rFonts w:ascii="Times New Roman" w:hAnsi="Times New Roman"/>
          <w:kern w:val="1"/>
          <w:lang w:eastAsia="es-AR"/>
        </w:rPr>
        <w:t xml:space="preserve">Después, bueno, ahí dentro, </w:t>
      </w:r>
      <w:proofErr w:type="spellStart"/>
      <w:r w:rsidRPr="00D65ED8">
        <w:rPr>
          <w:rFonts w:ascii="Times New Roman" w:hAnsi="Times New Roman"/>
          <w:kern w:val="1"/>
          <w:lang w:eastAsia="es-AR"/>
        </w:rPr>
        <w:t>trabajás</w:t>
      </w:r>
      <w:proofErr w:type="spellEnd"/>
      <w:r w:rsidRPr="00D65ED8">
        <w:rPr>
          <w:rFonts w:ascii="Times New Roman" w:hAnsi="Times New Roman"/>
          <w:kern w:val="1"/>
          <w:lang w:eastAsia="es-AR"/>
        </w:rPr>
        <w:t xml:space="preserve"> en la trinchera. Porque esos pibes, todo el alumnado que vos </w:t>
      </w:r>
      <w:proofErr w:type="spellStart"/>
      <w:r w:rsidRPr="00D65ED8">
        <w:rPr>
          <w:rFonts w:ascii="Times New Roman" w:hAnsi="Times New Roman"/>
          <w:kern w:val="1"/>
          <w:lang w:eastAsia="es-AR"/>
        </w:rPr>
        <w:t>tenés</w:t>
      </w:r>
      <w:proofErr w:type="spellEnd"/>
      <w:r w:rsidRPr="00D65ED8">
        <w:rPr>
          <w:rFonts w:ascii="Times New Roman" w:hAnsi="Times New Roman"/>
          <w:kern w:val="1"/>
          <w:lang w:eastAsia="es-AR"/>
        </w:rPr>
        <w:t xml:space="preserve">, </w:t>
      </w:r>
      <w:proofErr w:type="spellStart"/>
      <w:r w:rsidRPr="00D65ED8">
        <w:rPr>
          <w:rFonts w:ascii="Times New Roman" w:hAnsi="Times New Roman"/>
          <w:kern w:val="1"/>
          <w:lang w:eastAsia="es-AR"/>
        </w:rPr>
        <w:t>trabajás</w:t>
      </w:r>
      <w:proofErr w:type="spellEnd"/>
      <w:r w:rsidRPr="00D65ED8">
        <w:rPr>
          <w:rFonts w:ascii="Times New Roman" w:hAnsi="Times New Roman"/>
          <w:kern w:val="1"/>
          <w:lang w:eastAsia="es-AR"/>
        </w:rPr>
        <w:t xml:space="preserve"> con sujetos que son sujetos sufrientes. Más allá de que todo el mundo sufre, hay distintos grados de sufrimiento, pero esos pibes traen una historia de sufrimiento </w:t>
      </w:r>
      <w:proofErr w:type="gramStart"/>
      <w:r w:rsidRPr="00D65ED8">
        <w:rPr>
          <w:rFonts w:ascii="Times New Roman" w:hAnsi="Times New Roman"/>
          <w:kern w:val="1"/>
          <w:lang w:eastAsia="es-AR"/>
        </w:rPr>
        <w:t>que</w:t>
      </w:r>
      <w:proofErr w:type="gramEnd"/>
      <w:r w:rsidRPr="00D65ED8">
        <w:rPr>
          <w:rFonts w:ascii="Times New Roman" w:hAnsi="Times New Roman"/>
          <w:kern w:val="1"/>
          <w:lang w:eastAsia="es-AR"/>
        </w:rPr>
        <w:t xml:space="preserve"> en muchísimos casos, depende de la unidad [penitenciaria], se potencia, además. El contexto de encierro es un lugar de castigo y de crueldad, además. Como bien se analiza por ahí, no es solamente la privación de la libertad, sino un montón de otros extras que vienen en el combo que tienen la voluntad explícita de que los pibes sufran. A tal punto, que incluso algunos lo tienen totalmente naturalizado. Hay cosas que les pasan a ellos ahí cotidianamente que tiene que ver con cierta cuestión de sufrimiento que las tienen naturalizadas, como que es normal eso. Y en ese sentido es un sujeto particular el de contextos de encierro, más allá de que es la misma escuela [que la de extramuros], de </w:t>
      </w:r>
      <w:proofErr w:type="gramStart"/>
      <w:r w:rsidRPr="00D65ED8">
        <w:rPr>
          <w:rFonts w:ascii="Times New Roman" w:hAnsi="Times New Roman"/>
          <w:kern w:val="1"/>
          <w:lang w:eastAsia="es-AR"/>
        </w:rPr>
        <w:t>hecho</w:t>
      </w:r>
      <w:proofErr w:type="gramEnd"/>
      <w:r w:rsidRPr="00D65ED8">
        <w:rPr>
          <w:rFonts w:ascii="Times New Roman" w:hAnsi="Times New Roman"/>
          <w:kern w:val="1"/>
          <w:lang w:eastAsia="es-AR"/>
        </w:rPr>
        <w:t xml:space="preserve"> yo trabajo en CENS de afuera, y vos </w:t>
      </w:r>
      <w:proofErr w:type="spellStart"/>
      <w:r w:rsidRPr="00D65ED8">
        <w:rPr>
          <w:rFonts w:ascii="Times New Roman" w:hAnsi="Times New Roman"/>
          <w:kern w:val="1"/>
          <w:lang w:eastAsia="es-AR"/>
        </w:rPr>
        <w:t>sabés</w:t>
      </w:r>
      <w:proofErr w:type="spellEnd"/>
      <w:r w:rsidRPr="00D65ED8">
        <w:rPr>
          <w:rFonts w:ascii="Times New Roman" w:hAnsi="Times New Roman"/>
          <w:kern w:val="1"/>
          <w:lang w:eastAsia="es-AR"/>
        </w:rPr>
        <w:t xml:space="preserve"> que no es la misma escuela. Es un CENS, es un CENS 452, escuela de educación de adultos, tienen la misma </w:t>
      </w:r>
      <w:proofErr w:type="spellStart"/>
      <w:r w:rsidRPr="00D65ED8">
        <w:rPr>
          <w:rFonts w:ascii="Times New Roman" w:hAnsi="Times New Roman"/>
          <w:kern w:val="1"/>
          <w:lang w:eastAsia="es-AR"/>
        </w:rPr>
        <w:t>currícula</w:t>
      </w:r>
      <w:proofErr w:type="spellEnd"/>
      <w:r w:rsidRPr="00D65ED8">
        <w:rPr>
          <w:rFonts w:ascii="Times New Roman" w:hAnsi="Times New Roman"/>
          <w:kern w:val="1"/>
          <w:lang w:eastAsia="es-AR"/>
        </w:rPr>
        <w:t xml:space="preserve"> que en otro lado, el mismo diseño, pero vos </w:t>
      </w:r>
      <w:proofErr w:type="spellStart"/>
      <w:r w:rsidRPr="00D65ED8">
        <w:rPr>
          <w:rFonts w:ascii="Times New Roman" w:hAnsi="Times New Roman"/>
          <w:kern w:val="1"/>
          <w:lang w:eastAsia="es-AR"/>
        </w:rPr>
        <w:t>sabés</w:t>
      </w:r>
      <w:proofErr w:type="spellEnd"/>
      <w:r w:rsidRPr="00D65ED8">
        <w:rPr>
          <w:rFonts w:ascii="Times New Roman" w:hAnsi="Times New Roman"/>
          <w:kern w:val="1"/>
          <w:lang w:eastAsia="es-AR"/>
        </w:rPr>
        <w:t xml:space="preserve">, </w:t>
      </w:r>
      <w:proofErr w:type="spellStart"/>
      <w:r w:rsidRPr="00D65ED8">
        <w:rPr>
          <w:rFonts w:ascii="Times New Roman" w:hAnsi="Times New Roman"/>
          <w:kern w:val="1"/>
          <w:lang w:eastAsia="es-AR"/>
        </w:rPr>
        <w:t>sabés</w:t>
      </w:r>
      <w:proofErr w:type="spellEnd"/>
      <w:r w:rsidRPr="00D65ED8">
        <w:rPr>
          <w:rFonts w:ascii="Times New Roman" w:hAnsi="Times New Roman"/>
          <w:kern w:val="1"/>
          <w:lang w:eastAsia="es-AR"/>
        </w:rPr>
        <w:t xml:space="preserve"> exactamente que no es lo mismo</w:t>
      </w:r>
      <w:r>
        <w:rPr>
          <w:rFonts w:ascii="Times New Roman" w:hAnsi="Times New Roman"/>
          <w:kern w:val="1"/>
          <w:lang w:eastAsia="es-AR"/>
        </w:rPr>
        <w:t xml:space="preserve"> (Sergio, docente CENS 1)</w:t>
      </w:r>
      <w:r w:rsidRPr="00D65ED8">
        <w:rPr>
          <w:rFonts w:ascii="Times New Roman" w:hAnsi="Times New Roman"/>
          <w:kern w:val="1"/>
          <w:lang w:eastAsia="es-AR"/>
        </w:rPr>
        <w:t>.</w:t>
      </w:r>
    </w:p>
    <w:p w14:paraId="44BF1B98" w14:textId="77777777" w:rsidR="00D65ED8" w:rsidRPr="00D65ED8" w:rsidRDefault="00D65ED8" w:rsidP="00D65ED8">
      <w:pPr>
        <w:autoSpaceDE w:val="0"/>
        <w:autoSpaceDN w:val="0"/>
        <w:adjustRightInd w:val="0"/>
        <w:spacing w:after="0" w:line="240" w:lineRule="auto"/>
        <w:ind w:left="567" w:right="567"/>
        <w:jc w:val="both"/>
        <w:rPr>
          <w:rFonts w:ascii="Times New Roman" w:hAnsi="Times New Roman"/>
          <w:kern w:val="1"/>
          <w:lang w:eastAsia="es-AR"/>
        </w:rPr>
      </w:pPr>
    </w:p>
    <w:p w14:paraId="2F94FF4C" w14:textId="453381B9" w:rsidR="00354899" w:rsidRPr="00DE34C1" w:rsidRDefault="00D65ED8" w:rsidP="00DA00E0">
      <w:pPr>
        <w:autoSpaceDE w:val="0"/>
        <w:autoSpaceDN w:val="0"/>
        <w:adjustRightInd w:val="0"/>
        <w:spacing w:after="0" w:line="360" w:lineRule="auto"/>
        <w:jc w:val="both"/>
        <w:rPr>
          <w:rFonts w:ascii="Times New Roman" w:hAnsi="Times New Roman"/>
          <w:sz w:val="24"/>
          <w:szCs w:val="24"/>
        </w:rPr>
      </w:pPr>
      <w:r>
        <w:rPr>
          <w:rFonts w:ascii="Times New Roman" w:hAnsi="Times New Roman"/>
          <w:kern w:val="1"/>
          <w:sz w:val="24"/>
          <w:szCs w:val="24"/>
          <w:lang w:eastAsia="es-AR"/>
        </w:rPr>
        <w:t>Más allá de que en los tres fragmentos seleccionados</w:t>
      </w:r>
      <w:r w:rsidR="00F61457">
        <w:rPr>
          <w:rFonts w:ascii="Times New Roman" w:hAnsi="Times New Roman"/>
          <w:kern w:val="1"/>
          <w:sz w:val="24"/>
          <w:szCs w:val="24"/>
          <w:lang w:eastAsia="es-AR"/>
        </w:rPr>
        <w:t xml:space="preserve"> aparece casi jerarquizada la lógica de </w:t>
      </w:r>
      <w:r w:rsidR="00F61457">
        <w:rPr>
          <w:rFonts w:ascii="Times New Roman" w:hAnsi="Times New Roman"/>
          <w:i/>
          <w:iCs/>
          <w:kern w:val="1"/>
          <w:sz w:val="24"/>
          <w:szCs w:val="24"/>
          <w:lang w:eastAsia="es-AR"/>
        </w:rPr>
        <w:t>relación</w:t>
      </w:r>
      <w:r w:rsidR="00F61457">
        <w:rPr>
          <w:rFonts w:ascii="Times New Roman" w:hAnsi="Times New Roman"/>
          <w:kern w:val="1"/>
          <w:sz w:val="24"/>
          <w:szCs w:val="24"/>
          <w:lang w:eastAsia="es-AR"/>
        </w:rPr>
        <w:t>, mi intención es mostrar cómo los roles predefinidos de estudiante y docente no permiten dar cuenta de lo que opera en esos contextos, siempre en la perspectiva de las y los docentes que participaron del relevamiento. Si en el control social se trataba de enseñar y aprender sin más, en el (des)control social se imponen cuestiones vinculadas a una preocupación por el otro en tanto individuo y sujeto que obliga a la redefinición tanto del rol docente como del rol de estudiante.</w:t>
      </w:r>
    </w:p>
    <w:p w14:paraId="6ECA38F0" w14:textId="43D31FAB" w:rsidR="00A6659F" w:rsidRPr="00C30F63" w:rsidRDefault="00DA00E0" w:rsidP="00C30F63">
      <w:pPr>
        <w:pStyle w:val="Ttulo2"/>
        <w:spacing w:before="0" w:after="120"/>
        <w:rPr>
          <w:rFonts w:ascii="Times New Roman" w:hAnsi="Times New Roman"/>
          <w:sz w:val="24"/>
          <w:szCs w:val="24"/>
        </w:rPr>
      </w:pPr>
      <w:bookmarkStart w:id="10" w:name="_Toc114484633"/>
      <w:r>
        <w:rPr>
          <w:rFonts w:ascii="Times New Roman" w:hAnsi="Times New Roman"/>
          <w:sz w:val="24"/>
          <w:szCs w:val="24"/>
        </w:rPr>
        <w:br w:type="page"/>
      </w:r>
      <w:bookmarkStart w:id="11" w:name="_Toc114694759"/>
      <w:r w:rsidR="00A6659F" w:rsidRPr="00C30F63">
        <w:rPr>
          <w:rFonts w:ascii="Times New Roman" w:hAnsi="Times New Roman"/>
          <w:sz w:val="24"/>
          <w:szCs w:val="24"/>
        </w:rPr>
        <w:t>Bibliografía</w:t>
      </w:r>
      <w:bookmarkEnd w:id="10"/>
      <w:bookmarkEnd w:id="11"/>
    </w:p>
    <w:p w14:paraId="5EF7305E" w14:textId="77777777" w:rsidR="00394734" w:rsidRPr="00C30F63" w:rsidRDefault="00394734" w:rsidP="00C30F63">
      <w:pPr>
        <w:spacing w:after="120" w:line="360" w:lineRule="auto"/>
        <w:ind w:left="619" w:hangingChars="258" w:hanging="619"/>
        <w:jc w:val="both"/>
        <w:rPr>
          <w:rFonts w:ascii="Times New Roman" w:hAnsi="Times New Roman"/>
          <w:sz w:val="24"/>
          <w:szCs w:val="24"/>
          <w:shd w:val="clear" w:color="auto" w:fill="FFFFFF"/>
        </w:rPr>
      </w:pPr>
      <w:r w:rsidRPr="00C30F63">
        <w:rPr>
          <w:rFonts w:ascii="Times New Roman" w:hAnsi="Times New Roman"/>
          <w:sz w:val="24"/>
          <w:szCs w:val="24"/>
          <w:shd w:val="clear" w:color="auto" w:fill="FFFFFF"/>
        </w:rPr>
        <w:t xml:space="preserve">Althusser, L. (2003). </w:t>
      </w:r>
      <w:r w:rsidRPr="00C30F63">
        <w:rPr>
          <w:rFonts w:ascii="Times New Roman" w:hAnsi="Times New Roman"/>
          <w:i/>
          <w:sz w:val="24"/>
          <w:szCs w:val="24"/>
          <w:shd w:val="clear" w:color="auto" w:fill="FFFFFF"/>
        </w:rPr>
        <w:t xml:space="preserve">Ideología y aparatos ideológicos de Estado. Freud y Lacan. </w:t>
      </w:r>
      <w:r w:rsidRPr="00C30F63">
        <w:rPr>
          <w:rFonts w:ascii="Times New Roman" w:hAnsi="Times New Roman"/>
          <w:sz w:val="24"/>
          <w:szCs w:val="24"/>
          <w:shd w:val="clear" w:color="auto" w:fill="FFFFFF"/>
        </w:rPr>
        <w:t>Nueva Visión.</w:t>
      </w:r>
    </w:p>
    <w:p w14:paraId="4C07769E" w14:textId="77777777" w:rsidR="00B20E5E" w:rsidRPr="00C30F63" w:rsidRDefault="00B20E5E" w:rsidP="00C30F63">
      <w:pPr>
        <w:spacing w:after="120" w:line="360" w:lineRule="auto"/>
        <w:ind w:left="619" w:hangingChars="258" w:hanging="619"/>
        <w:jc w:val="both"/>
        <w:rPr>
          <w:rFonts w:ascii="Times New Roman" w:hAnsi="Times New Roman"/>
          <w:sz w:val="24"/>
          <w:szCs w:val="24"/>
          <w:shd w:val="clear" w:color="auto" w:fill="FFFFFF"/>
        </w:rPr>
      </w:pPr>
      <w:r w:rsidRPr="00C30F63">
        <w:rPr>
          <w:rFonts w:ascii="Times New Roman" w:hAnsi="Times New Roman"/>
          <w:sz w:val="24"/>
          <w:szCs w:val="24"/>
          <w:shd w:val="clear" w:color="auto" w:fill="FFFFFF"/>
        </w:rPr>
        <w:t xml:space="preserve">Álvarez-Uría, F. y Varela, J. (2009). La escuela y sus funciones sociales. En </w:t>
      </w:r>
      <w:r w:rsidRPr="00C30F63">
        <w:rPr>
          <w:rFonts w:ascii="Times New Roman" w:hAnsi="Times New Roman"/>
          <w:i/>
          <w:sz w:val="24"/>
          <w:szCs w:val="24"/>
          <w:shd w:val="clear" w:color="auto" w:fill="FFFFFF"/>
        </w:rPr>
        <w:t xml:space="preserve">Sociología de las instituciones. Bases sociales y culturales de la conducta </w:t>
      </w:r>
      <w:r w:rsidRPr="00C30F63">
        <w:rPr>
          <w:rFonts w:ascii="Times New Roman" w:hAnsi="Times New Roman"/>
          <w:sz w:val="24"/>
          <w:szCs w:val="24"/>
          <w:shd w:val="clear" w:color="auto" w:fill="FFFFFF"/>
        </w:rPr>
        <w:t>(</w:t>
      </w:r>
      <w:r w:rsidR="00C50DD9" w:rsidRPr="00C30F63">
        <w:rPr>
          <w:rFonts w:ascii="Times New Roman" w:hAnsi="Times New Roman"/>
          <w:sz w:val="24"/>
          <w:szCs w:val="24"/>
          <w:shd w:val="clear" w:color="auto" w:fill="FFFFFF"/>
        </w:rPr>
        <w:t xml:space="preserve">pp. </w:t>
      </w:r>
      <w:r w:rsidRPr="00C30F63">
        <w:rPr>
          <w:rFonts w:ascii="Times New Roman" w:hAnsi="Times New Roman"/>
          <w:sz w:val="24"/>
          <w:szCs w:val="24"/>
          <w:shd w:val="clear" w:color="auto" w:fill="FFFFFF"/>
        </w:rPr>
        <w:t>55-74). Morata.</w:t>
      </w:r>
    </w:p>
    <w:p w14:paraId="09373E60" w14:textId="75FBCB77" w:rsidR="00886248" w:rsidRPr="00C30F63" w:rsidRDefault="00886248" w:rsidP="00C30F63">
      <w:pPr>
        <w:spacing w:after="120" w:line="360" w:lineRule="auto"/>
        <w:ind w:left="619" w:hangingChars="258" w:hanging="619"/>
        <w:jc w:val="both"/>
        <w:rPr>
          <w:rFonts w:ascii="Times New Roman" w:hAnsi="Times New Roman"/>
          <w:sz w:val="24"/>
          <w:szCs w:val="24"/>
          <w:shd w:val="clear" w:color="auto" w:fill="FFFFFF"/>
        </w:rPr>
      </w:pPr>
      <w:r w:rsidRPr="00C30F63">
        <w:rPr>
          <w:rFonts w:ascii="Times New Roman" w:hAnsi="Times New Roman"/>
          <w:sz w:val="24"/>
          <w:szCs w:val="24"/>
          <w:shd w:val="clear" w:color="auto" w:fill="FFFFFF"/>
        </w:rPr>
        <w:t xml:space="preserve">Dubet, F. (1994). </w:t>
      </w:r>
      <w:r w:rsidRPr="00C30F63">
        <w:rPr>
          <w:rFonts w:ascii="Times New Roman" w:hAnsi="Times New Roman"/>
          <w:i/>
          <w:iCs/>
          <w:sz w:val="24"/>
          <w:szCs w:val="24"/>
          <w:shd w:val="clear" w:color="auto" w:fill="FFFFFF"/>
        </w:rPr>
        <w:t>La experiencia sociológica</w:t>
      </w:r>
      <w:r w:rsidRPr="00C30F63">
        <w:rPr>
          <w:rFonts w:ascii="Times New Roman" w:hAnsi="Times New Roman"/>
          <w:sz w:val="24"/>
          <w:szCs w:val="24"/>
          <w:shd w:val="clear" w:color="auto" w:fill="FFFFFF"/>
        </w:rPr>
        <w:t>. Gedisa.</w:t>
      </w:r>
    </w:p>
    <w:p w14:paraId="57B994CE" w14:textId="4018E8EA" w:rsidR="00886248" w:rsidRPr="00C30F63" w:rsidRDefault="00886248" w:rsidP="00C30F63">
      <w:pPr>
        <w:spacing w:after="120" w:line="360" w:lineRule="auto"/>
        <w:ind w:left="619" w:hangingChars="258" w:hanging="619"/>
        <w:jc w:val="both"/>
        <w:rPr>
          <w:rFonts w:ascii="Times New Roman" w:hAnsi="Times New Roman"/>
          <w:sz w:val="24"/>
          <w:szCs w:val="24"/>
          <w:shd w:val="clear" w:color="auto" w:fill="FFFFFF"/>
        </w:rPr>
      </w:pPr>
      <w:r w:rsidRPr="00C30F63">
        <w:rPr>
          <w:rFonts w:ascii="Times New Roman" w:hAnsi="Times New Roman"/>
          <w:sz w:val="24"/>
          <w:szCs w:val="24"/>
          <w:shd w:val="clear" w:color="auto" w:fill="FFFFFF"/>
        </w:rPr>
        <w:t xml:space="preserve">Dubet, F. (2006). </w:t>
      </w:r>
      <w:r w:rsidRPr="00C30F63">
        <w:rPr>
          <w:rFonts w:ascii="Times New Roman" w:hAnsi="Times New Roman"/>
          <w:i/>
          <w:iCs/>
          <w:sz w:val="24"/>
          <w:szCs w:val="24"/>
          <w:shd w:val="clear" w:color="auto" w:fill="FFFFFF"/>
        </w:rPr>
        <w:t>El declive de la institución</w:t>
      </w:r>
      <w:r w:rsidRPr="00C30F63">
        <w:rPr>
          <w:rFonts w:ascii="Times New Roman" w:hAnsi="Times New Roman"/>
          <w:sz w:val="24"/>
          <w:szCs w:val="24"/>
          <w:shd w:val="clear" w:color="auto" w:fill="FFFFFF"/>
        </w:rPr>
        <w:t>. Gedisa.</w:t>
      </w:r>
    </w:p>
    <w:p w14:paraId="16AC1E05" w14:textId="42F703C5" w:rsidR="00886248" w:rsidRPr="00C30F63" w:rsidRDefault="00886248" w:rsidP="00C30F63">
      <w:pPr>
        <w:spacing w:after="120" w:line="360" w:lineRule="auto"/>
        <w:ind w:left="619" w:hangingChars="258" w:hanging="619"/>
        <w:jc w:val="both"/>
        <w:rPr>
          <w:rFonts w:ascii="Times New Roman" w:hAnsi="Times New Roman"/>
          <w:sz w:val="24"/>
          <w:szCs w:val="24"/>
          <w:shd w:val="clear" w:color="auto" w:fill="FFFFFF"/>
        </w:rPr>
      </w:pPr>
      <w:r w:rsidRPr="00C30F63">
        <w:rPr>
          <w:rFonts w:ascii="Times New Roman" w:hAnsi="Times New Roman"/>
          <w:sz w:val="24"/>
          <w:szCs w:val="24"/>
          <w:shd w:val="clear" w:color="auto" w:fill="FFFFFF"/>
        </w:rPr>
        <w:t xml:space="preserve">Dubet, F. (2013). </w:t>
      </w:r>
      <w:r w:rsidR="00920F3C" w:rsidRPr="00C30F63">
        <w:rPr>
          <w:rFonts w:ascii="Times New Roman" w:hAnsi="Times New Roman"/>
          <w:i/>
          <w:iCs/>
          <w:sz w:val="24"/>
          <w:szCs w:val="24"/>
          <w:shd w:val="clear" w:color="auto" w:fill="FFFFFF"/>
        </w:rPr>
        <w:t>El trabajo de las sociedades</w:t>
      </w:r>
      <w:r w:rsidR="00920F3C" w:rsidRPr="00C30F63">
        <w:rPr>
          <w:rFonts w:ascii="Times New Roman" w:hAnsi="Times New Roman"/>
          <w:sz w:val="24"/>
          <w:szCs w:val="24"/>
          <w:shd w:val="clear" w:color="auto" w:fill="FFFFFF"/>
        </w:rPr>
        <w:t>. Amorrortu.</w:t>
      </w:r>
    </w:p>
    <w:p w14:paraId="1958773B" w14:textId="1C26A4A2" w:rsidR="00752D79" w:rsidRPr="00C30F63" w:rsidRDefault="00752D79" w:rsidP="00C30F63">
      <w:pPr>
        <w:spacing w:after="120" w:line="360" w:lineRule="auto"/>
        <w:ind w:left="619" w:hangingChars="258" w:hanging="619"/>
        <w:jc w:val="both"/>
        <w:rPr>
          <w:rFonts w:ascii="Times New Roman" w:hAnsi="Times New Roman"/>
          <w:sz w:val="24"/>
          <w:szCs w:val="24"/>
          <w:shd w:val="clear" w:color="auto" w:fill="FFFFFF"/>
        </w:rPr>
      </w:pPr>
      <w:r w:rsidRPr="00C30F63">
        <w:rPr>
          <w:rFonts w:ascii="Times New Roman" w:hAnsi="Times New Roman"/>
          <w:sz w:val="24"/>
          <w:szCs w:val="24"/>
          <w:shd w:val="clear" w:color="auto" w:fill="FFFFFF"/>
        </w:rPr>
        <w:t xml:space="preserve">Goffman, E. (2001). </w:t>
      </w:r>
      <w:r w:rsidRPr="00C30F63">
        <w:rPr>
          <w:rFonts w:ascii="Times New Roman" w:hAnsi="Times New Roman"/>
          <w:i/>
          <w:iCs/>
          <w:sz w:val="24"/>
          <w:szCs w:val="24"/>
          <w:shd w:val="clear" w:color="auto" w:fill="FFFFFF"/>
        </w:rPr>
        <w:t>Internados</w:t>
      </w:r>
      <w:r w:rsidRPr="00C30F63">
        <w:rPr>
          <w:rFonts w:ascii="Times New Roman" w:hAnsi="Times New Roman"/>
          <w:sz w:val="24"/>
          <w:szCs w:val="24"/>
          <w:shd w:val="clear" w:color="auto" w:fill="FFFFFF"/>
        </w:rPr>
        <w:t>. Amorrortu.</w:t>
      </w:r>
    </w:p>
    <w:p w14:paraId="1F509E80" w14:textId="118692D3" w:rsidR="002A3247" w:rsidRPr="00C30F63" w:rsidRDefault="002A3247" w:rsidP="00C30F63">
      <w:pPr>
        <w:spacing w:after="120" w:line="360" w:lineRule="auto"/>
        <w:ind w:left="619" w:hangingChars="258" w:hanging="619"/>
        <w:jc w:val="both"/>
        <w:rPr>
          <w:rFonts w:ascii="Times New Roman" w:hAnsi="Times New Roman"/>
          <w:sz w:val="24"/>
          <w:szCs w:val="24"/>
        </w:rPr>
      </w:pPr>
      <w:r w:rsidRPr="00C30F63">
        <w:rPr>
          <w:rFonts w:ascii="Times New Roman" w:hAnsi="Times New Roman"/>
          <w:sz w:val="24"/>
          <w:szCs w:val="24"/>
          <w:shd w:val="clear" w:color="auto" w:fill="FFFFFF"/>
        </w:rPr>
        <w:t xml:space="preserve">Gómez, S. y </w:t>
      </w:r>
      <w:proofErr w:type="spellStart"/>
      <w:r w:rsidRPr="00C30F63">
        <w:rPr>
          <w:rFonts w:ascii="Times New Roman" w:hAnsi="Times New Roman"/>
          <w:sz w:val="24"/>
          <w:szCs w:val="24"/>
          <w:shd w:val="clear" w:color="auto" w:fill="FFFFFF"/>
        </w:rPr>
        <w:t>Naidorf</w:t>
      </w:r>
      <w:proofErr w:type="spellEnd"/>
      <w:r w:rsidRPr="00C30F63">
        <w:rPr>
          <w:rFonts w:ascii="Times New Roman" w:hAnsi="Times New Roman"/>
          <w:sz w:val="24"/>
          <w:szCs w:val="24"/>
          <w:shd w:val="clear" w:color="auto" w:fill="FFFFFF"/>
        </w:rPr>
        <w:t>, J. (2018). Louis Althusser y su temprana recepción de las notas carcelarias gramscianas. </w:t>
      </w:r>
      <w:r w:rsidRPr="00C30F63">
        <w:rPr>
          <w:rFonts w:ascii="Times New Roman" w:hAnsi="Times New Roman"/>
          <w:i/>
          <w:sz w:val="24"/>
          <w:szCs w:val="24"/>
          <w:shd w:val="clear" w:color="auto" w:fill="FFFFFF"/>
        </w:rPr>
        <w:t>Revista Pilquen, 21</w:t>
      </w:r>
      <w:r w:rsidRPr="00C30F63">
        <w:rPr>
          <w:rFonts w:ascii="Times New Roman" w:hAnsi="Times New Roman"/>
          <w:sz w:val="24"/>
          <w:szCs w:val="24"/>
          <w:shd w:val="clear" w:color="auto" w:fill="FFFFFF"/>
        </w:rPr>
        <w:t xml:space="preserve">(2), 1-11. </w:t>
      </w:r>
      <w:hyperlink r:id="rId9" w:history="1">
        <w:r w:rsidRPr="00C30F63">
          <w:rPr>
            <w:rStyle w:val="Hipervnculo"/>
            <w:rFonts w:ascii="Times New Roman" w:hAnsi="Times New Roman"/>
            <w:sz w:val="24"/>
            <w:szCs w:val="24"/>
          </w:rPr>
          <w:t>http://revele.uncoma.edu.ar/index.php/Sociales/article/view/1901</w:t>
        </w:r>
      </w:hyperlink>
    </w:p>
    <w:p w14:paraId="72BB766D" w14:textId="6A61A7A1" w:rsidR="00752D79" w:rsidRPr="00C30F63" w:rsidRDefault="00752D79" w:rsidP="00C30F63">
      <w:pPr>
        <w:spacing w:after="120" w:line="360" w:lineRule="auto"/>
        <w:ind w:left="619" w:hangingChars="258" w:hanging="619"/>
        <w:jc w:val="both"/>
        <w:rPr>
          <w:rFonts w:ascii="Times New Roman" w:hAnsi="Times New Roman"/>
          <w:sz w:val="24"/>
          <w:szCs w:val="24"/>
        </w:rPr>
      </w:pPr>
      <w:r w:rsidRPr="00C30F63">
        <w:rPr>
          <w:rFonts w:ascii="Times New Roman" w:hAnsi="Times New Roman"/>
          <w:sz w:val="24"/>
          <w:szCs w:val="24"/>
        </w:rPr>
        <w:t xml:space="preserve">Joseph, I. (1999). </w:t>
      </w:r>
      <w:r w:rsidRPr="00C30F63">
        <w:rPr>
          <w:rFonts w:ascii="Times New Roman" w:hAnsi="Times New Roman"/>
          <w:i/>
          <w:iCs/>
          <w:sz w:val="24"/>
          <w:szCs w:val="24"/>
        </w:rPr>
        <w:t>Erving Goffman y la microsociología</w:t>
      </w:r>
      <w:r w:rsidRPr="00C30F63">
        <w:rPr>
          <w:rFonts w:ascii="Times New Roman" w:hAnsi="Times New Roman"/>
          <w:sz w:val="24"/>
          <w:szCs w:val="24"/>
        </w:rPr>
        <w:t>. Gedisa.</w:t>
      </w:r>
    </w:p>
    <w:p w14:paraId="31D688B0" w14:textId="77777777" w:rsidR="00116DF0" w:rsidRPr="00C30F63" w:rsidRDefault="00350C89" w:rsidP="00C30F63">
      <w:pPr>
        <w:autoSpaceDE w:val="0"/>
        <w:autoSpaceDN w:val="0"/>
        <w:adjustRightInd w:val="0"/>
        <w:spacing w:after="120" w:line="360" w:lineRule="auto"/>
        <w:ind w:left="619" w:hangingChars="258" w:hanging="619"/>
        <w:jc w:val="both"/>
        <w:rPr>
          <w:rFonts w:ascii="Times New Roman" w:hAnsi="Times New Roman"/>
          <w:sz w:val="24"/>
          <w:szCs w:val="24"/>
          <w:lang w:eastAsia="es-AR"/>
        </w:rPr>
      </w:pPr>
      <w:r w:rsidRPr="00C30F63">
        <w:rPr>
          <w:rFonts w:ascii="Times New Roman" w:hAnsi="Times New Roman"/>
          <w:sz w:val="24"/>
          <w:szCs w:val="24"/>
          <w:lang w:eastAsia="es-AR"/>
        </w:rPr>
        <w:t xml:space="preserve">Olmo, P. (2005). </w:t>
      </w:r>
      <w:r w:rsidR="00116DF0" w:rsidRPr="00C30F63">
        <w:rPr>
          <w:rFonts w:ascii="Times New Roman" w:hAnsi="Times New Roman"/>
          <w:sz w:val="24"/>
          <w:szCs w:val="24"/>
          <w:lang w:eastAsia="es-AR"/>
        </w:rPr>
        <w:t>El concepto de control social en la historia social: estructuración del orden y respuestas al desorden</w:t>
      </w:r>
      <w:r w:rsidRPr="00C30F63">
        <w:rPr>
          <w:rFonts w:ascii="Times New Roman" w:hAnsi="Times New Roman"/>
          <w:sz w:val="24"/>
          <w:szCs w:val="24"/>
          <w:lang w:eastAsia="es-AR"/>
        </w:rPr>
        <w:t xml:space="preserve">. </w:t>
      </w:r>
      <w:r w:rsidRPr="00C30F63">
        <w:rPr>
          <w:rFonts w:ascii="Times New Roman" w:hAnsi="Times New Roman"/>
          <w:i/>
          <w:sz w:val="24"/>
          <w:szCs w:val="24"/>
          <w:lang w:eastAsia="es-AR"/>
        </w:rPr>
        <w:t xml:space="preserve">Historia Social, </w:t>
      </w:r>
      <w:r w:rsidRPr="00C30F63">
        <w:rPr>
          <w:rFonts w:ascii="Times New Roman" w:hAnsi="Times New Roman"/>
          <w:sz w:val="24"/>
          <w:szCs w:val="24"/>
          <w:lang w:eastAsia="es-AR"/>
        </w:rPr>
        <w:t>(51), 73-91.</w:t>
      </w:r>
    </w:p>
    <w:p w14:paraId="43778678" w14:textId="77777777" w:rsidR="00CA5707" w:rsidRPr="00C30F63" w:rsidRDefault="00CA5707" w:rsidP="00C30F63">
      <w:pPr>
        <w:autoSpaceDE w:val="0"/>
        <w:autoSpaceDN w:val="0"/>
        <w:adjustRightInd w:val="0"/>
        <w:spacing w:after="120" w:line="360" w:lineRule="auto"/>
        <w:ind w:left="619" w:hangingChars="258" w:hanging="619"/>
        <w:jc w:val="both"/>
        <w:rPr>
          <w:rFonts w:ascii="Times New Roman" w:hAnsi="Times New Roman"/>
          <w:sz w:val="24"/>
          <w:szCs w:val="24"/>
          <w:shd w:val="clear" w:color="auto" w:fill="FFFFFF"/>
        </w:rPr>
      </w:pPr>
      <w:r w:rsidRPr="00C30F63">
        <w:rPr>
          <w:rFonts w:ascii="Times New Roman" w:hAnsi="Times New Roman"/>
          <w:sz w:val="24"/>
          <w:szCs w:val="24"/>
          <w:shd w:val="clear" w:color="auto" w:fill="FFFFFF"/>
        </w:rPr>
        <w:t xml:space="preserve">Richter, N. (2022a). </w:t>
      </w:r>
      <w:r w:rsidRPr="00C30F63">
        <w:rPr>
          <w:rFonts w:ascii="Times New Roman" w:hAnsi="Times New Roman"/>
          <w:i/>
          <w:sz w:val="24"/>
          <w:szCs w:val="24"/>
          <w:shd w:val="clear" w:color="auto" w:fill="FFFFFF"/>
        </w:rPr>
        <w:t xml:space="preserve">Salud, educación y </w:t>
      </w:r>
      <w:proofErr w:type="spellStart"/>
      <w:r w:rsidRPr="00C30F63">
        <w:rPr>
          <w:rFonts w:ascii="Times New Roman" w:hAnsi="Times New Roman"/>
          <w:i/>
          <w:sz w:val="24"/>
          <w:szCs w:val="24"/>
          <w:shd w:val="clear" w:color="auto" w:fill="FFFFFF"/>
        </w:rPr>
        <w:t>vulnerabilizaciones</w:t>
      </w:r>
      <w:proofErr w:type="spellEnd"/>
      <w:r w:rsidRPr="00C30F63">
        <w:rPr>
          <w:rFonts w:ascii="Times New Roman" w:hAnsi="Times New Roman"/>
          <w:i/>
          <w:sz w:val="24"/>
          <w:szCs w:val="24"/>
          <w:shd w:val="clear" w:color="auto" w:fill="FFFFFF"/>
        </w:rPr>
        <w:t xml:space="preserve"> en cárceles bonaerenses. Individuación, pruebas y movimientos en perspectiva docente</w:t>
      </w:r>
      <w:r w:rsidR="00FC62FF" w:rsidRPr="00C30F63">
        <w:rPr>
          <w:rFonts w:ascii="Times New Roman" w:hAnsi="Times New Roman"/>
          <w:sz w:val="24"/>
          <w:szCs w:val="24"/>
          <w:shd w:val="clear" w:color="auto" w:fill="FFFFFF"/>
        </w:rPr>
        <w:t xml:space="preserve">. XV Jornadas Nacionales de Debate Interdisciplinario en Salud y Población “Escenarios para la </w:t>
      </w:r>
      <w:proofErr w:type="spellStart"/>
      <w:r w:rsidR="00FC62FF" w:rsidRPr="00C30F63">
        <w:rPr>
          <w:rFonts w:ascii="Times New Roman" w:hAnsi="Times New Roman"/>
          <w:sz w:val="24"/>
          <w:szCs w:val="24"/>
          <w:shd w:val="clear" w:color="auto" w:fill="FFFFFF"/>
        </w:rPr>
        <w:t>pospandemia</w:t>
      </w:r>
      <w:proofErr w:type="spellEnd"/>
      <w:r w:rsidR="00FC62FF" w:rsidRPr="00C30F63">
        <w:rPr>
          <w:rFonts w:ascii="Times New Roman" w:hAnsi="Times New Roman"/>
          <w:sz w:val="24"/>
          <w:szCs w:val="24"/>
          <w:shd w:val="clear" w:color="auto" w:fill="FFFFFF"/>
        </w:rPr>
        <w:t>: nuevas subjetividades, cuidados y políticas en salud”. Instituto de Investigaciones Gino Germani.</w:t>
      </w:r>
    </w:p>
    <w:p w14:paraId="5B6E88D4" w14:textId="77777777" w:rsidR="00FC62FF" w:rsidRPr="00C30F63" w:rsidRDefault="00FC62FF" w:rsidP="00C30F63">
      <w:pPr>
        <w:autoSpaceDE w:val="0"/>
        <w:autoSpaceDN w:val="0"/>
        <w:adjustRightInd w:val="0"/>
        <w:spacing w:after="120" w:line="360" w:lineRule="auto"/>
        <w:ind w:left="619" w:hangingChars="258" w:hanging="619"/>
        <w:jc w:val="both"/>
        <w:rPr>
          <w:rFonts w:ascii="Times New Roman" w:hAnsi="Times New Roman"/>
          <w:sz w:val="24"/>
          <w:szCs w:val="24"/>
          <w:shd w:val="clear" w:color="auto" w:fill="FFFFFF"/>
        </w:rPr>
      </w:pPr>
      <w:r w:rsidRPr="00C30F63">
        <w:rPr>
          <w:rFonts w:ascii="Times New Roman" w:hAnsi="Times New Roman"/>
          <w:sz w:val="24"/>
          <w:szCs w:val="24"/>
          <w:shd w:val="clear" w:color="auto" w:fill="FFFFFF"/>
        </w:rPr>
        <w:lastRenderedPageBreak/>
        <w:t xml:space="preserve">Richter, N. (2022b). </w:t>
      </w:r>
      <w:r w:rsidRPr="00C30F63">
        <w:rPr>
          <w:rFonts w:ascii="Times New Roman" w:hAnsi="Times New Roman"/>
          <w:i/>
          <w:sz w:val="24"/>
          <w:szCs w:val="24"/>
          <w:shd w:val="clear" w:color="auto" w:fill="FFFFFF"/>
        </w:rPr>
        <w:t xml:space="preserve">Desigualdades, </w:t>
      </w:r>
      <w:proofErr w:type="spellStart"/>
      <w:r w:rsidRPr="00C30F63">
        <w:rPr>
          <w:rFonts w:ascii="Times New Roman" w:hAnsi="Times New Roman"/>
          <w:i/>
          <w:sz w:val="24"/>
          <w:szCs w:val="24"/>
          <w:shd w:val="clear" w:color="auto" w:fill="FFFFFF"/>
        </w:rPr>
        <w:t>vulnerabilizaciones</w:t>
      </w:r>
      <w:proofErr w:type="spellEnd"/>
      <w:r w:rsidRPr="00C30F63">
        <w:rPr>
          <w:rFonts w:ascii="Times New Roman" w:hAnsi="Times New Roman"/>
          <w:i/>
          <w:sz w:val="24"/>
          <w:szCs w:val="24"/>
          <w:shd w:val="clear" w:color="auto" w:fill="FFFFFF"/>
        </w:rPr>
        <w:t xml:space="preserve"> y control social como pruebas en las experiencias de docentes de nivel secundario en prisiones bonaerenses</w:t>
      </w:r>
      <w:r w:rsidRPr="00C30F63">
        <w:rPr>
          <w:rFonts w:ascii="Times New Roman" w:hAnsi="Times New Roman"/>
          <w:sz w:val="24"/>
          <w:szCs w:val="24"/>
          <w:shd w:val="clear" w:color="auto" w:fill="FFFFFF"/>
        </w:rPr>
        <w:t>. III Jornadas Democracia y Desigualdades. Universidad Nacional de José Clemente Paz.</w:t>
      </w:r>
    </w:p>
    <w:p w14:paraId="3A8401AF" w14:textId="77777777" w:rsidR="00192068" w:rsidRPr="00C30F63" w:rsidRDefault="00C50DD9" w:rsidP="00C30F63">
      <w:pPr>
        <w:autoSpaceDE w:val="0"/>
        <w:autoSpaceDN w:val="0"/>
        <w:adjustRightInd w:val="0"/>
        <w:spacing w:after="120" w:line="360" w:lineRule="auto"/>
        <w:ind w:left="619" w:hangingChars="258" w:hanging="619"/>
        <w:jc w:val="both"/>
        <w:rPr>
          <w:rFonts w:ascii="Times New Roman" w:hAnsi="Times New Roman"/>
          <w:sz w:val="24"/>
          <w:szCs w:val="24"/>
          <w:lang w:eastAsia="es-AR"/>
        </w:rPr>
      </w:pPr>
      <w:r w:rsidRPr="00C30F63">
        <w:rPr>
          <w:rFonts w:ascii="Times New Roman" w:hAnsi="Times New Roman"/>
          <w:sz w:val="24"/>
          <w:szCs w:val="24"/>
          <w:lang w:eastAsia="es-AR"/>
        </w:rPr>
        <w:t xml:space="preserve">Rubilar Santander, L. (2008). </w:t>
      </w:r>
      <w:r w:rsidRPr="00C30F63">
        <w:rPr>
          <w:rFonts w:ascii="Times New Roman" w:hAnsi="Times New Roman"/>
          <w:i/>
          <w:sz w:val="24"/>
          <w:szCs w:val="24"/>
          <w:lang w:eastAsia="es-AR"/>
        </w:rPr>
        <w:t xml:space="preserve">El espacio educativo como aparato ideológico de Estado, desde una mirada </w:t>
      </w:r>
      <w:proofErr w:type="spellStart"/>
      <w:r w:rsidRPr="00C30F63">
        <w:rPr>
          <w:rFonts w:ascii="Times New Roman" w:hAnsi="Times New Roman"/>
          <w:i/>
          <w:sz w:val="24"/>
          <w:szCs w:val="24"/>
          <w:lang w:eastAsia="es-AR"/>
        </w:rPr>
        <w:t>althusseriana</w:t>
      </w:r>
      <w:proofErr w:type="spellEnd"/>
      <w:r w:rsidRPr="00C30F63">
        <w:rPr>
          <w:rFonts w:ascii="Times New Roman" w:hAnsi="Times New Roman"/>
          <w:i/>
          <w:sz w:val="24"/>
          <w:szCs w:val="24"/>
          <w:lang w:eastAsia="es-AR"/>
        </w:rPr>
        <w:t xml:space="preserve"> </w:t>
      </w:r>
      <w:r w:rsidRPr="00C30F63">
        <w:rPr>
          <w:rFonts w:ascii="Times New Roman" w:hAnsi="Times New Roman"/>
          <w:sz w:val="24"/>
          <w:szCs w:val="24"/>
          <w:lang w:eastAsia="es-AR"/>
        </w:rPr>
        <w:t>(Tesis de Maestría). Facultad de Filosofía y Humanidades, Universidad de Chile.</w:t>
      </w:r>
    </w:p>
    <w:p w14:paraId="191A52A4" w14:textId="77777777" w:rsidR="000D2401" w:rsidRPr="00C30F63" w:rsidRDefault="00192068" w:rsidP="00C30F63">
      <w:pPr>
        <w:autoSpaceDE w:val="0"/>
        <w:autoSpaceDN w:val="0"/>
        <w:adjustRightInd w:val="0"/>
        <w:spacing w:after="120" w:line="360" w:lineRule="auto"/>
        <w:ind w:left="619" w:hangingChars="258" w:hanging="619"/>
        <w:jc w:val="both"/>
        <w:rPr>
          <w:rFonts w:ascii="Times New Roman" w:hAnsi="Times New Roman"/>
          <w:sz w:val="24"/>
          <w:szCs w:val="24"/>
          <w:lang w:eastAsia="es-AR"/>
        </w:rPr>
      </w:pPr>
      <w:r w:rsidRPr="00C30F63">
        <w:rPr>
          <w:rFonts w:ascii="Times New Roman" w:hAnsi="Times New Roman"/>
          <w:sz w:val="24"/>
          <w:szCs w:val="24"/>
          <w:lang w:eastAsia="es-AR"/>
        </w:rPr>
        <w:br w:type="page"/>
      </w:r>
    </w:p>
    <w:p w14:paraId="21E11541" w14:textId="77777777" w:rsidR="000D2401" w:rsidRPr="00DA00E0" w:rsidRDefault="000D2401">
      <w:pPr>
        <w:pStyle w:val="TtulodeTDC"/>
        <w:rPr>
          <w:rFonts w:ascii="Times New Roman" w:hAnsi="Times New Roman"/>
          <w:sz w:val="24"/>
          <w:szCs w:val="24"/>
        </w:rPr>
      </w:pPr>
      <w:r w:rsidRPr="00DA00E0">
        <w:rPr>
          <w:rFonts w:ascii="Times New Roman" w:hAnsi="Times New Roman"/>
          <w:sz w:val="24"/>
          <w:szCs w:val="24"/>
          <w:lang w:val="es-ES"/>
        </w:rPr>
        <w:t>Tabla de contenido</w:t>
      </w:r>
    </w:p>
    <w:p w14:paraId="75511102" w14:textId="7837D633" w:rsidR="00DA00E0" w:rsidRPr="00DA00E0" w:rsidRDefault="000D2401">
      <w:pPr>
        <w:pStyle w:val="TDC2"/>
        <w:tabs>
          <w:tab w:val="right" w:leader="dot" w:pos="9061"/>
        </w:tabs>
        <w:rPr>
          <w:rFonts w:ascii="Times New Roman" w:eastAsiaTheme="minorEastAsia" w:hAnsi="Times New Roman"/>
          <w:noProof/>
          <w:sz w:val="24"/>
          <w:szCs w:val="24"/>
          <w:lang w:eastAsia="es-AR"/>
        </w:rPr>
      </w:pPr>
      <w:r w:rsidRPr="00DA00E0">
        <w:rPr>
          <w:rFonts w:ascii="Times New Roman" w:hAnsi="Times New Roman"/>
          <w:sz w:val="24"/>
          <w:szCs w:val="24"/>
        </w:rPr>
        <w:fldChar w:fldCharType="begin"/>
      </w:r>
      <w:r w:rsidRPr="00DA00E0">
        <w:rPr>
          <w:rFonts w:ascii="Times New Roman" w:hAnsi="Times New Roman"/>
          <w:sz w:val="24"/>
          <w:szCs w:val="24"/>
        </w:rPr>
        <w:instrText xml:space="preserve"> TOC \o "1-3" \h \z \u </w:instrText>
      </w:r>
      <w:r w:rsidRPr="00DA00E0">
        <w:rPr>
          <w:rFonts w:ascii="Times New Roman" w:hAnsi="Times New Roman"/>
          <w:sz w:val="24"/>
          <w:szCs w:val="24"/>
        </w:rPr>
        <w:fldChar w:fldCharType="separate"/>
      </w:r>
      <w:hyperlink w:anchor="_Toc114694754" w:history="1">
        <w:r w:rsidR="00DA00E0" w:rsidRPr="00DA00E0">
          <w:rPr>
            <w:rStyle w:val="Hipervnculo"/>
            <w:rFonts w:ascii="Times New Roman" w:hAnsi="Times New Roman"/>
            <w:noProof/>
            <w:sz w:val="24"/>
            <w:szCs w:val="24"/>
          </w:rPr>
          <w:t>El control social como problema</w:t>
        </w:r>
        <w:r w:rsidR="00DA00E0" w:rsidRPr="00DA00E0">
          <w:rPr>
            <w:rFonts w:ascii="Times New Roman" w:hAnsi="Times New Roman"/>
            <w:noProof/>
            <w:webHidden/>
            <w:sz w:val="24"/>
            <w:szCs w:val="24"/>
          </w:rPr>
          <w:tab/>
        </w:r>
        <w:r w:rsidR="00DA00E0" w:rsidRPr="00DA00E0">
          <w:rPr>
            <w:rFonts w:ascii="Times New Roman" w:hAnsi="Times New Roman"/>
            <w:noProof/>
            <w:webHidden/>
            <w:sz w:val="24"/>
            <w:szCs w:val="24"/>
          </w:rPr>
          <w:fldChar w:fldCharType="begin"/>
        </w:r>
        <w:r w:rsidR="00DA00E0" w:rsidRPr="00DA00E0">
          <w:rPr>
            <w:rFonts w:ascii="Times New Roman" w:hAnsi="Times New Roman"/>
            <w:noProof/>
            <w:webHidden/>
            <w:sz w:val="24"/>
            <w:szCs w:val="24"/>
          </w:rPr>
          <w:instrText xml:space="preserve"> PAGEREF _Toc114694754 \h </w:instrText>
        </w:r>
        <w:r w:rsidR="00DA00E0" w:rsidRPr="00DA00E0">
          <w:rPr>
            <w:rFonts w:ascii="Times New Roman" w:hAnsi="Times New Roman"/>
            <w:noProof/>
            <w:webHidden/>
            <w:sz w:val="24"/>
            <w:szCs w:val="24"/>
          </w:rPr>
        </w:r>
        <w:r w:rsidR="00DA00E0" w:rsidRPr="00DA00E0">
          <w:rPr>
            <w:rFonts w:ascii="Times New Roman" w:hAnsi="Times New Roman"/>
            <w:noProof/>
            <w:webHidden/>
            <w:sz w:val="24"/>
            <w:szCs w:val="24"/>
          </w:rPr>
          <w:fldChar w:fldCharType="separate"/>
        </w:r>
        <w:r w:rsidR="00DA00E0" w:rsidRPr="00DA00E0">
          <w:rPr>
            <w:rFonts w:ascii="Times New Roman" w:hAnsi="Times New Roman"/>
            <w:noProof/>
            <w:webHidden/>
            <w:sz w:val="24"/>
            <w:szCs w:val="24"/>
          </w:rPr>
          <w:t>3</w:t>
        </w:r>
        <w:r w:rsidR="00DA00E0" w:rsidRPr="00DA00E0">
          <w:rPr>
            <w:rFonts w:ascii="Times New Roman" w:hAnsi="Times New Roman"/>
            <w:noProof/>
            <w:webHidden/>
            <w:sz w:val="24"/>
            <w:szCs w:val="24"/>
          </w:rPr>
          <w:fldChar w:fldCharType="end"/>
        </w:r>
      </w:hyperlink>
    </w:p>
    <w:p w14:paraId="420678A8" w14:textId="789CD6F9" w:rsidR="00DA00E0" w:rsidRPr="00DA00E0" w:rsidRDefault="00DA00E0">
      <w:pPr>
        <w:pStyle w:val="TDC3"/>
        <w:tabs>
          <w:tab w:val="right" w:leader="dot" w:pos="9061"/>
        </w:tabs>
        <w:rPr>
          <w:rFonts w:ascii="Times New Roman" w:eastAsiaTheme="minorEastAsia" w:hAnsi="Times New Roman"/>
          <w:noProof/>
          <w:sz w:val="24"/>
          <w:szCs w:val="24"/>
          <w:lang w:eastAsia="es-AR"/>
        </w:rPr>
      </w:pPr>
      <w:hyperlink w:anchor="_Toc114694755" w:history="1">
        <w:r w:rsidRPr="00DA00E0">
          <w:rPr>
            <w:rStyle w:val="Hipervnculo"/>
            <w:rFonts w:ascii="Times New Roman" w:hAnsi="Times New Roman"/>
            <w:noProof/>
            <w:sz w:val="24"/>
            <w:szCs w:val="24"/>
          </w:rPr>
          <w:t>Goffman y las instituciones totales</w:t>
        </w:r>
        <w:r w:rsidRPr="00DA00E0">
          <w:rPr>
            <w:rFonts w:ascii="Times New Roman" w:hAnsi="Times New Roman"/>
            <w:noProof/>
            <w:webHidden/>
            <w:sz w:val="24"/>
            <w:szCs w:val="24"/>
          </w:rPr>
          <w:tab/>
        </w:r>
        <w:r w:rsidRPr="00DA00E0">
          <w:rPr>
            <w:rFonts w:ascii="Times New Roman" w:hAnsi="Times New Roman"/>
            <w:noProof/>
            <w:webHidden/>
            <w:sz w:val="24"/>
            <w:szCs w:val="24"/>
          </w:rPr>
          <w:fldChar w:fldCharType="begin"/>
        </w:r>
        <w:r w:rsidRPr="00DA00E0">
          <w:rPr>
            <w:rFonts w:ascii="Times New Roman" w:hAnsi="Times New Roman"/>
            <w:noProof/>
            <w:webHidden/>
            <w:sz w:val="24"/>
            <w:szCs w:val="24"/>
          </w:rPr>
          <w:instrText xml:space="preserve"> PAGEREF _Toc114694755 \h </w:instrText>
        </w:r>
        <w:r w:rsidRPr="00DA00E0">
          <w:rPr>
            <w:rFonts w:ascii="Times New Roman" w:hAnsi="Times New Roman"/>
            <w:noProof/>
            <w:webHidden/>
            <w:sz w:val="24"/>
            <w:szCs w:val="24"/>
          </w:rPr>
        </w:r>
        <w:r w:rsidRPr="00DA00E0">
          <w:rPr>
            <w:rFonts w:ascii="Times New Roman" w:hAnsi="Times New Roman"/>
            <w:noProof/>
            <w:webHidden/>
            <w:sz w:val="24"/>
            <w:szCs w:val="24"/>
          </w:rPr>
          <w:fldChar w:fldCharType="separate"/>
        </w:r>
        <w:r w:rsidRPr="00DA00E0">
          <w:rPr>
            <w:rFonts w:ascii="Times New Roman" w:hAnsi="Times New Roman"/>
            <w:noProof/>
            <w:webHidden/>
            <w:sz w:val="24"/>
            <w:szCs w:val="24"/>
          </w:rPr>
          <w:t>3</w:t>
        </w:r>
        <w:r w:rsidRPr="00DA00E0">
          <w:rPr>
            <w:rFonts w:ascii="Times New Roman" w:hAnsi="Times New Roman"/>
            <w:noProof/>
            <w:webHidden/>
            <w:sz w:val="24"/>
            <w:szCs w:val="24"/>
          </w:rPr>
          <w:fldChar w:fldCharType="end"/>
        </w:r>
      </w:hyperlink>
    </w:p>
    <w:p w14:paraId="0D4F937C" w14:textId="2D304B9B" w:rsidR="00DA00E0" w:rsidRPr="00DA00E0" w:rsidRDefault="00DA00E0">
      <w:pPr>
        <w:pStyle w:val="TDC3"/>
        <w:tabs>
          <w:tab w:val="right" w:leader="dot" w:pos="9061"/>
        </w:tabs>
        <w:rPr>
          <w:rFonts w:ascii="Times New Roman" w:eastAsiaTheme="minorEastAsia" w:hAnsi="Times New Roman"/>
          <w:noProof/>
          <w:sz w:val="24"/>
          <w:szCs w:val="24"/>
          <w:lang w:eastAsia="es-AR"/>
        </w:rPr>
      </w:pPr>
      <w:hyperlink w:anchor="_Toc114694756" w:history="1">
        <w:r w:rsidRPr="00DA00E0">
          <w:rPr>
            <w:rStyle w:val="Hipervnculo"/>
            <w:rFonts w:ascii="Times New Roman" w:hAnsi="Times New Roman"/>
            <w:noProof/>
            <w:sz w:val="24"/>
            <w:szCs w:val="24"/>
          </w:rPr>
          <w:t>El aparato de Althusser</w:t>
        </w:r>
        <w:r w:rsidRPr="00DA00E0">
          <w:rPr>
            <w:rFonts w:ascii="Times New Roman" w:hAnsi="Times New Roman"/>
            <w:noProof/>
            <w:webHidden/>
            <w:sz w:val="24"/>
            <w:szCs w:val="24"/>
          </w:rPr>
          <w:tab/>
        </w:r>
        <w:r w:rsidRPr="00DA00E0">
          <w:rPr>
            <w:rFonts w:ascii="Times New Roman" w:hAnsi="Times New Roman"/>
            <w:noProof/>
            <w:webHidden/>
            <w:sz w:val="24"/>
            <w:szCs w:val="24"/>
          </w:rPr>
          <w:fldChar w:fldCharType="begin"/>
        </w:r>
        <w:r w:rsidRPr="00DA00E0">
          <w:rPr>
            <w:rFonts w:ascii="Times New Roman" w:hAnsi="Times New Roman"/>
            <w:noProof/>
            <w:webHidden/>
            <w:sz w:val="24"/>
            <w:szCs w:val="24"/>
          </w:rPr>
          <w:instrText xml:space="preserve"> PAGEREF _Toc114694756 \h </w:instrText>
        </w:r>
        <w:r w:rsidRPr="00DA00E0">
          <w:rPr>
            <w:rFonts w:ascii="Times New Roman" w:hAnsi="Times New Roman"/>
            <w:noProof/>
            <w:webHidden/>
            <w:sz w:val="24"/>
            <w:szCs w:val="24"/>
          </w:rPr>
        </w:r>
        <w:r w:rsidRPr="00DA00E0">
          <w:rPr>
            <w:rFonts w:ascii="Times New Roman" w:hAnsi="Times New Roman"/>
            <w:noProof/>
            <w:webHidden/>
            <w:sz w:val="24"/>
            <w:szCs w:val="24"/>
          </w:rPr>
          <w:fldChar w:fldCharType="separate"/>
        </w:r>
        <w:r w:rsidRPr="00DA00E0">
          <w:rPr>
            <w:rFonts w:ascii="Times New Roman" w:hAnsi="Times New Roman"/>
            <w:noProof/>
            <w:webHidden/>
            <w:sz w:val="24"/>
            <w:szCs w:val="24"/>
          </w:rPr>
          <w:t>4</w:t>
        </w:r>
        <w:r w:rsidRPr="00DA00E0">
          <w:rPr>
            <w:rFonts w:ascii="Times New Roman" w:hAnsi="Times New Roman"/>
            <w:noProof/>
            <w:webHidden/>
            <w:sz w:val="24"/>
            <w:szCs w:val="24"/>
          </w:rPr>
          <w:fldChar w:fldCharType="end"/>
        </w:r>
      </w:hyperlink>
    </w:p>
    <w:p w14:paraId="40D9B657" w14:textId="1523B214" w:rsidR="00DA00E0" w:rsidRPr="00DA00E0" w:rsidRDefault="00DA00E0">
      <w:pPr>
        <w:pStyle w:val="TDC3"/>
        <w:tabs>
          <w:tab w:val="right" w:leader="dot" w:pos="9061"/>
        </w:tabs>
        <w:rPr>
          <w:rFonts w:ascii="Times New Roman" w:eastAsiaTheme="minorEastAsia" w:hAnsi="Times New Roman"/>
          <w:noProof/>
          <w:sz w:val="24"/>
          <w:szCs w:val="24"/>
          <w:lang w:eastAsia="es-AR"/>
        </w:rPr>
      </w:pPr>
      <w:hyperlink w:anchor="_Toc114694757" w:history="1">
        <w:r w:rsidRPr="00DA00E0">
          <w:rPr>
            <w:rStyle w:val="Hipervnculo"/>
            <w:rFonts w:ascii="Times New Roman" w:hAnsi="Times New Roman"/>
            <w:noProof/>
            <w:sz w:val="24"/>
            <w:szCs w:val="24"/>
          </w:rPr>
          <w:t>Foucault y la anatomía política del cuerpo</w:t>
        </w:r>
        <w:r w:rsidRPr="00DA00E0">
          <w:rPr>
            <w:rFonts w:ascii="Times New Roman" w:hAnsi="Times New Roman"/>
            <w:noProof/>
            <w:webHidden/>
            <w:sz w:val="24"/>
            <w:szCs w:val="24"/>
          </w:rPr>
          <w:tab/>
        </w:r>
        <w:r w:rsidRPr="00DA00E0">
          <w:rPr>
            <w:rFonts w:ascii="Times New Roman" w:hAnsi="Times New Roman"/>
            <w:noProof/>
            <w:webHidden/>
            <w:sz w:val="24"/>
            <w:szCs w:val="24"/>
          </w:rPr>
          <w:fldChar w:fldCharType="begin"/>
        </w:r>
        <w:r w:rsidRPr="00DA00E0">
          <w:rPr>
            <w:rFonts w:ascii="Times New Roman" w:hAnsi="Times New Roman"/>
            <w:noProof/>
            <w:webHidden/>
            <w:sz w:val="24"/>
            <w:szCs w:val="24"/>
          </w:rPr>
          <w:instrText xml:space="preserve"> PAGEREF _Toc114694757 \h </w:instrText>
        </w:r>
        <w:r w:rsidRPr="00DA00E0">
          <w:rPr>
            <w:rFonts w:ascii="Times New Roman" w:hAnsi="Times New Roman"/>
            <w:noProof/>
            <w:webHidden/>
            <w:sz w:val="24"/>
            <w:szCs w:val="24"/>
          </w:rPr>
        </w:r>
        <w:r w:rsidRPr="00DA00E0">
          <w:rPr>
            <w:rFonts w:ascii="Times New Roman" w:hAnsi="Times New Roman"/>
            <w:noProof/>
            <w:webHidden/>
            <w:sz w:val="24"/>
            <w:szCs w:val="24"/>
          </w:rPr>
          <w:fldChar w:fldCharType="separate"/>
        </w:r>
        <w:r w:rsidRPr="00DA00E0">
          <w:rPr>
            <w:rFonts w:ascii="Times New Roman" w:hAnsi="Times New Roman"/>
            <w:noProof/>
            <w:webHidden/>
            <w:sz w:val="24"/>
            <w:szCs w:val="24"/>
          </w:rPr>
          <w:t>5</w:t>
        </w:r>
        <w:r w:rsidRPr="00DA00E0">
          <w:rPr>
            <w:rFonts w:ascii="Times New Roman" w:hAnsi="Times New Roman"/>
            <w:noProof/>
            <w:webHidden/>
            <w:sz w:val="24"/>
            <w:szCs w:val="24"/>
          </w:rPr>
          <w:fldChar w:fldCharType="end"/>
        </w:r>
      </w:hyperlink>
    </w:p>
    <w:p w14:paraId="7B350D94" w14:textId="4A4363DF" w:rsidR="00DA00E0" w:rsidRPr="00DA00E0" w:rsidRDefault="00DA00E0">
      <w:pPr>
        <w:pStyle w:val="TDC2"/>
        <w:tabs>
          <w:tab w:val="right" w:leader="dot" w:pos="9061"/>
        </w:tabs>
        <w:rPr>
          <w:rFonts w:ascii="Times New Roman" w:eastAsiaTheme="minorEastAsia" w:hAnsi="Times New Roman"/>
          <w:noProof/>
          <w:sz w:val="24"/>
          <w:szCs w:val="24"/>
          <w:lang w:eastAsia="es-AR"/>
        </w:rPr>
      </w:pPr>
      <w:hyperlink w:anchor="_Toc114694758" w:history="1">
        <w:r w:rsidRPr="00DA00E0">
          <w:rPr>
            <w:rStyle w:val="Hipervnculo"/>
            <w:rFonts w:ascii="Times New Roman" w:hAnsi="Times New Roman"/>
            <w:noProof/>
            <w:sz w:val="24"/>
            <w:szCs w:val="24"/>
          </w:rPr>
          <w:t>El control social como lógica de acción. El (des)control social como prueba específica</w:t>
        </w:r>
        <w:r w:rsidRPr="00DA00E0">
          <w:rPr>
            <w:rFonts w:ascii="Times New Roman" w:hAnsi="Times New Roman"/>
            <w:noProof/>
            <w:webHidden/>
            <w:sz w:val="24"/>
            <w:szCs w:val="24"/>
          </w:rPr>
          <w:tab/>
        </w:r>
        <w:r w:rsidRPr="00DA00E0">
          <w:rPr>
            <w:rFonts w:ascii="Times New Roman" w:hAnsi="Times New Roman"/>
            <w:noProof/>
            <w:webHidden/>
            <w:sz w:val="24"/>
            <w:szCs w:val="24"/>
          </w:rPr>
          <w:fldChar w:fldCharType="begin"/>
        </w:r>
        <w:r w:rsidRPr="00DA00E0">
          <w:rPr>
            <w:rFonts w:ascii="Times New Roman" w:hAnsi="Times New Roman"/>
            <w:noProof/>
            <w:webHidden/>
            <w:sz w:val="24"/>
            <w:szCs w:val="24"/>
          </w:rPr>
          <w:instrText xml:space="preserve"> PAGEREF _Toc114694758 \h </w:instrText>
        </w:r>
        <w:r w:rsidRPr="00DA00E0">
          <w:rPr>
            <w:rFonts w:ascii="Times New Roman" w:hAnsi="Times New Roman"/>
            <w:noProof/>
            <w:webHidden/>
            <w:sz w:val="24"/>
            <w:szCs w:val="24"/>
          </w:rPr>
        </w:r>
        <w:r w:rsidRPr="00DA00E0">
          <w:rPr>
            <w:rFonts w:ascii="Times New Roman" w:hAnsi="Times New Roman"/>
            <w:noProof/>
            <w:webHidden/>
            <w:sz w:val="24"/>
            <w:szCs w:val="24"/>
          </w:rPr>
          <w:fldChar w:fldCharType="separate"/>
        </w:r>
        <w:r w:rsidRPr="00DA00E0">
          <w:rPr>
            <w:rFonts w:ascii="Times New Roman" w:hAnsi="Times New Roman"/>
            <w:noProof/>
            <w:webHidden/>
            <w:sz w:val="24"/>
            <w:szCs w:val="24"/>
          </w:rPr>
          <w:t>6</w:t>
        </w:r>
        <w:r w:rsidRPr="00DA00E0">
          <w:rPr>
            <w:rFonts w:ascii="Times New Roman" w:hAnsi="Times New Roman"/>
            <w:noProof/>
            <w:webHidden/>
            <w:sz w:val="24"/>
            <w:szCs w:val="24"/>
          </w:rPr>
          <w:fldChar w:fldCharType="end"/>
        </w:r>
      </w:hyperlink>
    </w:p>
    <w:p w14:paraId="3D56EF23" w14:textId="5AFFFD5A" w:rsidR="00DA00E0" w:rsidRPr="00DA00E0" w:rsidRDefault="00DA00E0">
      <w:pPr>
        <w:pStyle w:val="TDC2"/>
        <w:tabs>
          <w:tab w:val="right" w:leader="dot" w:pos="9061"/>
        </w:tabs>
        <w:rPr>
          <w:rFonts w:ascii="Times New Roman" w:eastAsiaTheme="minorEastAsia" w:hAnsi="Times New Roman"/>
          <w:noProof/>
          <w:sz w:val="24"/>
          <w:szCs w:val="24"/>
          <w:lang w:eastAsia="es-AR"/>
        </w:rPr>
      </w:pPr>
      <w:hyperlink w:anchor="_Toc114694759" w:history="1">
        <w:r w:rsidRPr="00DA00E0">
          <w:rPr>
            <w:rStyle w:val="Hipervnculo"/>
            <w:rFonts w:ascii="Times New Roman" w:hAnsi="Times New Roman"/>
            <w:noProof/>
            <w:sz w:val="24"/>
            <w:szCs w:val="24"/>
          </w:rPr>
          <w:t>Bibliografía</w:t>
        </w:r>
        <w:r w:rsidRPr="00DA00E0">
          <w:rPr>
            <w:rFonts w:ascii="Times New Roman" w:hAnsi="Times New Roman"/>
            <w:noProof/>
            <w:webHidden/>
            <w:sz w:val="24"/>
            <w:szCs w:val="24"/>
          </w:rPr>
          <w:tab/>
        </w:r>
        <w:r w:rsidRPr="00DA00E0">
          <w:rPr>
            <w:rFonts w:ascii="Times New Roman" w:hAnsi="Times New Roman"/>
            <w:noProof/>
            <w:webHidden/>
            <w:sz w:val="24"/>
            <w:szCs w:val="24"/>
          </w:rPr>
          <w:fldChar w:fldCharType="begin"/>
        </w:r>
        <w:r w:rsidRPr="00DA00E0">
          <w:rPr>
            <w:rFonts w:ascii="Times New Roman" w:hAnsi="Times New Roman"/>
            <w:noProof/>
            <w:webHidden/>
            <w:sz w:val="24"/>
            <w:szCs w:val="24"/>
          </w:rPr>
          <w:instrText xml:space="preserve"> PAGEREF _Toc114694759 \h </w:instrText>
        </w:r>
        <w:r w:rsidRPr="00DA00E0">
          <w:rPr>
            <w:rFonts w:ascii="Times New Roman" w:hAnsi="Times New Roman"/>
            <w:noProof/>
            <w:webHidden/>
            <w:sz w:val="24"/>
            <w:szCs w:val="24"/>
          </w:rPr>
        </w:r>
        <w:r w:rsidRPr="00DA00E0">
          <w:rPr>
            <w:rFonts w:ascii="Times New Roman" w:hAnsi="Times New Roman"/>
            <w:noProof/>
            <w:webHidden/>
            <w:sz w:val="24"/>
            <w:szCs w:val="24"/>
          </w:rPr>
          <w:fldChar w:fldCharType="separate"/>
        </w:r>
        <w:r w:rsidRPr="00DA00E0">
          <w:rPr>
            <w:rFonts w:ascii="Times New Roman" w:hAnsi="Times New Roman"/>
            <w:noProof/>
            <w:webHidden/>
            <w:sz w:val="24"/>
            <w:szCs w:val="24"/>
          </w:rPr>
          <w:t>10</w:t>
        </w:r>
        <w:r w:rsidRPr="00DA00E0">
          <w:rPr>
            <w:rFonts w:ascii="Times New Roman" w:hAnsi="Times New Roman"/>
            <w:noProof/>
            <w:webHidden/>
            <w:sz w:val="24"/>
            <w:szCs w:val="24"/>
          </w:rPr>
          <w:fldChar w:fldCharType="end"/>
        </w:r>
      </w:hyperlink>
    </w:p>
    <w:p w14:paraId="52F91084" w14:textId="4B20DBAB" w:rsidR="000D2401" w:rsidRDefault="000D2401">
      <w:r w:rsidRPr="00DA00E0">
        <w:rPr>
          <w:rFonts w:ascii="Times New Roman" w:hAnsi="Times New Roman"/>
          <w:b/>
          <w:bCs/>
          <w:sz w:val="24"/>
          <w:szCs w:val="24"/>
          <w:lang w:val="es-ES"/>
        </w:rPr>
        <w:fldChar w:fldCharType="end"/>
      </w:r>
    </w:p>
    <w:p w14:paraId="6DB0FC43" w14:textId="772D1F65" w:rsidR="00C50DD9" w:rsidRPr="00C30F63" w:rsidRDefault="00C50DD9" w:rsidP="00C30F63">
      <w:pPr>
        <w:autoSpaceDE w:val="0"/>
        <w:autoSpaceDN w:val="0"/>
        <w:adjustRightInd w:val="0"/>
        <w:spacing w:after="120" w:line="360" w:lineRule="auto"/>
        <w:ind w:left="619" w:hangingChars="258" w:hanging="619"/>
        <w:jc w:val="both"/>
        <w:rPr>
          <w:rFonts w:ascii="Times New Roman" w:hAnsi="Times New Roman"/>
          <w:sz w:val="24"/>
          <w:szCs w:val="24"/>
          <w:lang w:eastAsia="es-AR"/>
        </w:rPr>
      </w:pPr>
    </w:p>
    <w:p w14:paraId="39CA7A72" w14:textId="77777777" w:rsidR="00A6659F" w:rsidRPr="00C30F63" w:rsidRDefault="00A6659F" w:rsidP="00C30F63">
      <w:pPr>
        <w:spacing w:after="120" w:line="360" w:lineRule="auto"/>
        <w:ind w:left="619" w:hangingChars="258" w:hanging="619"/>
        <w:jc w:val="both"/>
        <w:rPr>
          <w:rFonts w:ascii="Times New Roman" w:hAnsi="Times New Roman"/>
          <w:sz w:val="24"/>
          <w:szCs w:val="24"/>
        </w:rPr>
      </w:pPr>
    </w:p>
    <w:sectPr w:rsidR="00A6659F" w:rsidRPr="00C30F63" w:rsidSect="00E54C95">
      <w:headerReference w:type="default" r:id="rId10"/>
      <w:pgSz w:w="11907" w:h="16839" w:code="9"/>
      <w:pgMar w:top="1418" w:right="1418" w:bottom="1418" w:left="1418"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65C6" w14:textId="77777777" w:rsidR="008F5E4E" w:rsidRDefault="008F5E4E" w:rsidP="005A2CB0">
      <w:pPr>
        <w:spacing w:after="0" w:line="240" w:lineRule="auto"/>
      </w:pPr>
      <w:r>
        <w:separator/>
      </w:r>
    </w:p>
  </w:endnote>
  <w:endnote w:type="continuationSeparator" w:id="0">
    <w:p w14:paraId="3244E9DC" w14:textId="77777777" w:rsidR="008F5E4E" w:rsidRDefault="008F5E4E" w:rsidP="005A2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834AB" w14:textId="77777777" w:rsidR="008F5E4E" w:rsidRDefault="008F5E4E" w:rsidP="005A2CB0">
      <w:pPr>
        <w:spacing w:after="0" w:line="240" w:lineRule="auto"/>
      </w:pPr>
      <w:r>
        <w:separator/>
      </w:r>
    </w:p>
  </w:footnote>
  <w:footnote w:type="continuationSeparator" w:id="0">
    <w:p w14:paraId="00864848" w14:textId="77777777" w:rsidR="008F5E4E" w:rsidRDefault="008F5E4E" w:rsidP="005A2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C74A" w14:textId="77777777" w:rsidR="005A2CB0" w:rsidRPr="005A2CB0" w:rsidRDefault="005A2CB0" w:rsidP="005A2CB0">
    <w:pPr>
      <w:pStyle w:val="Default"/>
      <w:jc w:val="center"/>
      <w:rPr>
        <w:i/>
      </w:rPr>
    </w:pPr>
  </w:p>
  <w:p w14:paraId="27125101" w14:textId="77777777" w:rsidR="005A2CB0" w:rsidRPr="00E54C95" w:rsidRDefault="005A2CB0" w:rsidP="00E54C95">
    <w:pPr>
      <w:pStyle w:val="Default"/>
      <w:jc w:val="right"/>
      <w:rPr>
        <w:iCs/>
        <w:sz w:val="22"/>
        <w:szCs w:val="22"/>
      </w:rPr>
    </w:pPr>
    <w:r w:rsidRPr="00E54C95">
      <w:rPr>
        <w:iCs/>
        <w:sz w:val="22"/>
        <w:szCs w:val="22"/>
      </w:rPr>
      <w:t xml:space="preserve">XI Jornadas de Jóvenes </w:t>
    </w:r>
    <w:proofErr w:type="spellStart"/>
    <w:r w:rsidRPr="00E54C95">
      <w:rPr>
        <w:iCs/>
        <w:sz w:val="22"/>
        <w:szCs w:val="22"/>
      </w:rPr>
      <w:t>Investigadorxs</w:t>
    </w:r>
    <w:proofErr w:type="spellEnd"/>
  </w:p>
  <w:p w14:paraId="04BA553B" w14:textId="77777777" w:rsidR="005A2CB0" w:rsidRPr="00E54C95" w:rsidRDefault="005A2CB0" w:rsidP="00E54C95">
    <w:pPr>
      <w:pStyle w:val="Encabezado"/>
      <w:jc w:val="right"/>
      <w:rPr>
        <w:rFonts w:ascii="Times New Roman" w:hAnsi="Times New Roman"/>
        <w:iCs/>
      </w:rPr>
    </w:pPr>
    <w:r w:rsidRPr="00E54C95">
      <w:rPr>
        <w:rFonts w:ascii="Times New Roman" w:hAnsi="Times New Roman"/>
        <w:iCs/>
      </w:rPr>
      <w:t>Instituto de Investigaciones Gino Germani</w:t>
    </w:r>
  </w:p>
  <w:p w14:paraId="7B645EF2" w14:textId="77777777" w:rsidR="005A2CB0" w:rsidRPr="00E54C95" w:rsidRDefault="005A2CB0" w:rsidP="00E54C95">
    <w:pPr>
      <w:pStyle w:val="Encabezado"/>
      <w:spacing w:after="100" w:afterAutospacing="1"/>
      <w:jc w:val="right"/>
      <w:rPr>
        <w:rFonts w:ascii="Times New Roman" w:hAnsi="Times New Roman"/>
        <w:iCs/>
      </w:rPr>
    </w:pPr>
    <w:r w:rsidRPr="00E54C95">
      <w:rPr>
        <w:rFonts w:ascii="Times New Roman" w:hAnsi="Times New Roman"/>
        <w:iCs/>
      </w:rPr>
      <w:t>26, 27 y 28 de octubre de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4E8"/>
    <w:multiLevelType w:val="hybridMultilevel"/>
    <w:tmpl w:val="FF6425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D9379AB"/>
    <w:multiLevelType w:val="hybridMultilevel"/>
    <w:tmpl w:val="DF542A54"/>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3C9331A"/>
    <w:multiLevelType w:val="hybridMultilevel"/>
    <w:tmpl w:val="FBF8227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346844B3"/>
    <w:multiLevelType w:val="hybridMultilevel"/>
    <w:tmpl w:val="9CFC1A1A"/>
    <w:lvl w:ilvl="0" w:tplc="7A6C0D4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41F4653C"/>
    <w:multiLevelType w:val="hybridMultilevel"/>
    <w:tmpl w:val="FBF8227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50633B61"/>
    <w:multiLevelType w:val="hybridMultilevel"/>
    <w:tmpl w:val="6F882DB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636305558">
    <w:abstractNumId w:val="0"/>
  </w:num>
  <w:num w:numId="2" w16cid:durableId="1778597664">
    <w:abstractNumId w:val="5"/>
  </w:num>
  <w:num w:numId="3" w16cid:durableId="2061979173">
    <w:abstractNumId w:val="1"/>
  </w:num>
  <w:num w:numId="4" w16cid:durableId="808323946">
    <w:abstractNumId w:val="3"/>
  </w:num>
  <w:num w:numId="5" w16cid:durableId="263193428">
    <w:abstractNumId w:val="4"/>
  </w:num>
  <w:num w:numId="6" w16cid:durableId="1670252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2CB0"/>
    <w:rsid w:val="00024734"/>
    <w:rsid w:val="00067532"/>
    <w:rsid w:val="0008339D"/>
    <w:rsid w:val="00084E18"/>
    <w:rsid w:val="000A3432"/>
    <w:rsid w:val="000D2401"/>
    <w:rsid w:val="00106C99"/>
    <w:rsid w:val="00116DF0"/>
    <w:rsid w:val="00172CC4"/>
    <w:rsid w:val="00184DAA"/>
    <w:rsid w:val="00192068"/>
    <w:rsid w:val="001E143C"/>
    <w:rsid w:val="001E6AD6"/>
    <w:rsid w:val="001F3584"/>
    <w:rsid w:val="00231425"/>
    <w:rsid w:val="00263EAD"/>
    <w:rsid w:val="00273D0E"/>
    <w:rsid w:val="002A3247"/>
    <w:rsid w:val="002B135F"/>
    <w:rsid w:val="002E1A4A"/>
    <w:rsid w:val="00322C63"/>
    <w:rsid w:val="00330B74"/>
    <w:rsid w:val="003404D6"/>
    <w:rsid w:val="00350C89"/>
    <w:rsid w:val="00354899"/>
    <w:rsid w:val="0036083F"/>
    <w:rsid w:val="00360C88"/>
    <w:rsid w:val="00394734"/>
    <w:rsid w:val="003E4071"/>
    <w:rsid w:val="004056B4"/>
    <w:rsid w:val="00455D6A"/>
    <w:rsid w:val="00457A13"/>
    <w:rsid w:val="00474B4F"/>
    <w:rsid w:val="00480E2E"/>
    <w:rsid w:val="00525F0A"/>
    <w:rsid w:val="005311B7"/>
    <w:rsid w:val="00542B4E"/>
    <w:rsid w:val="005605FE"/>
    <w:rsid w:val="00561DB1"/>
    <w:rsid w:val="00584495"/>
    <w:rsid w:val="005A2CB0"/>
    <w:rsid w:val="005A4AD7"/>
    <w:rsid w:val="005A71F7"/>
    <w:rsid w:val="005D4FDD"/>
    <w:rsid w:val="005F271F"/>
    <w:rsid w:val="006423DE"/>
    <w:rsid w:val="00666590"/>
    <w:rsid w:val="0067555D"/>
    <w:rsid w:val="00680DD1"/>
    <w:rsid w:val="006946C6"/>
    <w:rsid w:val="006A662B"/>
    <w:rsid w:val="006C13B4"/>
    <w:rsid w:val="006C2DDE"/>
    <w:rsid w:val="006C4B5A"/>
    <w:rsid w:val="006C55CA"/>
    <w:rsid w:val="0071237D"/>
    <w:rsid w:val="0072686E"/>
    <w:rsid w:val="0074387B"/>
    <w:rsid w:val="00752D79"/>
    <w:rsid w:val="00754EBB"/>
    <w:rsid w:val="00776CBA"/>
    <w:rsid w:val="007A7989"/>
    <w:rsid w:val="007B337F"/>
    <w:rsid w:val="007D29B0"/>
    <w:rsid w:val="007D542E"/>
    <w:rsid w:val="007F14EE"/>
    <w:rsid w:val="00810516"/>
    <w:rsid w:val="0085380B"/>
    <w:rsid w:val="00880AE4"/>
    <w:rsid w:val="00886248"/>
    <w:rsid w:val="00897185"/>
    <w:rsid w:val="008A170A"/>
    <w:rsid w:val="008A1FAF"/>
    <w:rsid w:val="008F5E4E"/>
    <w:rsid w:val="00903F96"/>
    <w:rsid w:val="009159E0"/>
    <w:rsid w:val="00920F3C"/>
    <w:rsid w:val="00932EA4"/>
    <w:rsid w:val="00934668"/>
    <w:rsid w:val="0095226F"/>
    <w:rsid w:val="00961BCD"/>
    <w:rsid w:val="00965786"/>
    <w:rsid w:val="009815D2"/>
    <w:rsid w:val="009B1513"/>
    <w:rsid w:val="009B54F6"/>
    <w:rsid w:val="009C5C18"/>
    <w:rsid w:val="009E2AA4"/>
    <w:rsid w:val="009F7262"/>
    <w:rsid w:val="00A35586"/>
    <w:rsid w:val="00A51787"/>
    <w:rsid w:val="00A61E9E"/>
    <w:rsid w:val="00A6659F"/>
    <w:rsid w:val="00A679CA"/>
    <w:rsid w:val="00A83104"/>
    <w:rsid w:val="00A92AEC"/>
    <w:rsid w:val="00AC03C2"/>
    <w:rsid w:val="00AE2D9C"/>
    <w:rsid w:val="00AE703A"/>
    <w:rsid w:val="00B00603"/>
    <w:rsid w:val="00B20E5E"/>
    <w:rsid w:val="00B306AB"/>
    <w:rsid w:val="00B50AE4"/>
    <w:rsid w:val="00B949C7"/>
    <w:rsid w:val="00BA3722"/>
    <w:rsid w:val="00BB69B0"/>
    <w:rsid w:val="00BE025E"/>
    <w:rsid w:val="00BE3C2C"/>
    <w:rsid w:val="00BE566E"/>
    <w:rsid w:val="00C30F63"/>
    <w:rsid w:val="00C33231"/>
    <w:rsid w:val="00C50DD9"/>
    <w:rsid w:val="00C65344"/>
    <w:rsid w:val="00C66445"/>
    <w:rsid w:val="00C705FA"/>
    <w:rsid w:val="00C93CD3"/>
    <w:rsid w:val="00CA386B"/>
    <w:rsid w:val="00CA5707"/>
    <w:rsid w:val="00CB2058"/>
    <w:rsid w:val="00CC033B"/>
    <w:rsid w:val="00CC2AA3"/>
    <w:rsid w:val="00CD2B7F"/>
    <w:rsid w:val="00CD4AA5"/>
    <w:rsid w:val="00CE0E69"/>
    <w:rsid w:val="00CF1E87"/>
    <w:rsid w:val="00D16296"/>
    <w:rsid w:val="00D21676"/>
    <w:rsid w:val="00D50AC6"/>
    <w:rsid w:val="00D65ED8"/>
    <w:rsid w:val="00D72096"/>
    <w:rsid w:val="00DA00E0"/>
    <w:rsid w:val="00DC06BF"/>
    <w:rsid w:val="00DC16A8"/>
    <w:rsid w:val="00DE34C1"/>
    <w:rsid w:val="00E028D7"/>
    <w:rsid w:val="00E17841"/>
    <w:rsid w:val="00E17A25"/>
    <w:rsid w:val="00E24473"/>
    <w:rsid w:val="00E261F7"/>
    <w:rsid w:val="00E27D40"/>
    <w:rsid w:val="00E32A0F"/>
    <w:rsid w:val="00E54C95"/>
    <w:rsid w:val="00E7430E"/>
    <w:rsid w:val="00EA23FD"/>
    <w:rsid w:val="00F16C5B"/>
    <w:rsid w:val="00F16E1B"/>
    <w:rsid w:val="00F16EED"/>
    <w:rsid w:val="00F61457"/>
    <w:rsid w:val="00F61D82"/>
    <w:rsid w:val="00F737A9"/>
    <w:rsid w:val="00F77859"/>
    <w:rsid w:val="00F92AEC"/>
    <w:rsid w:val="00FA12DD"/>
    <w:rsid w:val="00FB4AA6"/>
    <w:rsid w:val="00FB6621"/>
    <w:rsid w:val="00FC62FF"/>
    <w:rsid w:val="00FE152D"/>
    <w:rsid w:val="00FE4428"/>
    <w:rsid w:val="00FE7841"/>
    <w:rsid w:val="00FF67F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60027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rsid w:val="000A3432"/>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unhideWhenUsed/>
    <w:qFormat/>
    <w:rsid w:val="00322C63"/>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unhideWhenUsed/>
    <w:qFormat/>
    <w:rsid w:val="005F271F"/>
    <w:pPr>
      <w:keepNext/>
      <w:spacing w:before="240" w:after="60"/>
      <w:outlineLvl w:val="2"/>
    </w:pPr>
    <w:rPr>
      <w:rFonts w:ascii="Cambria" w:eastAsia="Times New Roman"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A2CB0"/>
    <w:pPr>
      <w:autoSpaceDE w:val="0"/>
      <w:autoSpaceDN w:val="0"/>
      <w:adjustRightInd w:val="0"/>
    </w:pPr>
    <w:rPr>
      <w:rFonts w:ascii="Times New Roman" w:hAnsi="Times New Roman"/>
      <w:color w:val="000000"/>
      <w:sz w:val="24"/>
      <w:szCs w:val="24"/>
      <w:lang w:eastAsia="en-US"/>
    </w:rPr>
  </w:style>
  <w:style w:type="paragraph" w:styleId="Encabezado">
    <w:name w:val="header"/>
    <w:basedOn w:val="Normal"/>
    <w:link w:val="EncabezadoCar"/>
    <w:uiPriority w:val="99"/>
    <w:unhideWhenUsed/>
    <w:rsid w:val="005A2C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2CB0"/>
  </w:style>
  <w:style w:type="paragraph" w:styleId="Piedepgina">
    <w:name w:val="footer"/>
    <w:basedOn w:val="Normal"/>
    <w:link w:val="PiedepginaCar"/>
    <w:uiPriority w:val="99"/>
    <w:unhideWhenUsed/>
    <w:rsid w:val="005A2C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2CB0"/>
  </w:style>
  <w:style w:type="character" w:styleId="Hipervnculo">
    <w:name w:val="Hyperlink"/>
    <w:uiPriority w:val="99"/>
    <w:unhideWhenUsed/>
    <w:rsid w:val="005A2CB0"/>
    <w:rPr>
      <w:color w:val="0000FF"/>
      <w:u w:val="single"/>
    </w:rPr>
  </w:style>
  <w:style w:type="character" w:customStyle="1" w:styleId="Ttulo2Car">
    <w:name w:val="Título 2 Car"/>
    <w:link w:val="Ttulo2"/>
    <w:uiPriority w:val="9"/>
    <w:rsid w:val="00322C63"/>
    <w:rPr>
      <w:rFonts w:ascii="Cambria" w:eastAsia="Times New Roman" w:hAnsi="Cambria" w:cs="Times New Roman"/>
      <w:b/>
      <w:bCs/>
      <w:i/>
      <w:iCs/>
      <w:sz w:val="28"/>
      <w:szCs w:val="28"/>
      <w:lang w:eastAsia="en-US"/>
    </w:rPr>
  </w:style>
  <w:style w:type="table" w:styleId="Tablaconcuadrcula">
    <w:name w:val="Table Grid"/>
    <w:basedOn w:val="Tablanormal"/>
    <w:uiPriority w:val="59"/>
    <w:rsid w:val="00340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5605FE"/>
    <w:rPr>
      <w:sz w:val="20"/>
      <w:szCs w:val="20"/>
    </w:rPr>
  </w:style>
  <w:style w:type="character" w:customStyle="1" w:styleId="TextonotapieCar">
    <w:name w:val="Texto nota pie Car"/>
    <w:link w:val="Textonotapie"/>
    <w:uiPriority w:val="99"/>
    <w:semiHidden/>
    <w:rsid w:val="005605FE"/>
    <w:rPr>
      <w:lang w:eastAsia="en-US"/>
    </w:rPr>
  </w:style>
  <w:style w:type="character" w:styleId="Refdenotaalpie">
    <w:name w:val="footnote reference"/>
    <w:uiPriority w:val="99"/>
    <w:semiHidden/>
    <w:unhideWhenUsed/>
    <w:rsid w:val="005605FE"/>
    <w:rPr>
      <w:vertAlign w:val="superscript"/>
    </w:rPr>
  </w:style>
  <w:style w:type="character" w:styleId="Hipervnculovisitado">
    <w:name w:val="FollowedHyperlink"/>
    <w:uiPriority w:val="99"/>
    <w:semiHidden/>
    <w:unhideWhenUsed/>
    <w:rsid w:val="00A6659F"/>
    <w:rPr>
      <w:color w:val="800080"/>
      <w:u w:val="single"/>
    </w:rPr>
  </w:style>
  <w:style w:type="character" w:customStyle="1" w:styleId="Ttulo1Car">
    <w:name w:val="Título 1 Car"/>
    <w:link w:val="Ttulo1"/>
    <w:uiPriority w:val="9"/>
    <w:rsid w:val="000A3432"/>
    <w:rPr>
      <w:rFonts w:ascii="Cambria" w:eastAsia="Times New Roman" w:hAnsi="Cambria" w:cs="Times New Roman"/>
      <w:b/>
      <w:bCs/>
      <w:kern w:val="32"/>
      <w:sz w:val="32"/>
      <w:szCs w:val="32"/>
      <w:lang w:eastAsia="en-US"/>
    </w:rPr>
  </w:style>
  <w:style w:type="paragraph" w:styleId="TtulodeTDC">
    <w:name w:val="Título de TDC"/>
    <w:basedOn w:val="Ttulo1"/>
    <w:next w:val="Normal"/>
    <w:uiPriority w:val="39"/>
    <w:unhideWhenUsed/>
    <w:qFormat/>
    <w:rsid w:val="000A3432"/>
    <w:pPr>
      <w:keepLines/>
      <w:spacing w:before="480" w:after="0"/>
      <w:outlineLvl w:val="9"/>
    </w:pPr>
    <w:rPr>
      <w:color w:val="365F91"/>
      <w:kern w:val="0"/>
      <w:sz w:val="28"/>
      <w:szCs w:val="28"/>
      <w:lang w:eastAsia="es-AR"/>
    </w:rPr>
  </w:style>
  <w:style w:type="paragraph" w:styleId="TDC2">
    <w:name w:val="toc 2"/>
    <w:basedOn w:val="Normal"/>
    <w:next w:val="Normal"/>
    <w:autoRedefine/>
    <w:uiPriority w:val="39"/>
    <w:unhideWhenUsed/>
    <w:rsid w:val="000A3432"/>
    <w:pPr>
      <w:ind w:left="220"/>
    </w:pPr>
  </w:style>
  <w:style w:type="character" w:customStyle="1" w:styleId="Ttulo3Car">
    <w:name w:val="Título 3 Car"/>
    <w:link w:val="Ttulo3"/>
    <w:uiPriority w:val="9"/>
    <w:rsid w:val="005F271F"/>
    <w:rPr>
      <w:rFonts w:ascii="Cambria" w:eastAsia="Times New Roman" w:hAnsi="Cambria" w:cs="Times New Roman"/>
      <w:b/>
      <w:bCs/>
      <w:sz w:val="26"/>
      <w:szCs w:val="26"/>
      <w:lang w:eastAsia="en-US"/>
    </w:rPr>
  </w:style>
  <w:style w:type="paragraph" w:styleId="TDC3">
    <w:name w:val="toc 3"/>
    <w:basedOn w:val="Normal"/>
    <w:next w:val="Normal"/>
    <w:autoRedefine/>
    <w:uiPriority w:val="39"/>
    <w:unhideWhenUsed/>
    <w:rsid w:val="00A83104"/>
    <w:pPr>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richter@sociales.uba.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evele.uncoma.edu.ar/index.php/Sociales/article/view/190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2E26E-C23C-4D1E-8522-9C22B974C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3509</Words>
  <Characters>19303</Characters>
  <Application>Microsoft Office Word</Application>
  <DocSecurity>0</DocSecurity>
  <Lines>160</Lines>
  <Paragraphs>45</Paragraphs>
  <ScaleCrop>false</ScaleCrop>
  <Company/>
  <LinksUpToDate>false</LinksUpToDate>
  <CharactersWithSpaces>22767</CharactersWithSpaces>
  <SharedDoc>false</SharedDoc>
  <HLinks>
    <vt:vector size="72" baseType="variant">
      <vt:variant>
        <vt:i4>4063283</vt:i4>
      </vt:variant>
      <vt:variant>
        <vt:i4>60</vt:i4>
      </vt:variant>
      <vt:variant>
        <vt:i4>0</vt:i4>
      </vt:variant>
      <vt:variant>
        <vt:i4>5</vt:i4>
      </vt:variant>
      <vt:variant>
        <vt:lpwstr>https://doi.org/10.14409/dys.v1i25.5877</vt:lpwstr>
      </vt:variant>
      <vt:variant>
        <vt:lpwstr/>
      </vt:variant>
      <vt:variant>
        <vt:i4>2490466</vt:i4>
      </vt:variant>
      <vt:variant>
        <vt:i4>57</vt:i4>
      </vt:variant>
      <vt:variant>
        <vt:i4>0</vt:i4>
      </vt:variant>
      <vt:variant>
        <vt:i4>5</vt:i4>
      </vt:variant>
      <vt:variant>
        <vt:lpwstr>https://doi.org/10.15381/is.v10i17.7073</vt:lpwstr>
      </vt:variant>
      <vt:variant>
        <vt:lpwstr/>
      </vt:variant>
      <vt:variant>
        <vt:i4>983048</vt:i4>
      </vt:variant>
      <vt:variant>
        <vt:i4>54</vt:i4>
      </vt:variant>
      <vt:variant>
        <vt:i4>0</vt:i4>
      </vt:variant>
      <vt:variant>
        <vt:i4>5</vt:i4>
      </vt:variant>
      <vt:variant>
        <vt:lpwstr>http://revele.uncoma.edu.ar/index.php/Sociales/article/view/1901</vt:lpwstr>
      </vt:variant>
      <vt:variant>
        <vt:lpwstr/>
      </vt:variant>
      <vt:variant>
        <vt:i4>4456491</vt:i4>
      </vt:variant>
      <vt:variant>
        <vt:i4>51</vt:i4>
      </vt:variant>
      <vt:variant>
        <vt:i4>0</vt:i4>
      </vt:variant>
      <vt:variant>
        <vt:i4>5</vt:i4>
      </vt:variant>
      <vt:variant>
        <vt:lpwstr>mailto:nrichter@sociales.uba.ar</vt:lpwstr>
      </vt:variant>
      <vt:variant>
        <vt:lpwstr/>
      </vt:variant>
      <vt:variant>
        <vt:i4>1376315</vt:i4>
      </vt:variant>
      <vt:variant>
        <vt:i4>44</vt:i4>
      </vt:variant>
      <vt:variant>
        <vt:i4>0</vt:i4>
      </vt:variant>
      <vt:variant>
        <vt:i4>5</vt:i4>
      </vt:variant>
      <vt:variant>
        <vt:lpwstr/>
      </vt:variant>
      <vt:variant>
        <vt:lpwstr>_Toc114484633</vt:lpwstr>
      </vt:variant>
      <vt:variant>
        <vt:i4>1376315</vt:i4>
      </vt:variant>
      <vt:variant>
        <vt:i4>38</vt:i4>
      </vt:variant>
      <vt:variant>
        <vt:i4>0</vt:i4>
      </vt:variant>
      <vt:variant>
        <vt:i4>5</vt:i4>
      </vt:variant>
      <vt:variant>
        <vt:lpwstr/>
      </vt:variant>
      <vt:variant>
        <vt:lpwstr>_Toc114484632</vt:lpwstr>
      </vt:variant>
      <vt:variant>
        <vt:i4>1376315</vt:i4>
      </vt:variant>
      <vt:variant>
        <vt:i4>32</vt:i4>
      </vt:variant>
      <vt:variant>
        <vt:i4>0</vt:i4>
      </vt:variant>
      <vt:variant>
        <vt:i4>5</vt:i4>
      </vt:variant>
      <vt:variant>
        <vt:lpwstr/>
      </vt:variant>
      <vt:variant>
        <vt:lpwstr>_Toc114484631</vt:lpwstr>
      </vt:variant>
      <vt:variant>
        <vt:i4>1376315</vt:i4>
      </vt:variant>
      <vt:variant>
        <vt:i4>26</vt:i4>
      </vt:variant>
      <vt:variant>
        <vt:i4>0</vt:i4>
      </vt:variant>
      <vt:variant>
        <vt:i4>5</vt:i4>
      </vt:variant>
      <vt:variant>
        <vt:lpwstr/>
      </vt:variant>
      <vt:variant>
        <vt:lpwstr>_Toc114484630</vt:lpwstr>
      </vt:variant>
      <vt:variant>
        <vt:i4>1310779</vt:i4>
      </vt:variant>
      <vt:variant>
        <vt:i4>20</vt:i4>
      </vt:variant>
      <vt:variant>
        <vt:i4>0</vt:i4>
      </vt:variant>
      <vt:variant>
        <vt:i4>5</vt:i4>
      </vt:variant>
      <vt:variant>
        <vt:lpwstr/>
      </vt:variant>
      <vt:variant>
        <vt:lpwstr>_Toc114484629</vt:lpwstr>
      </vt:variant>
      <vt:variant>
        <vt:i4>1310779</vt:i4>
      </vt:variant>
      <vt:variant>
        <vt:i4>14</vt:i4>
      </vt:variant>
      <vt:variant>
        <vt:i4>0</vt:i4>
      </vt:variant>
      <vt:variant>
        <vt:i4>5</vt:i4>
      </vt:variant>
      <vt:variant>
        <vt:lpwstr/>
      </vt:variant>
      <vt:variant>
        <vt:lpwstr>_Toc114484628</vt:lpwstr>
      </vt:variant>
      <vt:variant>
        <vt:i4>1310779</vt:i4>
      </vt:variant>
      <vt:variant>
        <vt:i4>8</vt:i4>
      </vt:variant>
      <vt:variant>
        <vt:i4>0</vt:i4>
      </vt:variant>
      <vt:variant>
        <vt:i4>5</vt:i4>
      </vt:variant>
      <vt:variant>
        <vt:lpwstr/>
      </vt:variant>
      <vt:variant>
        <vt:lpwstr>_Toc114484627</vt:lpwstr>
      </vt:variant>
      <vt:variant>
        <vt:i4>1310779</vt:i4>
      </vt:variant>
      <vt:variant>
        <vt:i4>2</vt:i4>
      </vt:variant>
      <vt:variant>
        <vt:i4>0</vt:i4>
      </vt:variant>
      <vt:variant>
        <vt:i4>5</vt:i4>
      </vt:variant>
      <vt:variant>
        <vt:lpwstr/>
      </vt:variant>
      <vt:variant>
        <vt:lpwstr>_Toc114484626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2022-09-22T02:31:00Z</dcterms:created>
  <dcterms:modified xsi:type="dcterms:W3CDTF">2022-09-22T02:31:00Z</dcterms:modified>
</cp:coreProperties>
</file>