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0BF" w:rsidRPr="001228AB" w:rsidRDefault="001120BF" w:rsidP="001120BF">
      <w:pPr>
        <w:spacing w:after="0" w:line="360" w:lineRule="auto"/>
        <w:jc w:val="both"/>
        <w:rPr>
          <w:rFonts w:ascii="Times New Roman" w:hAnsi="Times New Roman" w:cs="Times New Roman"/>
          <w:b/>
          <w:color w:val="000000"/>
          <w:sz w:val="24"/>
          <w:szCs w:val="24"/>
        </w:rPr>
      </w:pPr>
      <w:r w:rsidRPr="001228AB">
        <w:rPr>
          <w:rFonts w:ascii="Times New Roman" w:hAnsi="Times New Roman" w:cs="Times New Roman"/>
          <w:b/>
          <w:color w:val="000000"/>
          <w:sz w:val="24"/>
          <w:szCs w:val="24"/>
        </w:rPr>
        <w:t>XI Jornadas de Jóvenes Investigadorxs. Instituto de Investigaciones Gino Germani</w:t>
      </w:r>
    </w:p>
    <w:p w:rsidR="001120BF" w:rsidRDefault="00C54282" w:rsidP="001120B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26, 27 y 28 de O</w:t>
      </w:r>
      <w:r w:rsidR="001120BF" w:rsidRPr="001228AB">
        <w:rPr>
          <w:rFonts w:ascii="Times New Roman" w:hAnsi="Times New Roman" w:cs="Times New Roman"/>
          <w:color w:val="000000"/>
          <w:sz w:val="24"/>
          <w:szCs w:val="24"/>
        </w:rPr>
        <w:t>ctubre de 2022</w:t>
      </w:r>
    </w:p>
    <w:p w:rsidR="001120BF" w:rsidRDefault="001120BF" w:rsidP="001120B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Autora: María Soledad Pintos</w:t>
      </w:r>
    </w:p>
    <w:p w:rsidR="001120BF" w:rsidRPr="00BC17EA" w:rsidRDefault="001120BF" w:rsidP="007B074D">
      <w:pPr>
        <w:spacing w:after="0"/>
        <w:jc w:val="both"/>
        <w:rPr>
          <w:rFonts w:ascii="Times New Roman" w:hAnsi="Times New Roman" w:cs="Times New Roman"/>
          <w:i/>
          <w:color w:val="000000"/>
        </w:rPr>
      </w:pPr>
      <w:r w:rsidRPr="00BC17EA">
        <w:rPr>
          <w:rFonts w:ascii="Times New Roman" w:hAnsi="Times New Roman" w:cs="Times New Roman"/>
          <w:i/>
          <w:color w:val="000000"/>
        </w:rPr>
        <w:t>Licenciada en Psicología. Estudiante de la UNLa – Maestría en Salud Mental Comunitaria</w:t>
      </w:r>
    </w:p>
    <w:p w:rsidR="001120BF" w:rsidRPr="00BC17EA" w:rsidRDefault="001120BF" w:rsidP="007B074D">
      <w:pPr>
        <w:spacing w:after="0"/>
        <w:jc w:val="both"/>
        <w:rPr>
          <w:rFonts w:ascii="Times New Roman" w:hAnsi="Times New Roman" w:cs="Times New Roman"/>
          <w:i/>
          <w:color w:val="000000"/>
        </w:rPr>
      </w:pPr>
      <w:r w:rsidRPr="00BC17EA">
        <w:rPr>
          <w:rFonts w:ascii="Times New Roman" w:hAnsi="Times New Roman" w:cs="Times New Roman"/>
          <w:i/>
          <w:color w:val="000000"/>
        </w:rPr>
        <w:t xml:space="preserve">Contacto: </w:t>
      </w:r>
      <w:hyperlink r:id="rId8" w:history="1">
        <w:r w:rsidRPr="003C05CF">
          <w:rPr>
            <w:rStyle w:val="Hyperlink"/>
            <w:rFonts w:ascii="Times New Roman" w:hAnsi="Times New Roman" w:cs="Times New Roman"/>
            <w:i/>
            <w:color w:val="auto"/>
            <w:u w:val="none"/>
          </w:rPr>
          <w:t>soledad_pintos@hotmail.com</w:t>
        </w:r>
      </w:hyperlink>
    </w:p>
    <w:p w:rsidR="001120BF" w:rsidRPr="00BC17EA" w:rsidRDefault="001120BF" w:rsidP="007B074D">
      <w:pPr>
        <w:spacing w:after="0"/>
        <w:jc w:val="both"/>
        <w:rPr>
          <w:rFonts w:ascii="Times New Roman" w:hAnsi="Times New Roman" w:cs="Times New Roman"/>
          <w:i/>
          <w:color w:val="000000"/>
        </w:rPr>
      </w:pPr>
      <w:r w:rsidRPr="00BC17EA">
        <w:rPr>
          <w:rFonts w:ascii="Times New Roman" w:hAnsi="Times New Roman" w:cs="Times New Roman"/>
          <w:i/>
          <w:color w:val="000000"/>
        </w:rPr>
        <w:t>Eje problemático: 2- Poder, dominación y violencia.</w:t>
      </w:r>
    </w:p>
    <w:p w:rsidR="005256C4" w:rsidRDefault="005256C4" w:rsidP="001120BF">
      <w:pPr>
        <w:spacing w:after="0" w:line="360" w:lineRule="auto"/>
        <w:jc w:val="both"/>
        <w:rPr>
          <w:rFonts w:ascii="Times New Roman" w:hAnsi="Times New Roman" w:cs="Times New Roman"/>
          <w:color w:val="000000"/>
          <w:sz w:val="24"/>
          <w:szCs w:val="24"/>
        </w:rPr>
      </w:pPr>
    </w:p>
    <w:p w:rsidR="001120BF" w:rsidRDefault="001120BF" w:rsidP="007B074D">
      <w:pPr>
        <w:spacing w:after="0" w:line="360" w:lineRule="auto"/>
        <w:jc w:val="center"/>
        <w:rPr>
          <w:rFonts w:ascii="Times New Roman" w:hAnsi="Times New Roman" w:cs="Times New Roman"/>
          <w:color w:val="000000"/>
          <w:sz w:val="24"/>
          <w:szCs w:val="24"/>
        </w:rPr>
      </w:pPr>
      <w:r w:rsidRPr="004B205B">
        <w:rPr>
          <w:rFonts w:ascii="Times New Roman" w:hAnsi="Times New Roman" w:cs="Times New Roman"/>
          <w:b/>
          <w:i/>
          <w:color w:val="000000"/>
          <w:sz w:val="24"/>
          <w:szCs w:val="24"/>
        </w:rPr>
        <w:t>“Las vulneraciones de derechos en las infancias y juventudes y las prácticas de (des)protección. Presentación de un estudio sobre la derivación a tratamiento psicológico por el Sistema de Protección de Derechos.”</w:t>
      </w:r>
    </w:p>
    <w:p w:rsidR="005256C4" w:rsidRDefault="005256C4" w:rsidP="001120BF">
      <w:pPr>
        <w:spacing w:after="0" w:line="360" w:lineRule="auto"/>
        <w:jc w:val="both"/>
        <w:rPr>
          <w:rFonts w:ascii="Times New Roman" w:hAnsi="Times New Roman" w:cs="Times New Roman"/>
          <w:color w:val="000000"/>
          <w:sz w:val="24"/>
          <w:szCs w:val="24"/>
        </w:rPr>
      </w:pPr>
    </w:p>
    <w:p w:rsidR="001120BF" w:rsidRPr="00D76104" w:rsidRDefault="005256C4" w:rsidP="001120BF">
      <w:pPr>
        <w:spacing w:after="0" w:line="360" w:lineRule="auto"/>
        <w:jc w:val="both"/>
        <w:rPr>
          <w:rFonts w:ascii="Times New Roman" w:hAnsi="Times New Roman" w:cs="Times New Roman"/>
          <w:i/>
          <w:color w:val="000000"/>
          <w:sz w:val="24"/>
          <w:szCs w:val="24"/>
        </w:rPr>
      </w:pPr>
      <w:r w:rsidRPr="00EC15AC">
        <w:rPr>
          <w:rFonts w:ascii="Times New Roman" w:hAnsi="Times New Roman" w:cs="Times New Roman"/>
          <w:i/>
          <w:color w:val="000000"/>
          <w:sz w:val="24"/>
          <w:szCs w:val="24"/>
        </w:rPr>
        <w:t>Resumen</w:t>
      </w:r>
      <w:r w:rsidRPr="00D76104">
        <w:rPr>
          <w:rFonts w:ascii="Times New Roman" w:hAnsi="Times New Roman" w:cs="Times New Roman"/>
          <w:i/>
          <w:color w:val="000000"/>
          <w:sz w:val="24"/>
          <w:szCs w:val="24"/>
        </w:rPr>
        <w:t>:</w:t>
      </w:r>
    </w:p>
    <w:p w:rsidR="001120BF" w:rsidRDefault="001120BF" w:rsidP="007B074D">
      <w:pPr>
        <w:jc w:val="both"/>
        <w:rPr>
          <w:rFonts w:ascii="Times New Roman" w:hAnsi="Times New Roman" w:cs="Times New Roman"/>
          <w:color w:val="000000"/>
          <w:sz w:val="24"/>
          <w:szCs w:val="24"/>
        </w:rPr>
      </w:pPr>
      <w:r>
        <w:rPr>
          <w:rFonts w:ascii="Times New Roman" w:hAnsi="Times New Roman" w:cs="Times New Roman"/>
          <w:sz w:val="24"/>
          <w:szCs w:val="24"/>
        </w:rPr>
        <w:t>En este trabajo, presentaré resultados parciales de la Tesis de Maestría en Salud Mental Comunitaria, que se propone describir y analizar</w:t>
      </w:r>
      <w:r w:rsidRPr="00206A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1228AB">
        <w:rPr>
          <w:rFonts w:ascii="Times New Roman" w:hAnsi="Times New Roman" w:cs="Times New Roman"/>
          <w:color w:val="000000"/>
          <w:sz w:val="24"/>
          <w:szCs w:val="24"/>
        </w:rPr>
        <w:t>l proceso de deriva</w:t>
      </w:r>
      <w:r>
        <w:rPr>
          <w:rFonts w:ascii="Times New Roman" w:hAnsi="Times New Roman" w:cs="Times New Roman"/>
          <w:color w:val="000000"/>
          <w:sz w:val="24"/>
          <w:szCs w:val="24"/>
        </w:rPr>
        <w:t>ción a tratamiento psicológico de</w:t>
      </w:r>
      <w:r w:rsidRPr="001228AB">
        <w:rPr>
          <w:rFonts w:ascii="Times New Roman" w:hAnsi="Times New Roman" w:cs="Times New Roman"/>
          <w:color w:val="000000"/>
          <w:sz w:val="24"/>
          <w:szCs w:val="24"/>
        </w:rPr>
        <w:t xml:space="preserve"> niños, niñas y adolescentes por el Sistema de Protección de Derechos, desde la perspectiva de profesionales de Servicios Locales, profesionales de Salud mental y familias, en el municipio de Lanús, en el año 2021.</w:t>
      </w:r>
    </w:p>
    <w:p w:rsidR="001120BF" w:rsidRDefault="001120BF" w:rsidP="007B074D">
      <w:pPr>
        <w:jc w:val="both"/>
        <w:rPr>
          <w:rFonts w:ascii="Times New Roman" w:hAnsi="Times New Roman" w:cs="Times New Roman"/>
          <w:color w:val="000000"/>
          <w:sz w:val="24"/>
          <w:szCs w:val="24"/>
        </w:rPr>
      </w:pPr>
      <w:r>
        <w:rPr>
          <w:rFonts w:ascii="Times New Roman" w:hAnsi="Times New Roman" w:cs="Times New Roman"/>
          <w:color w:val="000000"/>
          <w:sz w:val="24"/>
          <w:szCs w:val="24"/>
        </w:rPr>
        <w:t>Se trata de un estudio exploratorio/descriptivo con un abordaje cuantitativo y cualitativo, con un diseño flexible. S</w:t>
      </w:r>
      <w:r w:rsidR="005423DA">
        <w:rPr>
          <w:rFonts w:ascii="Times New Roman" w:hAnsi="Times New Roman" w:cs="Times New Roman"/>
          <w:color w:val="000000"/>
          <w:sz w:val="24"/>
          <w:szCs w:val="24"/>
        </w:rPr>
        <w:t>e relevó durante seis meses todo</w:t>
      </w:r>
      <w:r>
        <w:rPr>
          <w:rFonts w:ascii="Times New Roman" w:hAnsi="Times New Roman" w:cs="Times New Roman"/>
          <w:color w:val="000000"/>
          <w:sz w:val="24"/>
          <w:szCs w:val="24"/>
        </w:rPr>
        <w:t>s l</w:t>
      </w:r>
      <w:r w:rsidR="005423DA">
        <w:rPr>
          <w:rFonts w:ascii="Times New Roman" w:hAnsi="Times New Roman" w:cs="Times New Roman"/>
          <w:color w:val="000000"/>
          <w:sz w:val="24"/>
          <w:szCs w:val="24"/>
        </w:rPr>
        <w:t>o</w:t>
      </w:r>
      <w:r>
        <w:rPr>
          <w:rFonts w:ascii="Times New Roman" w:hAnsi="Times New Roman" w:cs="Times New Roman"/>
          <w:color w:val="000000"/>
          <w:sz w:val="24"/>
          <w:szCs w:val="24"/>
        </w:rPr>
        <w:t>s</w:t>
      </w:r>
      <w:r w:rsidR="005423DA">
        <w:rPr>
          <w:rFonts w:ascii="Times New Roman" w:hAnsi="Times New Roman" w:cs="Times New Roman"/>
          <w:color w:val="000000"/>
          <w:sz w:val="24"/>
          <w:szCs w:val="24"/>
        </w:rPr>
        <w:t xml:space="preserve"> pedidos de intervención</w:t>
      </w:r>
      <w:r>
        <w:rPr>
          <w:rFonts w:ascii="Times New Roman" w:hAnsi="Times New Roman" w:cs="Times New Roman"/>
          <w:color w:val="000000"/>
          <w:sz w:val="24"/>
          <w:szCs w:val="24"/>
        </w:rPr>
        <w:t xml:space="preserve"> a Salud mental y se entrevistó a profesionales de Servicios Locales, de Salud mental y familias.</w:t>
      </w:r>
    </w:p>
    <w:p w:rsidR="001120BF" w:rsidRDefault="001120BF" w:rsidP="007B074D">
      <w:pPr>
        <w:jc w:val="both"/>
        <w:rPr>
          <w:rFonts w:ascii="Times New Roman" w:hAnsi="Times New Roman" w:cs="Times New Roman"/>
          <w:sz w:val="24"/>
          <w:szCs w:val="24"/>
        </w:rPr>
      </w:pPr>
      <w:r>
        <w:rPr>
          <w:rFonts w:ascii="Times New Roman" w:hAnsi="Times New Roman" w:cs="Times New Roman"/>
          <w:color w:val="000000"/>
          <w:sz w:val="24"/>
          <w:szCs w:val="24"/>
        </w:rPr>
        <w:t>Se desarrollará en este escrito las situaciones de vulneración de derechos en las que intervienen los Servicios Locales de Promoción y Protección de Derechos y las medidas de protección en tanto prácticas de restitución de derechos vulnerados. Entre ellas, de uso frecuente, la indicación de tratamiento psicológico para el niño, niña o adolescente o sus padres, leída como una de las técnicas desplegadas en el gobierno de las familias.</w:t>
      </w:r>
    </w:p>
    <w:p w:rsidR="001120BF" w:rsidRDefault="001120BF" w:rsidP="007B074D">
      <w:pPr>
        <w:jc w:val="both"/>
        <w:rPr>
          <w:rFonts w:ascii="Times New Roman" w:hAnsi="Times New Roman" w:cs="Times New Roman"/>
          <w:color w:val="000000"/>
          <w:sz w:val="24"/>
          <w:szCs w:val="24"/>
        </w:rPr>
      </w:pPr>
      <w:r w:rsidRPr="001228AB">
        <w:rPr>
          <w:rFonts w:ascii="Times New Roman" w:hAnsi="Times New Roman" w:cs="Times New Roman"/>
          <w:color w:val="000000"/>
          <w:sz w:val="24"/>
          <w:szCs w:val="24"/>
        </w:rPr>
        <w:t>Los prob</w:t>
      </w:r>
      <w:r>
        <w:rPr>
          <w:rFonts w:ascii="Times New Roman" w:hAnsi="Times New Roman" w:cs="Times New Roman"/>
          <w:color w:val="000000"/>
          <w:sz w:val="24"/>
          <w:szCs w:val="24"/>
        </w:rPr>
        <w:t>lemas q</w:t>
      </w:r>
      <w:r w:rsidR="007B074D">
        <w:rPr>
          <w:rFonts w:ascii="Times New Roman" w:hAnsi="Times New Roman" w:cs="Times New Roman"/>
          <w:color w:val="000000"/>
          <w:sz w:val="24"/>
          <w:szCs w:val="24"/>
        </w:rPr>
        <w:t xml:space="preserve">ue se constatan </w:t>
      </w:r>
      <w:r>
        <w:rPr>
          <w:rFonts w:ascii="Times New Roman" w:hAnsi="Times New Roman" w:cs="Times New Roman"/>
          <w:color w:val="000000"/>
          <w:sz w:val="24"/>
          <w:szCs w:val="24"/>
        </w:rPr>
        <w:t>son</w:t>
      </w:r>
      <w:r w:rsidRPr="001228AB">
        <w:rPr>
          <w:rFonts w:ascii="Times New Roman" w:hAnsi="Times New Roman" w:cs="Times New Roman"/>
          <w:color w:val="000000"/>
          <w:sz w:val="24"/>
          <w:szCs w:val="24"/>
        </w:rPr>
        <w:t xml:space="preserve">: la deriva institucional, </w:t>
      </w:r>
      <w:r w:rsidR="00CD19EC">
        <w:rPr>
          <w:rFonts w:ascii="Times New Roman" w:hAnsi="Times New Roman" w:cs="Times New Roman"/>
          <w:color w:val="000000"/>
          <w:sz w:val="24"/>
          <w:szCs w:val="24"/>
        </w:rPr>
        <w:t xml:space="preserve">el aplanamiento de la multidimensionalidad en problemas que son </w:t>
      </w:r>
      <w:r w:rsidR="007B074D">
        <w:rPr>
          <w:rFonts w:ascii="Times New Roman" w:hAnsi="Times New Roman" w:cs="Times New Roman"/>
          <w:color w:val="000000"/>
          <w:sz w:val="24"/>
          <w:szCs w:val="24"/>
        </w:rPr>
        <w:t xml:space="preserve">complejos, </w:t>
      </w:r>
      <w:r w:rsidRPr="001228AB">
        <w:rPr>
          <w:rFonts w:ascii="Times New Roman" w:hAnsi="Times New Roman" w:cs="Times New Roman"/>
          <w:color w:val="000000"/>
          <w:sz w:val="24"/>
          <w:szCs w:val="24"/>
        </w:rPr>
        <w:t xml:space="preserve">la </w:t>
      </w:r>
      <w:r>
        <w:rPr>
          <w:rFonts w:ascii="Times New Roman" w:hAnsi="Times New Roman" w:cs="Times New Roman"/>
          <w:color w:val="000000"/>
          <w:sz w:val="24"/>
          <w:szCs w:val="24"/>
        </w:rPr>
        <w:t xml:space="preserve">ausencia </w:t>
      </w:r>
      <w:r w:rsidRPr="001228AB">
        <w:rPr>
          <w:rFonts w:ascii="Times New Roman" w:hAnsi="Times New Roman" w:cs="Times New Roman"/>
          <w:color w:val="000000"/>
          <w:sz w:val="24"/>
          <w:szCs w:val="24"/>
        </w:rPr>
        <w:t>de trabajo desde una perspectiva</w:t>
      </w:r>
      <w:r>
        <w:rPr>
          <w:rFonts w:ascii="Times New Roman" w:hAnsi="Times New Roman" w:cs="Times New Roman"/>
          <w:color w:val="000000"/>
          <w:sz w:val="24"/>
          <w:szCs w:val="24"/>
        </w:rPr>
        <w:t xml:space="preserve"> integral</w:t>
      </w:r>
      <w:r w:rsidRPr="001228AB">
        <w:rPr>
          <w:rFonts w:ascii="Times New Roman" w:hAnsi="Times New Roman" w:cs="Times New Roman"/>
          <w:color w:val="000000"/>
          <w:sz w:val="24"/>
          <w:szCs w:val="24"/>
        </w:rPr>
        <w:t xml:space="preserve"> de l</w:t>
      </w:r>
      <w:r>
        <w:rPr>
          <w:rFonts w:ascii="Times New Roman" w:hAnsi="Times New Roman" w:cs="Times New Roman"/>
          <w:color w:val="000000"/>
          <w:sz w:val="24"/>
          <w:szCs w:val="24"/>
        </w:rPr>
        <w:t xml:space="preserve">a complejidad, </w:t>
      </w:r>
      <w:r w:rsidRPr="001228AB">
        <w:rPr>
          <w:rFonts w:ascii="Times New Roman" w:hAnsi="Times New Roman" w:cs="Times New Roman"/>
          <w:color w:val="000000"/>
          <w:sz w:val="24"/>
          <w:szCs w:val="24"/>
        </w:rPr>
        <w:t>la esca</w:t>
      </w:r>
      <w:r>
        <w:rPr>
          <w:rFonts w:ascii="Times New Roman" w:hAnsi="Times New Roman" w:cs="Times New Roman"/>
          <w:color w:val="000000"/>
          <w:sz w:val="24"/>
          <w:szCs w:val="24"/>
        </w:rPr>
        <w:t>sa articulación intersectorial en una interpretación falaz de la corresponsabilidad y por último,</w:t>
      </w:r>
      <w:r w:rsidRPr="001228AB">
        <w:rPr>
          <w:rFonts w:ascii="Times New Roman" w:hAnsi="Times New Roman" w:cs="Times New Roman"/>
          <w:color w:val="000000"/>
          <w:sz w:val="24"/>
          <w:szCs w:val="24"/>
        </w:rPr>
        <w:t xml:space="preserve"> la persistencia </w:t>
      </w:r>
      <w:r>
        <w:rPr>
          <w:rFonts w:ascii="Times New Roman" w:hAnsi="Times New Roman" w:cs="Times New Roman"/>
          <w:color w:val="000000"/>
          <w:sz w:val="24"/>
          <w:szCs w:val="24"/>
        </w:rPr>
        <w:t>de la visión de las infancias y juventudes</w:t>
      </w:r>
      <w:r w:rsidRPr="001228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como</w:t>
      </w:r>
      <w:r w:rsidRPr="001228AB">
        <w:rPr>
          <w:rFonts w:ascii="Times New Roman" w:hAnsi="Times New Roman" w:cs="Times New Roman"/>
          <w:color w:val="000000"/>
          <w:sz w:val="24"/>
          <w:szCs w:val="24"/>
        </w:rPr>
        <w:t xml:space="preserve"> objeto</w:t>
      </w:r>
      <w:r>
        <w:rPr>
          <w:rFonts w:ascii="Times New Roman" w:hAnsi="Times New Roman" w:cs="Times New Roman"/>
          <w:color w:val="000000"/>
          <w:sz w:val="24"/>
          <w:szCs w:val="24"/>
        </w:rPr>
        <w:t>s</w:t>
      </w:r>
      <w:r w:rsidRPr="001228AB">
        <w:rPr>
          <w:rFonts w:ascii="Times New Roman" w:hAnsi="Times New Roman" w:cs="Times New Roman"/>
          <w:color w:val="000000"/>
          <w:sz w:val="24"/>
          <w:szCs w:val="24"/>
        </w:rPr>
        <w:t xml:space="preserve"> de protección y no como sujeto</w:t>
      </w:r>
      <w:r>
        <w:rPr>
          <w:rFonts w:ascii="Times New Roman" w:hAnsi="Times New Roman" w:cs="Times New Roman"/>
          <w:color w:val="000000"/>
          <w:sz w:val="24"/>
          <w:szCs w:val="24"/>
        </w:rPr>
        <w:t>s</w:t>
      </w:r>
      <w:r w:rsidRPr="001228AB">
        <w:rPr>
          <w:rFonts w:ascii="Times New Roman" w:hAnsi="Times New Roman" w:cs="Times New Roman"/>
          <w:color w:val="000000"/>
          <w:sz w:val="24"/>
          <w:szCs w:val="24"/>
        </w:rPr>
        <w:t xml:space="preserve"> de derechos</w:t>
      </w:r>
      <w:r>
        <w:rPr>
          <w:rFonts w:ascii="Times New Roman" w:hAnsi="Times New Roman" w:cs="Times New Roman"/>
          <w:color w:val="000000"/>
          <w:sz w:val="24"/>
          <w:szCs w:val="24"/>
        </w:rPr>
        <w:t>,</w:t>
      </w:r>
      <w:r w:rsidRPr="001228AB">
        <w:rPr>
          <w:rFonts w:ascii="Times New Roman" w:hAnsi="Times New Roman" w:cs="Times New Roman"/>
          <w:color w:val="000000"/>
          <w:sz w:val="24"/>
          <w:szCs w:val="24"/>
        </w:rPr>
        <w:t xml:space="preserve"> </w:t>
      </w:r>
      <w:r>
        <w:rPr>
          <w:rFonts w:ascii="Times New Roman" w:hAnsi="Times New Roman" w:cs="Times New Roman"/>
          <w:color w:val="000000"/>
          <w:sz w:val="24"/>
          <w:szCs w:val="24"/>
        </w:rPr>
        <w:t>así como</w:t>
      </w:r>
      <w:r w:rsidRPr="001228AB">
        <w:rPr>
          <w:rFonts w:ascii="Times New Roman" w:hAnsi="Times New Roman" w:cs="Times New Roman"/>
          <w:color w:val="000000"/>
          <w:sz w:val="24"/>
          <w:szCs w:val="24"/>
        </w:rPr>
        <w:t xml:space="preserve"> de la familia como responsable moral.</w:t>
      </w:r>
      <w:r>
        <w:rPr>
          <w:rFonts w:ascii="Times New Roman" w:hAnsi="Times New Roman" w:cs="Times New Roman"/>
          <w:color w:val="000000"/>
          <w:sz w:val="24"/>
          <w:szCs w:val="24"/>
        </w:rPr>
        <w:t xml:space="preserve"> </w:t>
      </w:r>
      <w:r w:rsidRPr="00B305C7">
        <w:rPr>
          <w:rFonts w:ascii="Times New Roman" w:hAnsi="Times New Roman" w:cs="Times New Roman"/>
          <w:color w:val="000000"/>
          <w:sz w:val="24"/>
          <w:szCs w:val="24"/>
        </w:rPr>
        <w:t xml:space="preserve">Se </w:t>
      </w:r>
      <w:r>
        <w:rPr>
          <w:rFonts w:ascii="Times New Roman" w:hAnsi="Times New Roman" w:cs="Times New Roman"/>
          <w:color w:val="000000"/>
          <w:sz w:val="24"/>
          <w:szCs w:val="24"/>
        </w:rPr>
        <w:t>verifica también en esta investigación que</w:t>
      </w:r>
      <w:r w:rsidRPr="00B305C7">
        <w:rPr>
          <w:rFonts w:ascii="Times New Roman" w:hAnsi="Times New Roman" w:cs="Times New Roman"/>
          <w:color w:val="000000"/>
          <w:sz w:val="24"/>
          <w:szCs w:val="24"/>
        </w:rPr>
        <w:t xml:space="preserve"> la insuficiencia de recursos y</w:t>
      </w:r>
      <w:r>
        <w:rPr>
          <w:rFonts w:ascii="Times New Roman" w:hAnsi="Times New Roman" w:cs="Times New Roman"/>
          <w:color w:val="000000"/>
          <w:sz w:val="24"/>
          <w:szCs w:val="24"/>
        </w:rPr>
        <w:t xml:space="preserve"> de </w:t>
      </w:r>
      <w:r w:rsidRPr="00B305C7">
        <w:rPr>
          <w:rFonts w:ascii="Times New Roman" w:hAnsi="Times New Roman" w:cs="Times New Roman"/>
          <w:color w:val="000000"/>
          <w:sz w:val="24"/>
          <w:szCs w:val="24"/>
        </w:rPr>
        <w:t>estrat</w:t>
      </w:r>
      <w:r>
        <w:rPr>
          <w:rFonts w:ascii="Times New Roman" w:hAnsi="Times New Roman" w:cs="Times New Roman"/>
          <w:color w:val="000000"/>
          <w:sz w:val="24"/>
          <w:szCs w:val="24"/>
        </w:rPr>
        <w:t>egias de protección integral</w:t>
      </w:r>
      <w:r w:rsidRPr="00B305C7">
        <w:rPr>
          <w:rFonts w:ascii="Times New Roman" w:hAnsi="Times New Roman" w:cs="Times New Roman"/>
          <w:color w:val="000000"/>
          <w:sz w:val="24"/>
          <w:szCs w:val="24"/>
        </w:rPr>
        <w:t>, el debilitamiento de políticas de fortaleci</w:t>
      </w:r>
      <w:r>
        <w:rPr>
          <w:rFonts w:ascii="Times New Roman" w:hAnsi="Times New Roman" w:cs="Times New Roman"/>
          <w:color w:val="000000"/>
          <w:sz w:val="24"/>
          <w:szCs w:val="24"/>
        </w:rPr>
        <w:t xml:space="preserve">miento familiar y el trabajo poco </w:t>
      </w:r>
      <w:r w:rsidRPr="00B305C7">
        <w:rPr>
          <w:rFonts w:ascii="Times New Roman" w:hAnsi="Times New Roman" w:cs="Times New Roman"/>
          <w:color w:val="000000"/>
          <w:sz w:val="24"/>
          <w:szCs w:val="24"/>
        </w:rPr>
        <w:t>articulado entre sectores, dev</w:t>
      </w:r>
      <w:r>
        <w:rPr>
          <w:rFonts w:ascii="Times New Roman" w:hAnsi="Times New Roman" w:cs="Times New Roman"/>
          <w:color w:val="000000"/>
          <w:sz w:val="24"/>
          <w:szCs w:val="24"/>
        </w:rPr>
        <w:t>iene en un aumento de la</w:t>
      </w:r>
      <w:r w:rsidRPr="00B305C7">
        <w:rPr>
          <w:rFonts w:ascii="Times New Roman" w:hAnsi="Times New Roman" w:cs="Times New Roman"/>
          <w:color w:val="000000"/>
          <w:sz w:val="24"/>
          <w:szCs w:val="24"/>
        </w:rPr>
        <w:t xml:space="preserve"> institucionalización</w:t>
      </w:r>
      <w:r>
        <w:rPr>
          <w:rFonts w:ascii="Times New Roman" w:hAnsi="Times New Roman" w:cs="Times New Roman"/>
          <w:color w:val="000000"/>
          <w:sz w:val="24"/>
          <w:szCs w:val="24"/>
        </w:rPr>
        <w:t xml:space="preserve"> de niños, niñas y adolescentes. </w:t>
      </w:r>
    </w:p>
    <w:p w:rsidR="001120BF" w:rsidRDefault="005256C4">
      <w:r w:rsidRPr="00C54282">
        <w:rPr>
          <w:rFonts w:ascii="Times New Roman" w:hAnsi="Times New Roman" w:cs="Times New Roman"/>
          <w:i/>
          <w:color w:val="000000"/>
          <w:sz w:val="24"/>
          <w:szCs w:val="24"/>
        </w:rPr>
        <w:t>Palabras clave:</w:t>
      </w:r>
      <w:r>
        <w:rPr>
          <w:rFonts w:ascii="Times New Roman" w:hAnsi="Times New Roman" w:cs="Times New Roman"/>
          <w:color w:val="000000"/>
          <w:sz w:val="24"/>
          <w:szCs w:val="24"/>
        </w:rPr>
        <w:t xml:space="preserve"> Derechos; Infancias y juventudes; Derivación; Gobierno</w:t>
      </w:r>
      <w:r w:rsidRPr="001B0107">
        <w:rPr>
          <w:rFonts w:ascii="Times New Roman" w:hAnsi="Times New Roman" w:cs="Times New Roman"/>
          <w:color w:val="000000"/>
          <w:sz w:val="24"/>
          <w:szCs w:val="24"/>
        </w:rPr>
        <w:t>; Intersectorialidad</w:t>
      </w:r>
    </w:p>
    <w:p w:rsidR="00AA7810" w:rsidRPr="00EC15AC" w:rsidRDefault="00AA7810" w:rsidP="00E6007E">
      <w:pPr>
        <w:spacing w:line="360" w:lineRule="auto"/>
        <w:rPr>
          <w:rFonts w:ascii="Times New Roman" w:hAnsi="Times New Roman" w:cs="Times New Roman"/>
          <w:i/>
          <w:sz w:val="24"/>
          <w:szCs w:val="24"/>
        </w:rPr>
      </w:pPr>
      <w:r w:rsidRPr="00EC15AC">
        <w:rPr>
          <w:rFonts w:ascii="Times New Roman" w:hAnsi="Times New Roman" w:cs="Times New Roman"/>
          <w:b/>
          <w:sz w:val="24"/>
          <w:szCs w:val="24"/>
        </w:rPr>
        <w:lastRenderedPageBreak/>
        <w:t>Introducción</w:t>
      </w:r>
    </w:p>
    <w:p w:rsidR="00FF5E91" w:rsidRPr="00E6007E" w:rsidRDefault="00FF5E91" w:rsidP="00E6007E">
      <w:pPr>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En esta presentación me dedicaré a exponer resultados parciales de la investigación desarrollada en el marco de una tesis de la Maestría en Salud Mental Comunitaria dictada por la UNLa</w:t>
      </w:r>
      <w:r w:rsidR="00CD19EC">
        <w:rPr>
          <w:rStyle w:val="FootnoteReference"/>
          <w:rFonts w:ascii="Times New Roman" w:hAnsi="Times New Roman" w:cs="Times New Roman"/>
          <w:sz w:val="24"/>
          <w:szCs w:val="24"/>
        </w:rPr>
        <w:footnoteReference w:id="2"/>
      </w:r>
      <w:r w:rsidRPr="00E6007E">
        <w:rPr>
          <w:rFonts w:ascii="Times New Roman" w:hAnsi="Times New Roman" w:cs="Times New Roman"/>
          <w:sz w:val="24"/>
          <w:szCs w:val="24"/>
        </w:rPr>
        <w:t xml:space="preserve">. El objetivo general del estudio es describir y analizar el proceso de derivación a tratamiento psicológico </w:t>
      </w:r>
      <w:r w:rsidR="008F25DB">
        <w:rPr>
          <w:rFonts w:ascii="Times New Roman" w:hAnsi="Times New Roman" w:cs="Times New Roman"/>
          <w:sz w:val="24"/>
          <w:szCs w:val="24"/>
        </w:rPr>
        <w:t>de</w:t>
      </w:r>
      <w:r w:rsidRPr="00E6007E">
        <w:rPr>
          <w:rFonts w:ascii="Times New Roman" w:hAnsi="Times New Roman" w:cs="Times New Roman"/>
          <w:sz w:val="24"/>
          <w:szCs w:val="24"/>
        </w:rPr>
        <w:t xml:space="preserve"> niños, niñas y adolescentes por el Sistema de Protección de Derechos, desde la p</w:t>
      </w:r>
      <w:r w:rsidR="008F25DB">
        <w:rPr>
          <w:rFonts w:ascii="Times New Roman" w:hAnsi="Times New Roman" w:cs="Times New Roman"/>
          <w:sz w:val="24"/>
          <w:szCs w:val="24"/>
        </w:rPr>
        <w:t>erspectiva de profesionales de S</w:t>
      </w:r>
      <w:r w:rsidRPr="00E6007E">
        <w:rPr>
          <w:rFonts w:ascii="Times New Roman" w:hAnsi="Times New Roman" w:cs="Times New Roman"/>
          <w:sz w:val="24"/>
          <w:szCs w:val="24"/>
        </w:rPr>
        <w:t xml:space="preserve">ervicios locales, profesionales de </w:t>
      </w:r>
      <w:r w:rsidR="008F25DB">
        <w:rPr>
          <w:rFonts w:ascii="Times New Roman" w:hAnsi="Times New Roman" w:cs="Times New Roman"/>
          <w:sz w:val="24"/>
          <w:szCs w:val="24"/>
        </w:rPr>
        <w:t>S</w:t>
      </w:r>
      <w:r w:rsidRPr="00E6007E">
        <w:rPr>
          <w:rFonts w:ascii="Times New Roman" w:hAnsi="Times New Roman" w:cs="Times New Roman"/>
          <w:sz w:val="24"/>
          <w:szCs w:val="24"/>
        </w:rPr>
        <w:t>alud mental y familias, en el municipio de Lanús, en el año 2021. Presentaré resultados vinculado</w:t>
      </w:r>
      <w:r w:rsidR="00D765BC">
        <w:rPr>
          <w:rFonts w:ascii="Times New Roman" w:hAnsi="Times New Roman" w:cs="Times New Roman"/>
          <w:sz w:val="24"/>
          <w:szCs w:val="24"/>
        </w:rPr>
        <w:t>s al primer objetivo</w:t>
      </w:r>
      <w:r w:rsidR="00AA7810" w:rsidRPr="00E6007E">
        <w:rPr>
          <w:rFonts w:ascii="Times New Roman" w:hAnsi="Times New Roman" w:cs="Times New Roman"/>
          <w:sz w:val="24"/>
          <w:szCs w:val="24"/>
        </w:rPr>
        <w:t xml:space="preserve"> cuyo interés es</w:t>
      </w:r>
      <w:r w:rsidRPr="00E6007E">
        <w:rPr>
          <w:rFonts w:ascii="Times New Roman" w:hAnsi="Times New Roman" w:cs="Times New Roman"/>
          <w:sz w:val="24"/>
          <w:szCs w:val="24"/>
        </w:rPr>
        <w:t xml:space="preserve"> indagar situaciones de vulneración de derechos sobre las que interviene el Servicio local y </w:t>
      </w:r>
      <w:r w:rsidR="00D765BC">
        <w:rPr>
          <w:rFonts w:ascii="Times New Roman" w:hAnsi="Times New Roman" w:cs="Times New Roman"/>
          <w:sz w:val="24"/>
          <w:szCs w:val="24"/>
        </w:rPr>
        <w:t>las</w:t>
      </w:r>
      <w:r w:rsidRPr="00E6007E">
        <w:rPr>
          <w:rFonts w:ascii="Times New Roman" w:hAnsi="Times New Roman" w:cs="Times New Roman"/>
          <w:sz w:val="24"/>
          <w:szCs w:val="24"/>
        </w:rPr>
        <w:t xml:space="preserve"> me</w:t>
      </w:r>
      <w:r w:rsidR="00D765BC">
        <w:rPr>
          <w:rFonts w:ascii="Times New Roman" w:hAnsi="Times New Roman" w:cs="Times New Roman"/>
          <w:sz w:val="24"/>
          <w:szCs w:val="24"/>
        </w:rPr>
        <w:t>didas de protección que se utilizan</w:t>
      </w:r>
      <w:r w:rsidR="004B3EF7">
        <w:rPr>
          <w:rFonts w:ascii="Times New Roman" w:hAnsi="Times New Roman" w:cs="Times New Roman"/>
          <w:sz w:val="24"/>
          <w:szCs w:val="24"/>
        </w:rPr>
        <w:t>;</w:t>
      </w:r>
      <w:r w:rsidR="00D765BC">
        <w:rPr>
          <w:rFonts w:ascii="Times New Roman" w:hAnsi="Times New Roman" w:cs="Times New Roman"/>
          <w:sz w:val="24"/>
          <w:szCs w:val="24"/>
        </w:rPr>
        <w:t xml:space="preserve"> y en relación al segundo objetivo, explorar los principales motivos de la derivación.</w:t>
      </w:r>
    </w:p>
    <w:p w:rsidR="002753EC" w:rsidRPr="00E6007E" w:rsidRDefault="002753EC" w:rsidP="00E6007E">
      <w:pPr>
        <w:pStyle w:val="NormalWeb"/>
        <w:spacing w:before="240" w:beforeAutospacing="0" w:after="200" w:afterAutospacing="0" w:line="360" w:lineRule="auto"/>
        <w:jc w:val="both"/>
        <w:rPr>
          <w:color w:val="000000"/>
        </w:rPr>
      </w:pPr>
      <w:r w:rsidRPr="00E6007E">
        <w:rPr>
          <w:color w:val="000000"/>
        </w:rPr>
        <w:t>A partir de la Ley Nacional N°26</w:t>
      </w:r>
      <w:r w:rsidR="004B3EF7">
        <w:rPr>
          <w:color w:val="000000"/>
        </w:rPr>
        <w:t>.</w:t>
      </w:r>
      <w:r w:rsidRPr="00E6007E">
        <w:rPr>
          <w:color w:val="000000"/>
        </w:rPr>
        <w:t>061 de Protección Integral de Derechos de niños, niñas y adolescentes (2005) y la Ley N° 13</w:t>
      </w:r>
      <w:r w:rsidR="004B3EF7">
        <w:rPr>
          <w:color w:val="000000"/>
        </w:rPr>
        <w:t>.</w:t>
      </w:r>
      <w:r w:rsidRPr="00E6007E">
        <w:rPr>
          <w:color w:val="000000"/>
        </w:rPr>
        <w:t>298 de la Promoción y Protección de los Derechos de los niños de la Provincia de Buenos Aires (2007), se produce un pasaje del paradigma de la Situación Irregular a la Doctrina de Protección Integral (Luciani Conde, 2017). Ello conlleva una reconfiguración de las instituciones que se dedican a la protecció</w:t>
      </w:r>
      <w:r w:rsidR="00F0186A">
        <w:rPr>
          <w:color w:val="000000"/>
        </w:rPr>
        <w:t>n social</w:t>
      </w:r>
      <w:r w:rsidR="00494D52">
        <w:rPr>
          <w:color w:val="000000"/>
        </w:rPr>
        <w:t>. En esta adecuación a la L</w:t>
      </w:r>
      <w:r w:rsidRPr="00E6007E">
        <w:rPr>
          <w:color w:val="000000"/>
        </w:rPr>
        <w:t>ey</w:t>
      </w:r>
      <w:r w:rsidR="00494D52">
        <w:rPr>
          <w:color w:val="000000"/>
        </w:rPr>
        <w:t xml:space="preserve"> 13298</w:t>
      </w:r>
      <w:r w:rsidRPr="00E6007E">
        <w:rPr>
          <w:color w:val="000000"/>
        </w:rPr>
        <w:t>, se crean organismos administrativos que se especializan en la protección de derechos: los Servicios Locales de Protección de Derechos. Su función es la ejecución de programas, servicios y acciones destinadas a prevenir, asistir, proteger y/o restablecer los d</w:t>
      </w:r>
      <w:r w:rsidR="00F0186A">
        <w:rPr>
          <w:color w:val="000000"/>
        </w:rPr>
        <w:t>erechos,</w:t>
      </w:r>
      <w:r w:rsidRPr="00E6007E">
        <w:rPr>
          <w:color w:val="000000"/>
        </w:rPr>
        <w:t xml:space="preserve"> (Ley 14537, 2013). Así mismo disponen de la toma de medidas de protección ante situaciones de amenaza o vulneración de derechos </w:t>
      </w:r>
      <w:r w:rsidR="00F0186A">
        <w:rPr>
          <w:color w:val="000000"/>
        </w:rPr>
        <w:t>de NNyA</w:t>
      </w:r>
      <w:r w:rsidRPr="00E6007E">
        <w:rPr>
          <w:color w:val="000000"/>
        </w:rPr>
        <w:t xml:space="preserve">. </w:t>
      </w:r>
    </w:p>
    <w:p w:rsidR="002753EC" w:rsidRPr="00E6007E" w:rsidRDefault="002753EC" w:rsidP="00E6007E">
      <w:pPr>
        <w:pStyle w:val="NormalWeb"/>
        <w:spacing w:before="0" w:beforeAutospacing="0" w:after="200" w:afterAutospacing="0" w:line="360" w:lineRule="auto"/>
        <w:jc w:val="both"/>
        <w:rPr>
          <w:color w:val="000000"/>
        </w:rPr>
      </w:pPr>
      <w:r w:rsidRPr="00E6007E">
        <w:rPr>
          <w:color w:val="000000"/>
        </w:rPr>
        <w:t xml:space="preserve">Existen dos tipos de medidas de </w:t>
      </w:r>
      <w:r w:rsidR="008F25DB">
        <w:rPr>
          <w:color w:val="000000"/>
        </w:rPr>
        <w:t>protección previstas por la ley 13298</w:t>
      </w:r>
      <w:r w:rsidR="00C763AD">
        <w:rPr>
          <w:color w:val="000000"/>
        </w:rPr>
        <w:t>.</w:t>
      </w:r>
      <w:r w:rsidRPr="00E6007E">
        <w:rPr>
          <w:color w:val="000000"/>
        </w:rPr>
        <w:t xml:space="preserve"> </w:t>
      </w:r>
      <w:r w:rsidR="00C763AD">
        <w:rPr>
          <w:color w:val="000000"/>
        </w:rPr>
        <w:t>E</w:t>
      </w:r>
      <w:r w:rsidRPr="00E6007E">
        <w:rPr>
          <w:color w:val="000000"/>
        </w:rPr>
        <w:t>n primer lugar aquellas tendientes a la movilización de recursos con el fin de restitución de derechos vulnerados y preservación de vínculos familiares: apoyo</w:t>
      </w:r>
      <w:r w:rsidR="004B3EF7">
        <w:rPr>
          <w:color w:val="000000"/>
        </w:rPr>
        <w:t>s</w:t>
      </w:r>
      <w:r w:rsidRPr="00E6007E">
        <w:rPr>
          <w:color w:val="000000"/>
        </w:rPr>
        <w:t xml:space="preserve"> </w:t>
      </w:r>
      <w:r w:rsidR="00494D52">
        <w:rPr>
          <w:color w:val="000000"/>
        </w:rPr>
        <w:t>necesario</w:t>
      </w:r>
      <w:r w:rsidR="004B3EF7">
        <w:rPr>
          <w:color w:val="000000"/>
        </w:rPr>
        <w:t>s</w:t>
      </w:r>
      <w:r w:rsidR="00494D52">
        <w:rPr>
          <w:color w:val="000000"/>
        </w:rPr>
        <w:t xml:space="preserve"> </w:t>
      </w:r>
      <w:r w:rsidRPr="00E6007E">
        <w:rPr>
          <w:color w:val="000000"/>
        </w:rPr>
        <w:t>para que</w:t>
      </w:r>
      <w:r w:rsidR="004B3EF7">
        <w:rPr>
          <w:color w:val="000000"/>
        </w:rPr>
        <w:t xml:space="preserve"> los</w:t>
      </w:r>
      <w:r w:rsidRPr="00E6007E">
        <w:rPr>
          <w:color w:val="000000"/>
        </w:rPr>
        <w:t xml:space="preserve"> niños permanezcan en su familia, orientación a niños y padres, becas de estudio y guardería, asistencia económica, inclusión en programas de fortalecimiento familiar, cuidado del niño en el propio hogar y la indicación de tratamiento médico, psicológico o psiquiátrico para el </w:t>
      </w:r>
      <w:r w:rsidRPr="00E6007E">
        <w:rPr>
          <w:color w:val="000000"/>
        </w:rPr>
        <w:lastRenderedPageBreak/>
        <w:t>niño o sus progenitores (Ley 14537, 2013)</w:t>
      </w:r>
      <w:r w:rsidRPr="00E6007E">
        <w:rPr>
          <w:rStyle w:val="FootnoteReference"/>
          <w:color w:val="000000"/>
        </w:rPr>
        <w:footnoteReference w:id="3"/>
      </w:r>
      <w:r w:rsidRPr="00E6007E">
        <w:rPr>
          <w:color w:val="000000"/>
        </w:rPr>
        <w:t xml:space="preserve">. Las medidas de protección integral cuando son empleadas a tiempo y con un seguimiento oportuno permiten evitar la separación de los niños y niñas de su familia </w:t>
      </w:r>
      <w:r w:rsidRPr="00E6007E">
        <w:t>(SENAF-UNICEF, 2012).</w:t>
      </w:r>
      <w:r w:rsidRPr="00E6007E">
        <w:rPr>
          <w:color w:val="000000"/>
        </w:rPr>
        <w:t xml:space="preserve"> En segundo lugar, existen las medidas de protección excepcionales “Medidas de Abrigo” (Ley 14537, 2013, Art. 35 bis), a dictar cuando sean agotadas las anteriores y constituyan el único modo de restituir los derechos vulnerados, por lo que deben ser limitadas en el tiempo: </w:t>
      </w:r>
      <w:r w:rsidR="00AC4492" w:rsidRPr="00E6007E">
        <w:rPr>
          <w:color w:val="000000"/>
        </w:rPr>
        <w:t xml:space="preserve">la separación del niño de su familia de origen </w:t>
      </w:r>
      <w:r w:rsidR="00AC4492">
        <w:rPr>
          <w:color w:val="000000"/>
        </w:rPr>
        <w:t xml:space="preserve">y permanencia </w:t>
      </w:r>
      <w:r w:rsidRPr="00E6007E">
        <w:rPr>
          <w:color w:val="000000"/>
        </w:rPr>
        <w:t>en ámbitos familiares alternativos o instituciones de alojamiento</w:t>
      </w:r>
      <w:r w:rsidR="00AC4492">
        <w:rPr>
          <w:color w:val="000000"/>
        </w:rPr>
        <w:t>.</w:t>
      </w:r>
      <w:r w:rsidRPr="00E6007E">
        <w:rPr>
          <w:color w:val="000000"/>
        </w:rPr>
        <w:t xml:space="preserve"> </w:t>
      </w:r>
      <w:r w:rsidR="00AC4492">
        <w:rPr>
          <w:color w:val="000000"/>
        </w:rPr>
        <w:t>D</w:t>
      </w:r>
      <w:r w:rsidRPr="00E6007E">
        <w:rPr>
          <w:color w:val="000000"/>
        </w:rPr>
        <w:t>ebido al debilitamiento del tejido social y la imposibilidad de las familias de contener a sus miembro</w:t>
      </w:r>
      <w:r w:rsidR="00C763AD">
        <w:rPr>
          <w:color w:val="000000"/>
        </w:rPr>
        <w:t>s,</w:t>
      </w:r>
      <w:r w:rsidRPr="00E6007E">
        <w:rPr>
          <w:color w:val="000000"/>
        </w:rPr>
        <w:t xml:space="preserve"> la institucionalización</w:t>
      </w:r>
      <w:r w:rsidR="00C763AD">
        <w:rPr>
          <w:color w:val="000000"/>
        </w:rPr>
        <w:t xml:space="preserve"> se presenta como una alternativa frecuente</w:t>
      </w:r>
      <w:r w:rsidRPr="00E6007E">
        <w:rPr>
          <w:color w:val="000000"/>
        </w:rPr>
        <w:t xml:space="preserve"> (Michalewicz, 2011). </w:t>
      </w:r>
    </w:p>
    <w:p w:rsidR="002753EC" w:rsidRPr="00E6007E" w:rsidRDefault="002753EC" w:rsidP="00E6007E">
      <w:pPr>
        <w:pStyle w:val="NormalWeb"/>
        <w:spacing w:before="0" w:beforeAutospacing="0" w:after="200" w:afterAutospacing="0" w:line="360" w:lineRule="auto"/>
        <w:jc w:val="both"/>
      </w:pPr>
      <w:r w:rsidRPr="00E6007E">
        <w:rPr>
          <w:color w:val="000000"/>
        </w:rPr>
        <w:t>Así, siendo que una de las medidas reconocidas por la letra de la ley es el tratamiento médico, psicológico o psiquiátrico del niño/a o sus progenitores, los equipos técnicos de los Servicios Locales de Protección realizan indicaciones de tratamiento. Las instituciones de salud son quienes reciben estas</w:t>
      </w:r>
      <w:r w:rsidR="00C97509">
        <w:rPr>
          <w:color w:val="000000"/>
        </w:rPr>
        <w:t xml:space="preserve"> consultas</w:t>
      </w:r>
      <w:r w:rsidRPr="00E6007E">
        <w:rPr>
          <w:color w:val="000000"/>
        </w:rPr>
        <w:t>. De este modo, el estudio de la derivación a tratamiento psicológico por los Servicios Locales a los centros de salud se propone como un nudo problemático que permite poner en análisis la articulación intersectorial entre el campo de la salud mental y el campo de la protec</w:t>
      </w:r>
      <w:r w:rsidR="00BA29C0">
        <w:rPr>
          <w:color w:val="000000"/>
        </w:rPr>
        <w:t>ción en la infancia</w:t>
      </w:r>
      <w:r w:rsidRPr="00E6007E">
        <w:rPr>
          <w:color w:val="000000"/>
        </w:rPr>
        <w:t xml:space="preserve">. </w:t>
      </w:r>
      <w:r w:rsidRPr="00E6007E">
        <w:t>El trabajo desarticulado entre</w:t>
      </w:r>
      <w:r w:rsidR="00C763AD">
        <w:t xml:space="preserve"> los</w:t>
      </w:r>
      <w:r w:rsidRPr="00E6007E">
        <w:t xml:space="preserve"> sectores y el debilitamiento de </w:t>
      </w:r>
      <w:r w:rsidR="00C763AD">
        <w:t xml:space="preserve">las </w:t>
      </w:r>
      <w:r w:rsidRPr="00E6007E">
        <w:t xml:space="preserve">políticas de fortalecimiento </w:t>
      </w:r>
      <w:r w:rsidRPr="00E6007E">
        <w:lastRenderedPageBreak/>
        <w:t>familiar favorece</w:t>
      </w:r>
      <w:r w:rsidR="00C763AD">
        <w:t xml:space="preserve"> el</w:t>
      </w:r>
      <w:r w:rsidRPr="00E6007E">
        <w:t xml:space="preserve"> incremento de medidas de institucionalización (Michalewicz, 2011; 2013). </w:t>
      </w:r>
    </w:p>
    <w:p w:rsidR="00E112F3" w:rsidRPr="00E52B0D" w:rsidRDefault="00E52B0D" w:rsidP="00E112F3">
      <w:pPr>
        <w:pStyle w:val="NormalWeb"/>
        <w:spacing w:before="0" w:beforeAutospacing="0" w:after="200" w:afterAutospacing="0" w:line="360" w:lineRule="auto"/>
        <w:jc w:val="both"/>
        <w:rPr>
          <w:color w:val="000000"/>
        </w:rPr>
      </w:pPr>
      <w:r>
        <w:rPr>
          <w:color w:val="000000"/>
        </w:rPr>
        <w:t xml:space="preserve">En la adecuación a la normativa vigente surgen un campo de tensiones en las prácticas cotidianas, específicamente en el momento de toma de medidas de protección, lo que se devela como un proceso cargado de </w:t>
      </w:r>
      <w:r w:rsidR="00C97509" w:rsidRPr="00C97509">
        <w:rPr>
          <w:color w:val="000000"/>
        </w:rPr>
        <w:t>negociaciones e interpretaciones entre profesionales, que refleja la heterogeneidad de las prácticas institucionales</w:t>
      </w:r>
      <w:r>
        <w:rPr>
          <w:color w:val="000000"/>
        </w:rPr>
        <w:t xml:space="preserve"> (Villalta y Llobet, </w:t>
      </w:r>
      <w:r w:rsidRPr="00C97509">
        <w:rPr>
          <w:color w:val="000000"/>
        </w:rPr>
        <w:t>2015)</w:t>
      </w:r>
      <w:r w:rsidR="00C97509" w:rsidRPr="00C97509">
        <w:rPr>
          <w:color w:val="000000"/>
        </w:rPr>
        <w:t>.</w:t>
      </w:r>
      <w:r>
        <w:rPr>
          <w:color w:val="000000"/>
        </w:rPr>
        <w:t xml:space="preserve"> </w:t>
      </w:r>
      <w:r w:rsidR="00C97509" w:rsidRPr="00C97509">
        <w:rPr>
          <w:color w:val="000000"/>
        </w:rPr>
        <w:t xml:space="preserve"> </w:t>
      </w:r>
      <w:r>
        <w:rPr>
          <w:color w:val="000000"/>
        </w:rPr>
        <w:t>Por ello este estudio se cen</w:t>
      </w:r>
      <w:r w:rsidR="006766A1">
        <w:rPr>
          <w:color w:val="000000"/>
        </w:rPr>
        <w:t>tra en la derivación como bisagra</w:t>
      </w:r>
      <w:r>
        <w:rPr>
          <w:color w:val="000000"/>
        </w:rPr>
        <w:t xml:space="preserve"> </w:t>
      </w:r>
      <w:r w:rsidR="006766A1">
        <w:rPr>
          <w:color w:val="000000"/>
        </w:rPr>
        <w:t xml:space="preserve">intersectorial </w:t>
      </w:r>
      <w:r>
        <w:rPr>
          <w:color w:val="000000"/>
        </w:rPr>
        <w:t xml:space="preserve">donde </w:t>
      </w:r>
      <w:r w:rsidR="006766A1">
        <w:rPr>
          <w:color w:val="000000"/>
        </w:rPr>
        <w:t xml:space="preserve">se </w:t>
      </w:r>
      <w:r>
        <w:rPr>
          <w:color w:val="000000"/>
        </w:rPr>
        <w:t xml:space="preserve">visibilizan las tensiones entre el campo de la salud mental y la protección de la infancia. Como algunas autoras proponen: </w:t>
      </w:r>
      <w:r w:rsidR="00C97509" w:rsidRPr="00C97509">
        <w:t>“</w:t>
      </w:r>
      <w:r>
        <w:t>(…)</w:t>
      </w:r>
      <w:r w:rsidR="00C97509" w:rsidRPr="00C97509">
        <w:t xml:space="preserve"> es en los circuitos entre instituciones y las redes de relaciones entre actores en el territorio donde el carácter específico de la protección de derechos debe buscarse.” (Villata y Llobet, 2015, p.179)</w:t>
      </w:r>
      <w:r w:rsidR="00B603E4">
        <w:t>.</w:t>
      </w:r>
      <w:r w:rsidR="00C97509" w:rsidRPr="00C97509">
        <w:t xml:space="preserve"> </w:t>
      </w:r>
      <w:r w:rsidR="006766A1">
        <w:t>Ya que es</w:t>
      </w:r>
      <w:r w:rsidR="00E112F3" w:rsidRPr="00C97509">
        <w:t xml:space="preserve"> en el terreno de la práctica situada y sus actores donde se define efectivamente el gobierno de la infancia y la protección de derechos (Magistris, 2016).</w:t>
      </w:r>
    </w:p>
    <w:p w:rsidR="00C97509" w:rsidRPr="00C97509" w:rsidRDefault="00C04D30" w:rsidP="00C97509">
      <w:pPr>
        <w:pStyle w:val="NormalWeb"/>
        <w:spacing w:before="0" w:beforeAutospacing="0" w:after="200" w:afterAutospacing="0" w:line="360" w:lineRule="auto"/>
        <w:jc w:val="both"/>
      </w:pPr>
      <w:r>
        <w:t>Existen estudios que</w:t>
      </w:r>
      <w:r w:rsidR="00C97509" w:rsidRPr="00C97509">
        <w:t xml:space="preserve"> ubican la práctica de la derivación de una institución a otra como “depositación” (Korinfeld, 2017), “deri</w:t>
      </w:r>
      <w:r w:rsidR="007D0306">
        <w:t>va institucional” (Barcala, 2014</w:t>
      </w:r>
      <w:r w:rsidR="00C97509" w:rsidRPr="00C97509">
        <w:t xml:space="preserve">), “derivacionismo” (Villalta y Llobet, 2015), “redes informales de derivación” (Michalewicz, 2011), “abordaje multi-institucional” (Michalewicz, 2013), lo cual refleja las dificultades que se presentan en los espacios de articulación </w:t>
      </w:r>
      <w:r w:rsidR="00720CB2">
        <w:t>intersectorial.</w:t>
      </w:r>
    </w:p>
    <w:p w:rsidR="00C97509" w:rsidRPr="00C97509" w:rsidRDefault="0068296B" w:rsidP="00C97509">
      <w:pPr>
        <w:pStyle w:val="NormalWeb"/>
        <w:spacing w:before="0" w:beforeAutospacing="0" w:after="200" w:afterAutospacing="0" w:line="360" w:lineRule="auto"/>
        <w:jc w:val="both"/>
      </w:pPr>
      <w:r w:rsidRPr="00C97509">
        <w:rPr>
          <w:color w:val="000000"/>
        </w:rPr>
        <w:t xml:space="preserve">Al momento existe una brecha entre las prácticas de salud mental y la protección de los derechos en la infancia (Barcala, 2014), </w:t>
      </w:r>
      <w:r>
        <w:rPr>
          <w:color w:val="000000"/>
        </w:rPr>
        <w:t>por ello e</w:t>
      </w:r>
      <w:r w:rsidR="00C97509" w:rsidRPr="00C97509">
        <w:t xml:space="preserve">ste trabajo se propone contribuir al desarrollo de conocimientos que estimulen la transformación de prácticas de salud mental en beneficio de las infancias y adolescencias que padecen la vulneración de sus derechos, para que la protección se defina como un eje transversal y no sectorizado (Magistris, 2016). </w:t>
      </w:r>
    </w:p>
    <w:p w:rsidR="00B603E4" w:rsidRPr="00B603E4" w:rsidRDefault="00B603E4" w:rsidP="00E6007E">
      <w:pPr>
        <w:spacing w:line="360" w:lineRule="auto"/>
        <w:jc w:val="both"/>
        <w:rPr>
          <w:rFonts w:ascii="Times New Roman" w:hAnsi="Times New Roman" w:cs="Times New Roman"/>
          <w:i/>
          <w:sz w:val="24"/>
          <w:szCs w:val="24"/>
        </w:rPr>
      </w:pPr>
      <w:r w:rsidRPr="00B603E4">
        <w:rPr>
          <w:rFonts w:ascii="Times New Roman" w:hAnsi="Times New Roman" w:cs="Times New Roman"/>
          <w:i/>
          <w:sz w:val="24"/>
          <w:szCs w:val="24"/>
        </w:rPr>
        <w:t>Los supuestos de la investigación</w:t>
      </w:r>
    </w:p>
    <w:p w:rsidR="00A50200" w:rsidRPr="00E6007E" w:rsidRDefault="00A50200" w:rsidP="00E6007E">
      <w:pPr>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Si bien la presente exploración no pone a prueba una hipótesis específica,  parte de los siguientes supuestos de trabajo:</w:t>
      </w:r>
    </w:p>
    <w:p w:rsidR="00A50200" w:rsidRPr="00E6007E" w:rsidRDefault="00A50200" w:rsidP="00B603E4">
      <w:pPr>
        <w:spacing w:after="0" w:line="360" w:lineRule="auto"/>
        <w:ind w:firstLine="709"/>
        <w:jc w:val="both"/>
        <w:rPr>
          <w:rFonts w:ascii="Times New Roman" w:hAnsi="Times New Roman" w:cs="Times New Roman"/>
          <w:sz w:val="24"/>
          <w:szCs w:val="24"/>
        </w:rPr>
      </w:pPr>
      <w:r w:rsidRPr="00E6007E">
        <w:rPr>
          <w:rFonts w:ascii="Times New Roman" w:hAnsi="Times New Roman" w:cs="Times New Roman"/>
          <w:sz w:val="24"/>
          <w:szCs w:val="24"/>
        </w:rPr>
        <w:t>1.</w:t>
      </w:r>
      <w:r w:rsidRPr="00E6007E">
        <w:rPr>
          <w:rFonts w:ascii="Times New Roman" w:hAnsi="Times New Roman" w:cs="Times New Roman"/>
          <w:sz w:val="24"/>
          <w:szCs w:val="24"/>
        </w:rPr>
        <w:tab/>
        <w:t>La protección de derechos de la infancia si bien está enunciada en las leyes N°26.061 y N°26.657, no está garantizada en la implementación actual de la ley.</w:t>
      </w:r>
    </w:p>
    <w:p w:rsidR="00A50200" w:rsidRPr="00E6007E" w:rsidRDefault="00A50200" w:rsidP="00B603E4">
      <w:pPr>
        <w:spacing w:after="0" w:line="360" w:lineRule="auto"/>
        <w:ind w:firstLine="709"/>
        <w:jc w:val="both"/>
        <w:rPr>
          <w:rFonts w:ascii="Times New Roman" w:hAnsi="Times New Roman" w:cs="Times New Roman"/>
          <w:sz w:val="24"/>
          <w:szCs w:val="24"/>
        </w:rPr>
      </w:pPr>
      <w:r w:rsidRPr="00E6007E">
        <w:rPr>
          <w:rFonts w:ascii="Times New Roman" w:hAnsi="Times New Roman" w:cs="Times New Roman"/>
          <w:sz w:val="24"/>
          <w:szCs w:val="24"/>
        </w:rPr>
        <w:lastRenderedPageBreak/>
        <w:t>2.</w:t>
      </w:r>
      <w:r w:rsidRPr="00E6007E">
        <w:rPr>
          <w:rFonts w:ascii="Times New Roman" w:hAnsi="Times New Roman" w:cs="Times New Roman"/>
          <w:sz w:val="24"/>
          <w:szCs w:val="24"/>
        </w:rPr>
        <w:tab/>
        <w:t>El Sistema de Protección de Derechos en infancias presenta debilidades en la administración de medidas de protección de derechos y de fortalecimiento de los vínculos familiares.</w:t>
      </w:r>
    </w:p>
    <w:p w:rsidR="00A50200" w:rsidRPr="00E6007E" w:rsidRDefault="00A50200" w:rsidP="00B603E4">
      <w:pPr>
        <w:spacing w:after="0" w:line="360" w:lineRule="auto"/>
        <w:ind w:firstLine="709"/>
        <w:jc w:val="both"/>
        <w:rPr>
          <w:rFonts w:ascii="Times New Roman" w:hAnsi="Times New Roman" w:cs="Times New Roman"/>
          <w:sz w:val="24"/>
          <w:szCs w:val="24"/>
        </w:rPr>
      </w:pPr>
      <w:r w:rsidRPr="00E6007E">
        <w:rPr>
          <w:rFonts w:ascii="Times New Roman" w:hAnsi="Times New Roman" w:cs="Times New Roman"/>
          <w:sz w:val="24"/>
          <w:szCs w:val="24"/>
        </w:rPr>
        <w:t>3.</w:t>
      </w:r>
      <w:r w:rsidRPr="00E6007E">
        <w:rPr>
          <w:rFonts w:ascii="Times New Roman" w:hAnsi="Times New Roman" w:cs="Times New Roman"/>
          <w:sz w:val="24"/>
          <w:szCs w:val="24"/>
        </w:rPr>
        <w:tab/>
        <w:t>En la derivación a tratamiento psicológico que se realiza por los Servicios Locales d</w:t>
      </w:r>
      <w:r w:rsidR="00E663AC">
        <w:rPr>
          <w:rFonts w:ascii="Times New Roman" w:hAnsi="Times New Roman" w:cs="Times New Roman"/>
          <w:sz w:val="24"/>
          <w:szCs w:val="24"/>
        </w:rPr>
        <w:t>e Protección de Derechos</w:t>
      </w:r>
      <w:r w:rsidRPr="00E6007E">
        <w:rPr>
          <w:rFonts w:ascii="Times New Roman" w:hAnsi="Times New Roman" w:cs="Times New Roman"/>
          <w:sz w:val="24"/>
          <w:szCs w:val="24"/>
        </w:rPr>
        <w:t>, existe una reducción de la problemática social a una predominante explicación psicopatológica (individual o familiar).</w:t>
      </w:r>
    </w:p>
    <w:p w:rsidR="00EC15AC" w:rsidRDefault="00A50200" w:rsidP="00EC15AC">
      <w:pPr>
        <w:spacing w:after="0" w:line="360" w:lineRule="auto"/>
        <w:ind w:firstLine="709"/>
        <w:jc w:val="both"/>
        <w:rPr>
          <w:rFonts w:ascii="Times New Roman" w:hAnsi="Times New Roman" w:cs="Times New Roman"/>
          <w:sz w:val="24"/>
          <w:szCs w:val="24"/>
        </w:rPr>
      </w:pPr>
      <w:r w:rsidRPr="00E6007E">
        <w:rPr>
          <w:rFonts w:ascii="Times New Roman" w:hAnsi="Times New Roman" w:cs="Times New Roman"/>
          <w:sz w:val="24"/>
          <w:szCs w:val="24"/>
        </w:rPr>
        <w:t>4.</w:t>
      </w:r>
      <w:r w:rsidRPr="00E6007E">
        <w:rPr>
          <w:rFonts w:ascii="Times New Roman" w:hAnsi="Times New Roman" w:cs="Times New Roman"/>
          <w:sz w:val="24"/>
          <w:szCs w:val="24"/>
        </w:rPr>
        <w:tab/>
        <w:t>La derivación a tratamiento psicológico como medida de protección de derechos visibiliza tensiones en la convergencia del campo de la salud mental y la protección de derechos en la infancia.</w:t>
      </w:r>
    </w:p>
    <w:p w:rsidR="00EC15AC" w:rsidRPr="00D76104" w:rsidRDefault="00EC15AC" w:rsidP="00EC15AC">
      <w:pPr>
        <w:spacing w:before="240" w:line="360" w:lineRule="auto"/>
        <w:jc w:val="both"/>
        <w:rPr>
          <w:rFonts w:ascii="Times New Roman" w:hAnsi="Times New Roman" w:cs="Times New Roman"/>
          <w:i/>
          <w:sz w:val="24"/>
          <w:szCs w:val="24"/>
        </w:rPr>
      </w:pPr>
      <w:r w:rsidRPr="00D76104">
        <w:rPr>
          <w:rFonts w:ascii="Times New Roman" w:hAnsi="Times New Roman" w:cs="Times New Roman"/>
          <w:i/>
          <w:sz w:val="24"/>
          <w:szCs w:val="24"/>
        </w:rPr>
        <w:t>Metodología</w:t>
      </w:r>
    </w:p>
    <w:p w:rsidR="00EC15AC" w:rsidRDefault="00EC15AC" w:rsidP="00EC15AC">
      <w:pPr>
        <w:spacing w:line="360" w:lineRule="auto"/>
        <w:jc w:val="both"/>
        <w:rPr>
          <w:rFonts w:ascii="Times New Roman" w:hAnsi="Times New Roman" w:cs="Times New Roman"/>
          <w:sz w:val="24"/>
          <w:szCs w:val="24"/>
        </w:rPr>
      </w:pPr>
      <w:r w:rsidRPr="00DF0A85">
        <w:rPr>
          <w:rFonts w:ascii="Times New Roman" w:hAnsi="Times New Roman" w:cs="Times New Roman"/>
          <w:sz w:val="24"/>
          <w:szCs w:val="24"/>
        </w:rPr>
        <w:t xml:space="preserve">Se trata de un estudio exploratorio/descriptivo con un abordaje cuantitativo y cualitativo, </w:t>
      </w:r>
      <w:r w:rsidR="00894E5D">
        <w:rPr>
          <w:rFonts w:ascii="Times New Roman" w:hAnsi="Times New Roman" w:cs="Times New Roman"/>
          <w:sz w:val="24"/>
          <w:szCs w:val="24"/>
        </w:rPr>
        <w:t>con</w:t>
      </w:r>
      <w:r>
        <w:rPr>
          <w:rFonts w:ascii="Times New Roman" w:hAnsi="Times New Roman" w:cs="Times New Roman"/>
          <w:sz w:val="24"/>
          <w:szCs w:val="24"/>
        </w:rPr>
        <w:t xml:space="preserve"> </w:t>
      </w:r>
      <w:r w:rsidRPr="00DF0A85">
        <w:rPr>
          <w:rFonts w:ascii="Times New Roman" w:hAnsi="Times New Roman" w:cs="Times New Roman"/>
          <w:sz w:val="24"/>
          <w:szCs w:val="24"/>
        </w:rPr>
        <w:t>un diseño flexible</w:t>
      </w:r>
      <w:r>
        <w:rPr>
          <w:rFonts w:ascii="Times New Roman" w:hAnsi="Times New Roman" w:cs="Times New Roman"/>
          <w:sz w:val="24"/>
          <w:szCs w:val="24"/>
        </w:rPr>
        <w:t xml:space="preserve"> (Vasilachis, 2006)</w:t>
      </w:r>
      <w:r w:rsidRPr="00DF0A85">
        <w:rPr>
          <w:rFonts w:ascii="Times New Roman" w:hAnsi="Times New Roman" w:cs="Times New Roman"/>
          <w:sz w:val="24"/>
          <w:szCs w:val="24"/>
        </w:rPr>
        <w:t xml:space="preserve">. </w:t>
      </w:r>
      <w:r>
        <w:rPr>
          <w:rFonts w:ascii="Times New Roman" w:hAnsi="Times New Roman" w:cs="Times New Roman"/>
          <w:sz w:val="24"/>
          <w:szCs w:val="24"/>
        </w:rPr>
        <w:t>S</w:t>
      </w:r>
      <w:r w:rsidRPr="00E10337">
        <w:rPr>
          <w:rFonts w:ascii="Times New Roman" w:hAnsi="Times New Roman" w:cs="Times New Roman"/>
          <w:sz w:val="24"/>
          <w:szCs w:val="24"/>
        </w:rPr>
        <w:t>e utilizó para el muestreo el criterio de saturación t</w:t>
      </w:r>
      <w:r>
        <w:rPr>
          <w:rFonts w:ascii="Times New Roman" w:hAnsi="Times New Roman" w:cs="Times New Roman"/>
          <w:sz w:val="24"/>
          <w:szCs w:val="24"/>
        </w:rPr>
        <w:t>eórica (Glaser y Strauss, 1967) y s</w:t>
      </w:r>
      <w:r w:rsidRPr="00DF0A85">
        <w:rPr>
          <w:rFonts w:ascii="Times New Roman" w:hAnsi="Times New Roman" w:cs="Times New Roman"/>
          <w:sz w:val="24"/>
          <w:szCs w:val="24"/>
        </w:rPr>
        <w:t xml:space="preserve">e relevó durante seis meses todas las consultas realizadas a Salud mental y se seleccionó para participar de entrevistas a profesionales de Servicios Locales, de Salud mental y familias. El relevamiento </w:t>
      </w:r>
      <w:r>
        <w:rPr>
          <w:rFonts w:ascii="Times New Roman" w:hAnsi="Times New Roman" w:cs="Times New Roman"/>
          <w:sz w:val="24"/>
          <w:szCs w:val="24"/>
        </w:rPr>
        <w:t xml:space="preserve">incluyó </w:t>
      </w:r>
      <w:r w:rsidRPr="00DF0A85">
        <w:rPr>
          <w:rFonts w:ascii="Times New Roman" w:hAnsi="Times New Roman" w:cs="Times New Roman"/>
          <w:sz w:val="24"/>
          <w:szCs w:val="24"/>
        </w:rPr>
        <w:t>las consultas re</w:t>
      </w:r>
      <w:r>
        <w:rPr>
          <w:rFonts w:ascii="Times New Roman" w:hAnsi="Times New Roman" w:cs="Times New Roman"/>
          <w:sz w:val="24"/>
          <w:szCs w:val="24"/>
        </w:rPr>
        <w:t>alizadas por vías formales de</w:t>
      </w:r>
      <w:r w:rsidRPr="00DF0A85">
        <w:rPr>
          <w:rFonts w:ascii="Times New Roman" w:hAnsi="Times New Roman" w:cs="Times New Roman"/>
          <w:sz w:val="24"/>
          <w:szCs w:val="24"/>
        </w:rPr>
        <w:t xml:space="preserve"> todos los Servicios Locales a la Dirección de Salud Mental del municipio de Lanús, que centraliza los pedidos de consulta institucionales, desde enero hasta junio de 2021. A niv</w:t>
      </w:r>
      <w:r>
        <w:rPr>
          <w:rFonts w:ascii="Times New Roman" w:hAnsi="Times New Roman" w:cs="Times New Roman"/>
          <w:sz w:val="24"/>
          <w:szCs w:val="24"/>
        </w:rPr>
        <w:t>el asistencial, se seleccionó</w:t>
      </w:r>
      <w:r w:rsidRPr="00DF0A85">
        <w:rPr>
          <w:rFonts w:ascii="Times New Roman" w:hAnsi="Times New Roman" w:cs="Times New Roman"/>
          <w:sz w:val="24"/>
          <w:szCs w:val="24"/>
        </w:rPr>
        <w:t xml:space="preserve"> un equipo territorial de un Servicio Local y un equipo territorial de Salud mental. A nivel de gestión, se entrevistó a la Coordinadora de Servicios Locales del Municipio y a la Directora y</w:t>
      </w:r>
      <w:r>
        <w:rPr>
          <w:rFonts w:ascii="Times New Roman" w:hAnsi="Times New Roman" w:cs="Times New Roman"/>
          <w:sz w:val="24"/>
          <w:szCs w:val="24"/>
        </w:rPr>
        <w:t xml:space="preserve"> la</w:t>
      </w:r>
      <w:r w:rsidRPr="00DF0A85">
        <w:rPr>
          <w:rFonts w:ascii="Times New Roman" w:hAnsi="Times New Roman" w:cs="Times New Roman"/>
          <w:sz w:val="24"/>
          <w:szCs w:val="24"/>
        </w:rPr>
        <w:t xml:space="preserve"> colaboradora de la Dirección de Salud Mental del Municipio. Además, se incorporó la perspectiva de familias, de modo que se entrevistó de los casos relevados a dos grupos familiares. Uno de ellos una pareja de madre y padre de una niña de 6 años; y el segundo, se entrevistó a una joven (para quien se solicitó tratamiento psicológico) y su abuela, lográndose así la participación en la investigación de una de los NNyA involucrados. </w:t>
      </w:r>
    </w:p>
    <w:p w:rsidR="00EC15AC" w:rsidRDefault="00EC15AC" w:rsidP="00EC15A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análisis de la información, se confeccionó </w:t>
      </w:r>
      <w:r w:rsidRPr="00534C1A">
        <w:rPr>
          <w:rFonts w:ascii="Times New Roman" w:hAnsi="Times New Roman" w:cs="Times New Roman"/>
          <w:sz w:val="24"/>
          <w:szCs w:val="24"/>
        </w:rPr>
        <w:t>una base de datos cua</w:t>
      </w:r>
      <w:r>
        <w:rPr>
          <w:rFonts w:ascii="Times New Roman" w:hAnsi="Times New Roman" w:cs="Times New Roman"/>
          <w:sz w:val="24"/>
          <w:szCs w:val="24"/>
        </w:rPr>
        <w:t xml:space="preserve">litativa: un </w:t>
      </w:r>
      <w:r w:rsidRPr="00534C1A">
        <w:rPr>
          <w:rFonts w:ascii="Times New Roman" w:hAnsi="Times New Roman" w:cs="Times New Roman"/>
          <w:sz w:val="24"/>
          <w:szCs w:val="24"/>
        </w:rPr>
        <w:t xml:space="preserve">Relevamiento de todos los intercambios de mails entre S.L y la Dirección de S.M. y un Relevamiento de informes por caso. </w:t>
      </w:r>
      <w:r>
        <w:rPr>
          <w:rFonts w:ascii="Times New Roman" w:hAnsi="Times New Roman" w:cs="Times New Roman"/>
          <w:sz w:val="24"/>
          <w:szCs w:val="24"/>
        </w:rPr>
        <w:t xml:space="preserve">Luego se organizó una </w:t>
      </w:r>
      <w:r w:rsidRPr="00534C1A">
        <w:rPr>
          <w:rFonts w:ascii="Times New Roman" w:hAnsi="Times New Roman" w:cs="Times New Roman"/>
          <w:sz w:val="24"/>
          <w:szCs w:val="24"/>
        </w:rPr>
        <w:t xml:space="preserve">Base cuantitativa </w:t>
      </w:r>
      <w:r w:rsidR="00894E5D">
        <w:rPr>
          <w:rFonts w:ascii="Times New Roman" w:hAnsi="Times New Roman" w:cs="Times New Roman"/>
          <w:sz w:val="24"/>
          <w:szCs w:val="24"/>
        </w:rPr>
        <w:t xml:space="preserve">en la que </w:t>
      </w:r>
      <w:r w:rsidRPr="00534C1A">
        <w:rPr>
          <w:rFonts w:ascii="Times New Roman" w:hAnsi="Times New Roman" w:cs="Times New Roman"/>
          <w:sz w:val="24"/>
          <w:szCs w:val="24"/>
        </w:rPr>
        <w:t xml:space="preserve">se identificó Casos, Fecha, Edad, Género, Servicio Local, Motivo de Consulta, </w:t>
      </w:r>
      <w:r w:rsidR="00894E5D">
        <w:rPr>
          <w:rFonts w:ascii="Times New Roman" w:hAnsi="Times New Roman" w:cs="Times New Roman"/>
          <w:sz w:val="24"/>
          <w:szCs w:val="24"/>
        </w:rPr>
        <w:t xml:space="preserve">existencia de </w:t>
      </w:r>
      <w:r w:rsidRPr="00534C1A">
        <w:rPr>
          <w:rFonts w:ascii="Times New Roman" w:hAnsi="Times New Roman" w:cs="Times New Roman"/>
          <w:sz w:val="24"/>
          <w:szCs w:val="24"/>
        </w:rPr>
        <w:lastRenderedPageBreak/>
        <w:t>Abrigo, Informe, Voz del NNyA o familia y Atención, con el fin de realizar así una caracterización y descripción detallada de la información obtenida</w:t>
      </w:r>
      <w:r>
        <w:rPr>
          <w:rFonts w:ascii="Times New Roman" w:hAnsi="Times New Roman" w:cs="Times New Roman"/>
          <w:sz w:val="24"/>
          <w:szCs w:val="24"/>
        </w:rPr>
        <w:t>.</w:t>
      </w:r>
    </w:p>
    <w:p w:rsidR="00EC15AC" w:rsidRPr="00440AF3" w:rsidRDefault="00EC15AC" w:rsidP="00EC15AC">
      <w:pPr>
        <w:pStyle w:val="NormalWeb"/>
        <w:spacing w:line="360" w:lineRule="auto"/>
        <w:jc w:val="both"/>
        <w:rPr>
          <w:rFonts w:eastAsiaTheme="minorHAnsi"/>
          <w:lang w:eastAsia="en-US"/>
        </w:rPr>
      </w:pPr>
      <w:r w:rsidRPr="00440AF3">
        <w:rPr>
          <w:rFonts w:eastAsiaTheme="minorHAnsi"/>
          <w:lang w:eastAsia="en-US"/>
        </w:rPr>
        <w:t>Sobre la información recolectada en las entrevistas se realizó un trabajo de Análisis de Contenido e interpretación procesual, en el que se combinó el proceso de recolección de datos, junto a su procesamiento y análisis, para ajustar los instrumentos a los fines de recabar la información relevante para la investigación</w:t>
      </w:r>
      <w:r>
        <w:rPr>
          <w:rFonts w:eastAsiaTheme="minorHAnsi"/>
          <w:lang w:eastAsia="en-US"/>
        </w:rPr>
        <w:t xml:space="preserve"> en un diálogo constante entre los datos obtenidos en las distintas fuentes.</w:t>
      </w:r>
    </w:p>
    <w:p w:rsidR="00D76104" w:rsidRPr="00EC15AC" w:rsidRDefault="00D76104" w:rsidP="00B603E4">
      <w:pPr>
        <w:spacing w:before="240" w:after="0" w:line="360" w:lineRule="auto"/>
        <w:rPr>
          <w:rFonts w:ascii="Times New Roman" w:hAnsi="Times New Roman" w:cs="Times New Roman"/>
          <w:b/>
          <w:sz w:val="24"/>
          <w:szCs w:val="24"/>
        </w:rPr>
      </w:pPr>
      <w:r w:rsidRPr="00EC15AC">
        <w:rPr>
          <w:rFonts w:ascii="Times New Roman" w:hAnsi="Times New Roman" w:cs="Times New Roman"/>
          <w:b/>
          <w:sz w:val="24"/>
          <w:szCs w:val="24"/>
        </w:rPr>
        <w:t>El Sistema de Protección Integral de Derechos de Niños, Niñas y Adolescentes (SPIDNNyA)</w:t>
      </w:r>
    </w:p>
    <w:p w:rsidR="008220C0" w:rsidRPr="00E6007E" w:rsidRDefault="008220C0" w:rsidP="00D76104">
      <w:pPr>
        <w:spacing w:before="240" w:line="360" w:lineRule="auto"/>
        <w:jc w:val="both"/>
        <w:rPr>
          <w:rFonts w:ascii="Times New Roman" w:hAnsi="Times New Roman" w:cs="Times New Roman"/>
          <w:sz w:val="24"/>
          <w:szCs w:val="24"/>
        </w:rPr>
      </w:pPr>
      <w:r w:rsidRPr="00E6007E">
        <w:rPr>
          <w:rFonts w:ascii="Times New Roman" w:hAnsi="Times New Roman" w:cs="Times New Roman"/>
          <w:sz w:val="24"/>
          <w:szCs w:val="24"/>
        </w:rPr>
        <w:t>El S</w:t>
      </w:r>
      <w:r w:rsidR="00D76104">
        <w:rPr>
          <w:rFonts w:ascii="Times New Roman" w:hAnsi="Times New Roman" w:cs="Times New Roman"/>
          <w:sz w:val="24"/>
          <w:szCs w:val="24"/>
        </w:rPr>
        <w:t xml:space="preserve">PIDNNyA </w:t>
      </w:r>
      <w:r w:rsidRPr="00E6007E">
        <w:rPr>
          <w:rFonts w:ascii="Times New Roman" w:hAnsi="Times New Roman" w:cs="Times New Roman"/>
          <w:sz w:val="24"/>
          <w:szCs w:val="24"/>
        </w:rPr>
        <w:t>está conformado por todos los organismos que diseñan, planifica</w:t>
      </w:r>
      <w:r w:rsidR="0067052A">
        <w:rPr>
          <w:rFonts w:ascii="Times New Roman" w:hAnsi="Times New Roman" w:cs="Times New Roman"/>
          <w:sz w:val="24"/>
          <w:szCs w:val="24"/>
        </w:rPr>
        <w:t>n</w:t>
      </w:r>
      <w:r w:rsidRPr="00E6007E">
        <w:rPr>
          <w:rFonts w:ascii="Times New Roman" w:hAnsi="Times New Roman" w:cs="Times New Roman"/>
          <w:sz w:val="24"/>
          <w:szCs w:val="24"/>
        </w:rPr>
        <w:t>, ejecutan y supervisan las políticas públic</w:t>
      </w:r>
      <w:r w:rsidR="0067052A">
        <w:rPr>
          <w:rFonts w:ascii="Times New Roman" w:hAnsi="Times New Roman" w:cs="Times New Roman"/>
          <w:sz w:val="24"/>
          <w:szCs w:val="24"/>
        </w:rPr>
        <w:t>as, de gestión pública o privada</w:t>
      </w:r>
      <w:r w:rsidRPr="00E6007E">
        <w:rPr>
          <w:rFonts w:ascii="Times New Roman" w:hAnsi="Times New Roman" w:cs="Times New Roman"/>
          <w:sz w:val="24"/>
          <w:szCs w:val="24"/>
        </w:rPr>
        <w:t xml:space="preserve">, en el ámbito nacional, provincial y municipal, destinados a la promoción, protección y restablecimiento de los derechos de </w:t>
      </w:r>
      <w:r w:rsidR="00D76104">
        <w:rPr>
          <w:rFonts w:ascii="Times New Roman" w:hAnsi="Times New Roman" w:cs="Times New Roman"/>
          <w:sz w:val="24"/>
          <w:szCs w:val="24"/>
        </w:rPr>
        <w:t>los niños, niñas y adolescentes</w:t>
      </w:r>
      <w:r w:rsidRPr="00E6007E">
        <w:rPr>
          <w:rFonts w:ascii="Times New Roman" w:hAnsi="Times New Roman" w:cs="Times New Roman"/>
          <w:sz w:val="24"/>
          <w:szCs w:val="24"/>
        </w:rPr>
        <w:t xml:space="preserve"> (Ley Nacional 26.061). Presentaré a continuación la organización administrativa estatal en sus diferentes ámbitos de aplicación. </w:t>
      </w:r>
    </w:p>
    <w:tbl>
      <w:tblPr>
        <w:tblW w:w="8270" w:type="dxa"/>
        <w:jc w:val="center"/>
        <w:tblInd w:w="-1124" w:type="dxa"/>
        <w:tblCellMar>
          <w:left w:w="0" w:type="dxa"/>
          <w:right w:w="0" w:type="dxa"/>
        </w:tblCellMar>
        <w:tblLook w:val="04A0"/>
      </w:tblPr>
      <w:tblGrid>
        <w:gridCol w:w="3200"/>
        <w:gridCol w:w="5070"/>
      </w:tblGrid>
      <w:tr w:rsidR="008220C0" w:rsidRPr="00E47160" w:rsidTr="00D76104">
        <w:trPr>
          <w:trHeight w:val="584"/>
          <w:jc w:val="center"/>
        </w:trPr>
        <w:tc>
          <w:tcPr>
            <w:tcW w:w="320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220C0" w:rsidRPr="00D76104" w:rsidRDefault="008220C0" w:rsidP="00D76104">
            <w:pPr>
              <w:spacing w:after="0"/>
              <w:ind w:left="93" w:hanging="3"/>
              <w:jc w:val="center"/>
              <w:rPr>
                <w:rFonts w:ascii="Times New Roman" w:eastAsia="Times New Roman" w:hAnsi="Times New Roman" w:cs="Times New Roman"/>
                <w:sz w:val="24"/>
                <w:szCs w:val="24"/>
                <w:lang w:eastAsia="es-AR"/>
              </w:rPr>
            </w:pPr>
            <w:r w:rsidRPr="00D76104">
              <w:rPr>
                <w:rFonts w:ascii="Times New Roman" w:eastAsia="Times New Roman" w:hAnsi="Times New Roman" w:cs="Times New Roman"/>
                <w:b/>
                <w:bCs/>
                <w:color w:val="FFFFFF"/>
                <w:kern w:val="24"/>
                <w:sz w:val="24"/>
                <w:szCs w:val="24"/>
                <w:lang w:eastAsia="es-AR"/>
              </w:rPr>
              <w:t>Ámbito de Administración</w:t>
            </w:r>
          </w:p>
        </w:tc>
        <w:tc>
          <w:tcPr>
            <w:tcW w:w="50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8220C0" w:rsidRPr="00D76104" w:rsidRDefault="008220C0" w:rsidP="00D76104">
            <w:pPr>
              <w:spacing w:after="0"/>
              <w:ind w:left="93" w:hanging="3"/>
              <w:jc w:val="center"/>
              <w:rPr>
                <w:rFonts w:ascii="Times New Roman" w:eastAsia="Times New Roman" w:hAnsi="Times New Roman" w:cs="Times New Roman"/>
                <w:sz w:val="24"/>
                <w:szCs w:val="24"/>
                <w:lang w:eastAsia="es-AR"/>
              </w:rPr>
            </w:pPr>
            <w:r w:rsidRPr="00D76104">
              <w:rPr>
                <w:rFonts w:ascii="Times New Roman" w:eastAsia="Times New Roman" w:hAnsi="Times New Roman" w:cs="Times New Roman"/>
                <w:b/>
                <w:bCs/>
                <w:color w:val="FFFFFF"/>
                <w:kern w:val="24"/>
                <w:sz w:val="24"/>
                <w:szCs w:val="24"/>
                <w:lang w:eastAsia="es-AR"/>
              </w:rPr>
              <w:t xml:space="preserve">Sistema de Protección Integral de los Derechos de Niños, Niñas y Adolescentes </w:t>
            </w:r>
          </w:p>
        </w:tc>
      </w:tr>
      <w:tr w:rsidR="008220C0" w:rsidRPr="00E47160" w:rsidTr="00D76104">
        <w:trPr>
          <w:trHeight w:val="584"/>
          <w:jc w:val="center"/>
        </w:trPr>
        <w:tc>
          <w:tcPr>
            <w:tcW w:w="320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color w:val="000000"/>
                <w:kern w:val="24"/>
                <w:lang w:eastAsia="es-AR"/>
              </w:rPr>
            </w:pPr>
            <w:r w:rsidRPr="00D76104">
              <w:rPr>
                <w:rFonts w:ascii="Times New Roman" w:eastAsia="Times New Roman" w:hAnsi="Times New Roman" w:cs="Times New Roman"/>
                <w:color w:val="000000"/>
                <w:kern w:val="24"/>
                <w:lang w:eastAsia="es-AR"/>
              </w:rPr>
              <w:t xml:space="preserve">Nacional: </w:t>
            </w:r>
          </w:p>
          <w:p w:rsidR="008220C0" w:rsidRPr="00D76104" w:rsidRDefault="008220C0" w:rsidP="00D76104">
            <w:pPr>
              <w:spacing w:after="0"/>
              <w:ind w:left="93" w:hanging="3"/>
              <w:rPr>
                <w:rFonts w:ascii="Times New Roman" w:eastAsia="Times New Roman" w:hAnsi="Times New Roman" w:cs="Times New Roman"/>
                <w:color w:val="000000"/>
                <w:kern w:val="24"/>
                <w:lang w:eastAsia="es-AR"/>
              </w:rPr>
            </w:pPr>
            <w:r w:rsidRPr="00D76104">
              <w:rPr>
                <w:rFonts w:ascii="Times New Roman" w:eastAsia="Times New Roman" w:hAnsi="Times New Roman" w:cs="Times New Roman"/>
                <w:color w:val="000000"/>
                <w:kern w:val="24"/>
                <w:lang w:eastAsia="es-AR"/>
              </w:rPr>
              <w:t>Rep. Argentina</w:t>
            </w:r>
          </w:p>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Ley 26.061</w:t>
            </w:r>
          </w:p>
        </w:tc>
        <w:tc>
          <w:tcPr>
            <w:tcW w:w="50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Secretaría Nacional de Niñez, Adolescencia y Familia (SENAF) - Ministerio de Desarrollo Social-</w:t>
            </w:r>
          </w:p>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-Consejo Federal de Niñez, Adolescencia y Familia.</w:t>
            </w:r>
          </w:p>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-Defensor de los Derechos de NNyA.</w:t>
            </w:r>
          </w:p>
        </w:tc>
      </w:tr>
      <w:tr w:rsidR="008220C0" w:rsidRPr="00E47160" w:rsidTr="00D76104">
        <w:trPr>
          <w:trHeight w:val="584"/>
          <w:jc w:val="center"/>
        </w:trPr>
        <w:tc>
          <w:tcPr>
            <w:tcW w:w="320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 xml:space="preserve">Provincial: </w:t>
            </w:r>
          </w:p>
          <w:p w:rsidR="008220C0" w:rsidRPr="00D76104" w:rsidRDefault="008220C0" w:rsidP="00D76104">
            <w:pPr>
              <w:spacing w:after="0"/>
              <w:ind w:left="93" w:hanging="3"/>
              <w:rPr>
                <w:rFonts w:ascii="Times New Roman" w:eastAsia="Times New Roman" w:hAnsi="Times New Roman" w:cs="Times New Roman"/>
                <w:color w:val="000000"/>
                <w:kern w:val="24"/>
                <w:lang w:eastAsia="es-AR"/>
              </w:rPr>
            </w:pPr>
            <w:r w:rsidRPr="00D76104">
              <w:rPr>
                <w:rFonts w:ascii="Times New Roman" w:eastAsia="Times New Roman" w:hAnsi="Times New Roman" w:cs="Times New Roman"/>
                <w:color w:val="000000"/>
                <w:kern w:val="24"/>
                <w:lang w:eastAsia="es-AR"/>
              </w:rPr>
              <w:t xml:space="preserve">Provincia de Buenos Aires </w:t>
            </w:r>
          </w:p>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Ley 13.298</w:t>
            </w:r>
          </w:p>
        </w:tc>
        <w:tc>
          <w:tcPr>
            <w:tcW w:w="50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 xml:space="preserve">Organismo Provincial de Niñez y Adolescencia (OPNyA) : </w:t>
            </w:r>
          </w:p>
          <w:p w:rsidR="008220C0" w:rsidRPr="00D76104" w:rsidRDefault="00671873" w:rsidP="00D76104">
            <w:pPr>
              <w:spacing w:after="0"/>
              <w:ind w:left="93" w:hanging="3"/>
              <w:rPr>
                <w:rFonts w:ascii="Times New Roman" w:eastAsia="Times New Roman" w:hAnsi="Times New Roman" w:cs="Times New Roman"/>
                <w:lang w:eastAsia="es-AR"/>
              </w:rPr>
            </w:pPr>
            <w:r w:rsidRPr="00671873">
              <w:rPr>
                <w:rFonts w:ascii="Times New Roman" w:eastAsia="Times New Roman" w:hAnsi="Times New Roman" w:cs="Times New Roman"/>
                <w:noProof/>
                <w:color w:val="000000"/>
                <w:kern w:val="24"/>
                <w:lang w:eastAsia="es-AR"/>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031" type="#_x0000_t93" style="position:absolute;left:0;text-align:left;margin-left:2.5pt;margin-top:3pt;width:21.2pt;height:12.95pt;z-index:251660288"/>
              </w:pict>
            </w:r>
            <w:r w:rsidR="008220C0" w:rsidRPr="00D76104">
              <w:rPr>
                <w:rFonts w:ascii="Times New Roman" w:eastAsia="Times New Roman" w:hAnsi="Times New Roman" w:cs="Times New Roman"/>
                <w:color w:val="000000"/>
                <w:kern w:val="24"/>
                <w:lang w:eastAsia="es-AR"/>
              </w:rPr>
              <w:t xml:space="preserve">          Subsecretaría de Promoción y Protección de Derechos.</w:t>
            </w:r>
          </w:p>
          <w:p w:rsidR="008220C0" w:rsidRPr="00D76104" w:rsidRDefault="00671873" w:rsidP="00D76104">
            <w:pPr>
              <w:spacing w:after="0"/>
              <w:ind w:left="93" w:firstLine="439"/>
              <w:rPr>
                <w:rFonts w:ascii="Times New Roman" w:eastAsia="Times New Roman" w:hAnsi="Times New Roman" w:cs="Times New Roman"/>
                <w:lang w:eastAsia="es-AR"/>
              </w:rPr>
            </w:pPr>
            <w:r w:rsidRPr="00671873">
              <w:rPr>
                <w:rFonts w:ascii="Times New Roman" w:eastAsia="Times New Roman" w:hAnsi="Times New Roman" w:cs="Times New Roman"/>
                <w:noProof/>
                <w:color w:val="000000"/>
                <w:kern w:val="24"/>
                <w:lang w:eastAsia="es-AR"/>
              </w:rPr>
              <w:pict>
                <v:shape id="_x0000_s1032" type="#_x0000_t93" style="position:absolute;left:0;text-align:left;margin-left:2.5pt;margin-top:1.1pt;width:21.2pt;height:12.95pt;z-index:251661312"/>
              </w:pict>
            </w:r>
            <w:r w:rsidR="008220C0" w:rsidRPr="00D76104">
              <w:rPr>
                <w:rFonts w:ascii="Times New Roman" w:eastAsia="Times New Roman" w:hAnsi="Times New Roman" w:cs="Times New Roman"/>
                <w:color w:val="000000"/>
                <w:kern w:val="24"/>
                <w:lang w:eastAsia="es-AR"/>
              </w:rPr>
              <w:t xml:space="preserve">Dirección de coordinación de Servicios locales y zonales: </w:t>
            </w:r>
            <w:r w:rsidR="008220C0" w:rsidRPr="00D76104">
              <w:rPr>
                <w:rFonts w:ascii="Times New Roman" w:eastAsia="Times New Roman" w:hAnsi="Times New Roman" w:cs="Times New Roman"/>
                <w:b/>
                <w:bCs/>
                <w:color w:val="000000"/>
                <w:kern w:val="24"/>
                <w:lang w:eastAsia="es-AR"/>
              </w:rPr>
              <w:t xml:space="preserve">Servicios Zonales. </w:t>
            </w:r>
          </w:p>
        </w:tc>
      </w:tr>
      <w:tr w:rsidR="008220C0" w:rsidRPr="00E47160" w:rsidTr="00D76104">
        <w:trPr>
          <w:trHeight w:val="584"/>
          <w:jc w:val="center"/>
        </w:trPr>
        <w:tc>
          <w:tcPr>
            <w:tcW w:w="320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Municipal:</w:t>
            </w:r>
          </w:p>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 xml:space="preserve">Municipio de Lanús </w:t>
            </w:r>
          </w:p>
        </w:tc>
        <w:tc>
          <w:tcPr>
            <w:tcW w:w="50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8220C0" w:rsidRPr="00D76104" w:rsidRDefault="008220C0" w:rsidP="00D76104">
            <w:pPr>
              <w:spacing w:after="0"/>
              <w:ind w:left="93" w:hanging="3"/>
              <w:rPr>
                <w:rFonts w:ascii="Times New Roman" w:eastAsia="Times New Roman" w:hAnsi="Times New Roman" w:cs="Times New Roman"/>
                <w:lang w:eastAsia="es-AR"/>
              </w:rPr>
            </w:pPr>
            <w:r w:rsidRPr="00D76104">
              <w:rPr>
                <w:rFonts w:ascii="Times New Roman" w:eastAsia="Times New Roman" w:hAnsi="Times New Roman" w:cs="Times New Roman"/>
                <w:color w:val="000000"/>
                <w:kern w:val="24"/>
                <w:lang w:eastAsia="es-AR"/>
              </w:rPr>
              <w:t>Secretaría de Desarrollo Humano: Dirección de Niñez y Adolescencia.</w:t>
            </w:r>
          </w:p>
          <w:p w:rsidR="008220C0" w:rsidRPr="00D76104" w:rsidRDefault="00671873" w:rsidP="00D76104">
            <w:pPr>
              <w:spacing w:after="0"/>
              <w:ind w:left="93" w:firstLine="439"/>
              <w:rPr>
                <w:rFonts w:ascii="Times New Roman" w:eastAsia="Times New Roman" w:hAnsi="Times New Roman" w:cs="Times New Roman"/>
                <w:lang w:eastAsia="es-AR"/>
              </w:rPr>
            </w:pPr>
            <w:r w:rsidRPr="00671873">
              <w:rPr>
                <w:rFonts w:ascii="Times New Roman" w:eastAsia="Times New Roman" w:hAnsi="Times New Roman" w:cs="Times New Roman"/>
                <w:noProof/>
                <w:color w:val="000000"/>
                <w:kern w:val="24"/>
                <w:lang w:eastAsia="es-AR"/>
              </w:rPr>
              <w:pict>
                <v:shape id="_x0000_s1033" type="#_x0000_t93" style="position:absolute;left:0;text-align:left;margin-left:2.5pt;margin-top:2.8pt;width:21.2pt;height:12.95pt;z-index:251662336"/>
              </w:pict>
            </w:r>
            <w:r w:rsidR="008220C0" w:rsidRPr="00D76104">
              <w:rPr>
                <w:rFonts w:ascii="Times New Roman" w:eastAsia="Times New Roman" w:hAnsi="Times New Roman" w:cs="Times New Roman"/>
                <w:b/>
                <w:bCs/>
                <w:color w:val="000000"/>
                <w:kern w:val="24"/>
                <w:lang w:eastAsia="es-AR"/>
              </w:rPr>
              <w:t xml:space="preserve">8 Servicios Locales de Promoción y Protección de Derechos de Niños, Niñas y Adolescentes </w:t>
            </w:r>
          </w:p>
        </w:tc>
      </w:tr>
    </w:tbl>
    <w:p w:rsidR="008220C0" w:rsidRPr="00F159F0" w:rsidRDefault="008220C0" w:rsidP="008220C0">
      <w:pPr>
        <w:jc w:val="right"/>
        <w:rPr>
          <w:rFonts w:ascii="Times New Roman" w:hAnsi="Times New Roman" w:cs="Times New Roman"/>
          <w:sz w:val="20"/>
          <w:szCs w:val="20"/>
        </w:rPr>
      </w:pPr>
      <w:r w:rsidRPr="00F159F0">
        <w:rPr>
          <w:rFonts w:ascii="Times New Roman" w:hAnsi="Times New Roman" w:cs="Times New Roman"/>
          <w:sz w:val="20"/>
          <w:szCs w:val="20"/>
        </w:rPr>
        <w:t>Cuadro N°</w:t>
      </w:r>
      <w:r w:rsidR="004E5B3E">
        <w:rPr>
          <w:rFonts w:ascii="Times New Roman" w:hAnsi="Times New Roman" w:cs="Times New Roman"/>
          <w:sz w:val="20"/>
          <w:szCs w:val="20"/>
        </w:rPr>
        <w:t>1</w:t>
      </w:r>
      <w:r w:rsidRPr="00F159F0">
        <w:rPr>
          <w:rFonts w:ascii="Times New Roman" w:hAnsi="Times New Roman" w:cs="Times New Roman"/>
          <w:sz w:val="20"/>
          <w:szCs w:val="20"/>
        </w:rPr>
        <w:t>. Fuente: Elaboración propia.</w:t>
      </w:r>
    </w:p>
    <w:p w:rsidR="00254751" w:rsidRPr="00E6007E" w:rsidRDefault="00254751" w:rsidP="00EC15AC">
      <w:pPr>
        <w:spacing w:before="240" w:line="360" w:lineRule="auto"/>
        <w:rPr>
          <w:rFonts w:ascii="Times New Roman" w:hAnsi="Times New Roman" w:cs="Times New Roman"/>
          <w:b/>
          <w:sz w:val="24"/>
          <w:szCs w:val="24"/>
        </w:rPr>
      </w:pPr>
      <w:r w:rsidRPr="00E6007E">
        <w:rPr>
          <w:rFonts w:ascii="Times New Roman" w:hAnsi="Times New Roman" w:cs="Times New Roman"/>
          <w:b/>
          <w:sz w:val="24"/>
          <w:szCs w:val="24"/>
        </w:rPr>
        <w:lastRenderedPageBreak/>
        <w:t>La evolución de la protección de derechos del niño. Una mirada histórica, antropológica y social.</w:t>
      </w:r>
    </w:p>
    <w:p w:rsidR="00254751" w:rsidRPr="00E6007E" w:rsidRDefault="00547A9D" w:rsidP="00E6007E">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254751" w:rsidRPr="00E6007E">
        <w:rPr>
          <w:rFonts w:ascii="Times New Roman" w:hAnsi="Times New Roman" w:cs="Times New Roman"/>
          <w:sz w:val="24"/>
          <w:szCs w:val="24"/>
        </w:rPr>
        <w:t xml:space="preserve">a noción </w:t>
      </w:r>
      <w:r>
        <w:rPr>
          <w:rFonts w:ascii="Times New Roman" w:hAnsi="Times New Roman" w:cs="Times New Roman"/>
          <w:sz w:val="24"/>
          <w:szCs w:val="24"/>
        </w:rPr>
        <w:t>niño como sujeto de derechos</w:t>
      </w:r>
      <w:r w:rsidR="00254751" w:rsidRPr="00E6007E">
        <w:rPr>
          <w:rFonts w:ascii="Times New Roman" w:hAnsi="Times New Roman" w:cs="Times New Roman"/>
          <w:sz w:val="24"/>
          <w:szCs w:val="24"/>
        </w:rPr>
        <w:t xml:space="preserve"> es un pr</w:t>
      </w:r>
      <w:r w:rsidR="00EC15AC">
        <w:rPr>
          <w:rFonts w:ascii="Times New Roman" w:hAnsi="Times New Roman" w:cs="Times New Roman"/>
          <w:sz w:val="24"/>
          <w:szCs w:val="24"/>
        </w:rPr>
        <w:t>oducto de fines de siglo XX.</w:t>
      </w:r>
      <w:r w:rsidR="00254751" w:rsidRPr="00E6007E">
        <w:rPr>
          <w:rFonts w:ascii="Times New Roman" w:hAnsi="Times New Roman" w:cs="Times New Roman"/>
          <w:sz w:val="24"/>
          <w:szCs w:val="24"/>
        </w:rPr>
        <w:t xml:space="preserve"> </w:t>
      </w:r>
      <w:r w:rsidR="00EC15AC">
        <w:rPr>
          <w:rFonts w:ascii="Times New Roman" w:hAnsi="Times New Roman" w:cs="Times New Roman"/>
          <w:sz w:val="24"/>
          <w:szCs w:val="24"/>
        </w:rPr>
        <w:t>R</w:t>
      </w:r>
      <w:r w:rsidR="00254751" w:rsidRPr="00E6007E">
        <w:rPr>
          <w:rFonts w:ascii="Times New Roman" w:hAnsi="Times New Roman" w:cs="Times New Roman"/>
          <w:sz w:val="24"/>
          <w:szCs w:val="24"/>
        </w:rPr>
        <w:t>esultó de un proceso socio-histórico en que determinadas sensibilidades ligadas a concepciones morales han requerido de transformaciones sociales y jurídicas para poner en valor y prioridad el interés superior del niño.</w:t>
      </w:r>
    </w:p>
    <w:p w:rsidR="00254751" w:rsidRPr="00E6007E" w:rsidRDefault="00254751" w:rsidP="00E6007E">
      <w:pPr>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¿Cómo se constituyó la infancia como objeto de sensibilidad en la construcción</w:t>
      </w:r>
      <w:r w:rsidR="007E038B">
        <w:rPr>
          <w:rFonts w:ascii="Times New Roman" w:hAnsi="Times New Roman" w:cs="Times New Roman"/>
          <w:sz w:val="24"/>
          <w:szCs w:val="24"/>
        </w:rPr>
        <w:t xml:space="preserve"> de lo intolerable social</w:t>
      </w:r>
      <w:r w:rsidRPr="00E6007E">
        <w:rPr>
          <w:rFonts w:ascii="Times New Roman" w:hAnsi="Times New Roman" w:cs="Times New Roman"/>
          <w:sz w:val="24"/>
          <w:szCs w:val="24"/>
        </w:rPr>
        <w:t xml:space="preserve"> en la economía moral de la sociedad contemporánea? Julieta Grinberg retoma la noción de Economía moral de Didier Fassin -como la producción, circulación y uso de valores y emociones en el espacio social- y explica que las categorías morales organizan nuestra sensibilidad. Se trata de procesos históricos en los que determinados valores, emociones y normas se vuelven dominantes y legítimas en un contexto político y social dado (Grinberg, 2015). </w:t>
      </w:r>
    </w:p>
    <w:p w:rsidR="00254751" w:rsidRPr="00E6007E" w:rsidRDefault="00254751" w:rsidP="00E6007E">
      <w:pPr>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En la primera Modernidad se desarrolló la representación imaginaria de la noción de Infancia, y en la segunda se modeló la noción de Niñez, que implica una operación de desinfantilización de esta población vinculado al desarrollo de la doctrina de los derechos humanos (Luciani Conde, 2017). En el campo de protección de la infancia, se modelan fundamentalmente dos paradigmas: el paradigma tutelar y</w:t>
      </w:r>
      <w:r w:rsidR="007E038B">
        <w:rPr>
          <w:rFonts w:ascii="Times New Roman" w:hAnsi="Times New Roman" w:cs="Times New Roman"/>
          <w:sz w:val="24"/>
          <w:szCs w:val="24"/>
        </w:rPr>
        <w:t xml:space="preserve"> el paradigma de derechos. El paradigma de tipo tutelar, </w:t>
      </w:r>
      <w:r w:rsidRPr="00E6007E">
        <w:rPr>
          <w:rFonts w:ascii="Times New Roman" w:hAnsi="Times New Roman" w:cs="Times New Roman"/>
          <w:sz w:val="24"/>
          <w:szCs w:val="24"/>
        </w:rPr>
        <w:t>coincidente con el Sistema d</w:t>
      </w:r>
      <w:r w:rsidR="007E038B">
        <w:rPr>
          <w:rFonts w:ascii="Times New Roman" w:hAnsi="Times New Roman" w:cs="Times New Roman"/>
          <w:sz w:val="24"/>
          <w:szCs w:val="24"/>
        </w:rPr>
        <w:t xml:space="preserve">e Patronato Nacional de Menores, </w:t>
      </w:r>
      <w:r w:rsidRPr="00E6007E">
        <w:rPr>
          <w:rFonts w:ascii="Times New Roman" w:hAnsi="Times New Roman" w:cs="Times New Roman"/>
          <w:sz w:val="24"/>
          <w:szCs w:val="24"/>
        </w:rPr>
        <w:t>está basado en las nociones de abandono y peligro material y/o moral</w:t>
      </w:r>
      <w:r w:rsidR="005637FD">
        <w:rPr>
          <w:rFonts w:ascii="Times New Roman" w:hAnsi="Times New Roman" w:cs="Times New Roman"/>
          <w:sz w:val="24"/>
          <w:szCs w:val="24"/>
        </w:rPr>
        <w:t xml:space="preserve"> y</w:t>
      </w:r>
      <w:r w:rsidRPr="00E6007E">
        <w:rPr>
          <w:rFonts w:ascii="Times New Roman" w:hAnsi="Times New Roman" w:cs="Times New Roman"/>
          <w:sz w:val="24"/>
          <w:szCs w:val="24"/>
        </w:rPr>
        <w:t xml:space="preserve"> evidencia la influencia de la moral de la época en la estructura jurídica.</w:t>
      </w:r>
    </w:p>
    <w:p w:rsidR="00254751" w:rsidRPr="00E6007E" w:rsidRDefault="005C05C0" w:rsidP="00E600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Algunos autores realizaron estudios sobre </w:t>
      </w:r>
      <w:r w:rsidRPr="00E6007E">
        <w:rPr>
          <w:rFonts w:ascii="Times New Roman" w:hAnsi="Times New Roman" w:cs="Times New Roman"/>
          <w:sz w:val="24"/>
          <w:szCs w:val="24"/>
        </w:rPr>
        <w:t>la implementación del Sistema de Protección de Derechos</w:t>
      </w:r>
      <w:r>
        <w:rPr>
          <w:rFonts w:ascii="Times New Roman" w:hAnsi="Times New Roman" w:cs="Times New Roman"/>
          <w:sz w:val="24"/>
          <w:szCs w:val="24"/>
        </w:rPr>
        <w:t xml:space="preserve"> en el municipio de Lanús (Magistris, 2016; Luciani Conde, 2017). </w:t>
      </w:r>
      <w:r w:rsidR="00E266CB">
        <w:rPr>
          <w:rFonts w:ascii="Times New Roman" w:hAnsi="Times New Roman" w:cs="Times New Roman"/>
          <w:sz w:val="24"/>
          <w:szCs w:val="24"/>
        </w:rPr>
        <w:t>L</w:t>
      </w:r>
      <w:r w:rsidR="00254751" w:rsidRPr="00E6007E">
        <w:rPr>
          <w:rFonts w:ascii="Times New Roman" w:hAnsi="Times New Roman" w:cs="Times New Roman"/>
          <w:sz w:val="24"/>
          <w:szCs w:val="24"/>
        </w:rPr>
        <w:t>os derechos y la protección en la niñez</w:t>
      </w:r>
      <w:r w:rsidR="00E266CB">
        <w:rPr>
          <w:rFonts w:ascii="Times New Roman" w:hAnsi="Times New Roman" w:cs="Times New Roman"/>
          <w:sz w:val="24"/>
          <w:szCs w:val="24"/>
        </w:rPr>
        <w:t xml:space="preserve"> se identifican</w:t>
      </w:r>
      <w:r w:rsidR="00254751" w:rsidRPr="00E6007E">
        <w:rPr>
          <w:rFonts w:ascii="Times New Roman" w:hAnsi="Times New Roman" w:cs="Times New Roman"/>
          <w:sz w:val="24"/>
          <w:szCs w:val="24"/>
        </w:rPr>
        <w:t xml:space="preserve"> como el modo histórico en que la época sitúa la cuestión social de la niñez (Luciani Conde, </w:t>
      </w:r>
      <w:r w:rsidR="00E266CB">
        <w:rPr>
          <w:rFonts w:ascii="Times New Roman" w:hAnsi="Times New Roman" w:cs="Times New Roman"/>
          <w:color w:val="000000" w:themeColor="text1"/>
          <w:sz w:val="24"/>
          <w:szCs w:val="24"/>
        </w:rPr>
        <w:t>2017). Aunque resulte una</w:t>
      </w:r>
      <w:r w:rsidR="00254751" w:rsidRPr="00E6007E">
        <w:rPr>
          <w:rFonts w:ascii="Times New Roman" w:hAnsi="Times New Roman" w:cs="Times New Roman"/>
          <w:color w:val="000000" w:themeColor="text1"/>
          <w:sz w:val="24"/>
          <w:szCs w:val="24"/>
        </w:rPr>
        <w:t xml:space="preserve"> paradoja el surgimiento del discurso de derechos en un contexto de desarro</w:t>
      </w:r>
      <w:r w:rsidR="006E1F19">
        <w:rPr>
          <w:rFonts w:ascii="Times New Roman" w:hAnsi="Times New Roman" w:cs="Times New Roman"/>
          <w:color w:val="000000" w:themeColor="text1"/>
          <w:sz w:val="24"/>
          <w:szCs w:val="24"/>
        </w:rPr>
        <w:t>llo neoliberal en Latinoamérica</w:t>
      </w:r>
      <w:r w:rsidR="009960A1">
        <w:rPr>
          <w:rFonts w:ascii="Times New Roman" w:hAnsi="Times New Roman" w:cs="Times New Roman"/>
          <w:color w:val="000000" w:themeColor="text1"/>
          <w:sz w:val="24"/>
          <w:szCs w:val="24"/>
        </w:rPr>
        <w:t>. Valeria Llobet (2011)</w:t>
      </w:r>
      <w:r w:rsidR="00254751" w:rsidRPr="00E6007E">
        <w:rPr>
          <w:rFonts w:ascii="Times New Roman" w:hAnsi="Times New Roman" w:cs="Times New Roman"/>
          <w:color w:val="000000" w:themeColor="text1"/>
          <w:sz w:val="24"/>
          <w:szCs w:val="24"/>
        </w:rPr>
        <w:t xml:space="preserve"> destaca que la institucionalización de la Convención en la política pública de la región se dio en el marco de un proceso de reforma del Estado neoliberal, lo cual impactó en la interpretación de la protección social, el rol del Estado y de </w:t>
      </w:r>
      <w:r w:rsidR="00254751" w:rsidRPr="00E6007E">
        <w:rPr>
          <w:rFonts w:ascii="Times New Roman" w:hAnsi="Times New Roman" w:cs="Times New Roman"/>
          <w:color w:val="000000" w:themeColor="text1"/>
          <w:sz w:val="24"/>
          <w:szCs w:val="24"/>
        </w:rPr>
        <w:lastRenderedPageBreak/>
        <w:t>la sociedad, la</w:t>
      </w:r>
      <w:r w:rsidR="006E1F19">
        <w:rPr>
          <w:rFonts w:ascii="Times New Roman" w:hAnsi="Times New Roman" w:cs="Times New Roman"/>
          <w:color w:val="000000" w:themeColor="text1"/>
          <w:sz w:val="24"/>
          <w:szCs w:val="24"/>
        </w:rPr>
        <w:t xml:space="preserve"> privatización de prestaciones y el </w:t>
      </w:r>
      <w:r w:rsidR="00254751" w:rsidRPr="00E6007E">
        <w:rPr>
          <w:rFonts w:ascii="Times New Roman" w:hAnsi="Times New Roman" w:cs="Times New Roman"/>
          <w:color w:val="000000" w:themeColor="text1"/>
          <w:sz w:val="24"/>
          <w:szCs w:val="24"/>
        </w:rPr>
        <w:t>aumento de organizaciones no gubernamentales dedicadas a la protección social</w:t>
      </w:r>
      <w:r w:rsidR="006E1F19">
        <w:rPr>
          <w:rFonts w:ascii="Times New Roman" w:hAnsi="Times New Roman" w:cs="Times New Roman"/>
          <w:color w:val="000000" w:themeColor="text1"/>
          <w:sz w:val="24"/>
          <w:szCs w:val="24"/>
        </w:rPr>
        <w:t>.</w:t>
      </w:r>
    </w:p>
    <w:p w:rsidR="00254751" w:rsidRPr="00E6007E" w:rsidRDefault="00254751" w:rsidP="00E6007E">
      <w:pPr>
        <w:autoSpaceDE w:val="0"/>
        <w:autoSpaceDN w:val="0"/>
        <w:adjustRightInd w:val="0"/>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Eduardo</w:t>
      </w:r>
      <w:r w:rsidR="009A2B6E">
        <w:rPr>
          <w:rFonts w:ascii="Times New Roman" w:hAnsi="Times New Roman" w:cs="Times New Roman"/>
          <w:sz w:val="24"/>
          <w:szCs w:val="24"/>
        </w:rPr>
        <w:t xml:space="preserve"> Bustelo Graffigna (</w:t>
      </w:r>
      <w:r w:rsidRPr="00E6007E">
        <w:rPr>
          <w:rFonts w:ascii="Times New Roman" w:hAnsi="Times New Roman" w:cs="Times New Roman"/>
          <w:sz w:val="24"/>
          <w:szCs w:val="24"/>
        </w:rPr>
        <w:t>primer di</w:t>
      </w:r>
      <w:r w:rsidR="00FA1478">
        <w:rPr>
          <w:rFonts w:ascii="Times New Roman" w:hAnsi="Times New Roman" w:cs="Times New Roman"/>
          <w:sz w:val="24"/>
          <w:szCs w:val="24"/>
        </w:rPr>
        <w:t>rector de Unicef Argentina)</w:t>
      </w:r>
      <w:r w:rsidRPr="00E6007E">
        <w:rPr>
          <w:rFonts w:ascii="Times New Roman" w:hAnsi="Times New Roman" w:cs="Times New Roman"/>
          <w:sz w:val="24"/>
          <w:szCs w:val="24"/>
        </w:rPr>
        <w:t xml:space="preserve"> </w:t>
      </w:r>
      <w:r w:rsidR="00483B85">
        <w:rPr>
          <w:rFonts w:ascii="Times New Roman" w:hAnsi="Times New Roman" w:cs="Times New Roman"/>
          <w:sz w:val="24"/>
          <w:szCs w:val="24"/>
        </w:rPr>
        <w:t>afirma</w:t>
      </w:r>
      <w:r w:rsidR="00483B85" w:rsidRPr="00E6007E">
        <w:rPr>
          <w:rFonts w:ascii="Times New Roman" w:hAnsi="Times New Roman" w:cs="Times New Roman"/>
          <w:sz w:val="24"/>
          <w:szCs w:val="24"/>
        </w:rPr>
        <w:t xml:space="preserve"> que la redacción de la Convención prioriza los derechos civiles indi</w:t>
      </w:r>
      <w:r w:rsidR="00483B85">
        <w:rPr>
          <w:rFonts w:ascii="Times New Roman" w:hAnsi="Times New Roman" w:cs="Times New Roman"/>
          <w:sz w:val="24"/>
          <w:szCs w:val="24"/>
        </w:rPr>
        <w:t>viduales por sobre los sociales</w:t>
      </w:r>
      <w:r w:rsidRPr="00E6007E">
        <w:rPr>
          <w:rFonts w:ascii="Times New Roman" w:hAnsi="Times New Roman" w:cs="Times New Roman"/>
          <w:sz w:val="24"/>
          <w:szCs w:val="24"/>
        </w:rPr>
        <w:t xml:space="preserve">, </w:t>
      </w:r>
      <w:r w:rsidR="00483B85">
        <w:rPr>
          <w:rFonts w:ascii="Times New Roman" w:hAnsi="Times New Roman" w:cs="Times New Roman"/>
          <w:sz w:val="24"/>
          <w:szCs w:val="24"/>
        </w:rPr>
        <w:t xml:space="preserve">y </w:t>
      </w:r>
      <w:r w:rsidRPr="00E6007E">
        <w:rPr>
          <w:rFonts w:ascii="Times New Roman" w:hAnsi="Times New Roman" w:cs="Times New Roman"/>
          <w:sz w:val="24"/>
          <w:szCs w:val="24"/>
        </w:rPr>
        <w:t xml:space="preserve">refiere que no pone de manifiesto el problema de la acumulación de riqueza como causa anterior de la pobreza, sin embargo defiende la Convención como posibilidad de mejora en materia de derechos de la infancia (Bustelo, 2005). </w:t>
      </w:r>
      <w:r w:rsidR="001E5BF2">
        <w:rPr>
          <w:rFonts w:ascii="Times New Roman" w:hAnsi="Times New Roman" w:cs="Times New Roman"/>
          <w:sz w:val="24"/>
          <w:szCs w:val="24"/>
        </w:rPr>
        <w:t>E</w:t>
      </w:r>
      <w:r w:rsidRPr="00E6007E">
        <w:rPr>
          <w:rFonts w:ascii="Times New Roman" w:hAnsi="Times New Roman" w:cs="Times New Roman"/>
          <w:sz w:val="24"/>
          <w:szCs w:val="24"/>
        </w:rPr>
        <w:t xml:space="preserve">stos debates se reflejan en la letra del texto estableciendo definiciones laxas que permiten vulneraciones </w:t>
      </w:r>
      <w:r w:rsidR="002F7A5D">
        <w:rPr>
          <w:rFonts w:ascii="Times New Roman" w:hAnsi="Times New Roman" w:cs="Times New Roman"/>
          <w:sz w:val="24"/>
          <w:szCs w:val="24"/>
        </w:rPr>
        <w:t>de los</w:t>
      </w:r>
      <w:r w:rsidRPr="00E6007E">
        <w:rPr>
          <w:rFonts w:ascii="Times New Roman" w:hAnsi="Times New Roman" w:cs="Times New Roman"/>
          <w:sz w:val="24"/>
          <w:szCs w:val="24"/>
        </w:rPr>
        <w:t xml:space="preserve"> derechos que pretenden proteger</w:t>
      </w:r>
      <w:r w:rsidR="001E5BF2">
        <w:rPr>
          <w:rFonts w:ascii="Times New Roman" w:hAnsi="Times New Roman" w:cs="Times New Roman"/>
          <w:sz w:val="24"/>
          <w:szCs w:val="24"/>
        </w:rPr>
        <w:t xml:space="preserve"> (Llobet, 2011)</w:t>
      </w:r>
      <w:r w:rsidRPr="00E6007E">
        <w:rPr>
          <w:rFonts w:ascii="Times New Roman" w:hAnsi="Times New Roman" w:cs="Times New Roman"/>
          <w:sz w:val="24"/>
          <w:szCs w:val="24"/>
        </w:rPr>
        <w:t xml:space="preserve">. </w:t>
      </w:r>
    </w:p>
    <w:p w:rsidR="00254751" w:rsidRPr="00E6007E" w:rsidRDefault="002F7A5D" w:rsidP="00E6007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E6007E">
        <w:rPr>
          <w:rFonts w:ascii="Times New Roman" w:hAnsi="Times New Roman" w:cs="Times New Roman"/>
          <w:sz w:val="24"/>
          <w:szCs w:val="24"/>
        </w:rPr>
        <w:t>os documentos inte</w:t>
      </w:r>
      <w:r>
        <w:rPr>
          <w:rFonts w:ascii="Times New Roman" w:hAnsi="Times New Roman" w:cs="Times New Roman"/>
          <w:sz w:val="24"/>
          <w:szCs w:val="24"/>
        </w:rPr>
        <w:t xml:space="preserve">rnacionales </w:t>
      </w:r>
      <w:r w:rsidRPr="00E6007E">
        <w:rPr>
          <w:rFonts w:ascii="Times New Roman" w:hAnsi="Times New Roman" w:cs="Times New Roman"/>
          <w:sz w:val="24"/>
          <w:szCs w:val="24"/>
        </w:rPr>
        <w:t>orientan la política social</w:t>
      </w:r>
      <w:r>
        <w:rPr>
          <w:rFonts w:ascii="Times New Roman" w:hAnsi="Times New Roman" w:cs="Times New Roman"/>
          <w:sz w:val="24"/>
          <w:szCs w:val="24"/>
        </w:rPr>
        <w:t xml:space="preserve"> </w:t>
      </w:r>
      <w:r w:rsidRPr="00E6007E">
        <w:rPr>
          <w:rFonts w:ascii="Times New Roman" w:hAnsi="Times New Roman" w:cs="Times New Roman"/>
          <w:sz w:val="24"/>
          <w:szCs w:val="24"/>
        </w:rPr>
        <w:t>de los Estados firmantes en favor de una adecuación d</w:t>
      </w:r>
      <w:r w:rsidR="00F950BB">
        <w:rPr>
          <w:rFonts w:ascii="Times New Roman" w:hAnsi="Times New Roman" w:cs="Times New Roman"/>
          <w:sz w:val="24"/>
          <w:szCs w:val="24"/>
        </w:rPr>
        <w:t>e sus marcos normativos pero</w:t>
      </w:r>
      <w:r w:rsidRPr="00E6007E">
        <w:rPr>
          <w:rFonts w:ascii="Times New Roman" w:hAnsi="Times New Roman" w:cs="Times New Roman"/>
          <w:sz w:val="24"/>
          <w:szCs w:val="24"/>
        </w:rPr>
        <w:t xml:space="preserve"> no </w:t>
      </w:r>
      <w:r w:rsidR="00F950BB">
        <w:rPr>
          <w:rFonts w:ascii="Times New Roman" w:hAnsi="Times New Roman" w:cs="Times New Roman"/>
          <w:sz w:val="24"/>
          <w:szCs w:val="24"/>
        </w:rPr>
        <w:t xml:space="preserve">se </w:t>
      </w:r>
      <w:r w:rsidRPr="00E6007E">
        <w:rPr>
          <w:rFonts w:ascii="Times New Roman" w:hAnsi="Times New Roman" w:cs="Times New Roman"/>
          <w:sz w:val="24"/>
          <w:szCs w:val="24"/>
        </w:rPr>
        <w:t>igualan sus contextos materiales y sociales</w:t>
      </w:r>
      <w:r>
        <w:rPr>
          <w:rFonts w:ascii="Times New Roman" w:hAnsi="Times New Roman" w:cs="Times New Roman"/>
          <w:sz w:val="24"/>
          <w:szCs w:val="24"/>
        </w:rPr>
        <w:t xml:space="preserve">. </w:t>
      </w:r>
      <w:r w:rsidR="00254751" w:rsidRPr="00E6007E">
        <w:rPr>
          <w:rFonts w:ascii="Times New Roman" w:hAnsi="Times New Roman" w:cs="Times New Roman"/>
          <w:sz w:val="24"/>
          <w:szCs w:val="24"/>
        </w:rPr>
        <w:t xml:space="preserve">Claudia Fonseca </w:t>
      </w:r>
      <w:r w:rsidR="00F950BB">
        <w:rPr>
          <w:rFonts w:ascii="Times New Roman" w:hAnsi="Times New Roman" w:cs="Times New Roman"/>
          <w:sz w:val="24"/>
          <w:szCs w:val="24"/>
        </w:rPr>
        <w:t xml:space="preserve">(2007) </w:t>
      </w:r>
      <w:r w:rsidR="00254751" w:rsidRPr="00E6007E">
        <w:rPr>
          <w:rFonts w:ascii="Times New Roman" w:hAnsi="Times New Roman" w:cs="Times New Roman"/>
          <w:sz w:val="24"/>
          <w:szCs w:val="24"/>
        </w:rPr>
        <w:t xml:space="preserve">analiza la situación en Brasil donde las leyes en materia de derechos se encuentran en el más alto nivel </w:t>
      </w:r>
      <w:r>
        <w:rPr>
          <w:rFonts w:ascii="Times New Roman" w:hAnsi="Times New Roman" w:cs="Times New Roman"/>
          <w:sz w:val="24"/>
          <w:szCs w:val="24"/>
        </w:rPr>
        <w:t>de enunciación</w:t>
      </w:r>
      <w:r w:rsidR="00254751" w:rsidRPr="00E6007E">
        <w:rPr>
          <w:rFonts w:ascii="Times New Roman" w:hAnsi="Times New Roman" w:cs="Times New Roman"/>
          <w:sz w:val="24"/>
          <w:szCs w:val="24"/>
        </w:rPr>
        <w:t>, sin embargo fracasan en su ap</w:t>
      </w:r>
      <w:r>
        <w:rPr>
          <w:rFonts w:ascii="Times New Roman" w:hAnsi="Times New Roman" w:cs="Times New Roman"/>
          <w:sz w:val="24"/>
          <w:szCs w:val="24"/>
        </w:rPr>
        <w:t>licación local</w:t>
      </w:r>
      <w:r w:rsidR="00215A3B">
        <w:rPr>
          <w:rFonts w:ascii="Times New Roman" w:hAnsi="Times New Roman" w:cs="Times New Roman"/>
          <w:sz w:val="24"/>
          <w:szCs w:val="24"/>
        </w:rPr>
        <w:t xml:space="preserve"> porque no están basadas en una evaluación de la realidad local sino en los principios abstractos que dominan los debates internacionales y reflejan los valores del Primer mundo</w:t>
      </w:r>
      <w:r>
        <w:rPr>
          <w:rFonts w:ascii="Times New Roman" w:hAnsi="Times New Roman" w:cs="Times New Roman"/>
          <w:sz w:val="24"/>
          <w:szCs w:val="24"/>
        </w:rPr>
        <w:t xml:space="preserve">. </w:t>
      </w:r>
    </w:p>
    <w:p w:rsidR="00254751" w:rsidRPr="00E6007E" w:rsidRDefault="00254751" w:rsidP="00E6007E">
      <w:pPr>
        <w:autoSpaceDE w:val="0"/>
        <w:autoSpaceDN w:val="0"/>
        <w:adjustRightInd w:val="0"/>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Pongo en diálogo distintas perspectivas teóricas que se sitúan con una mirada compleja acerca de la protección de derechos, puesto que el discurso de los derechos en las infancias no es un discurso homogéneo. Esta riqueza contribuye a una mayor comprensión de los obstáculos para la aplicación local de la CDN y así mismo, desciende en los debates e interpretaciones de los actores que conforman el Sistema de Protección de Derechos.</w:t>
      </w:r>
    </w:p>
    <w:p w:rsidR="00254751" w:rsidRPr="00E6007E" w:rsidRDefault="00254751" w:rsidP="00E6007E">
      <w:pPr>
        <w:spacing w:line="360" w:lineRule="auto"/>
        <w:jc w:val="both"/>
        <w:rPr>
          <w:rFonts w:ascii="Times New Roman" w:hAnsi="Times New Roman" w:cs="Times New Roman"/>
          <w:b/>
          <w:sz w:val="24"/>
          <w:szCs w:val="24"/>
        </w:rPr>
      </w:pPr>
      <w:r w:rsidRPr="00E6007E">
        <w:rPr>
          <w:rFonts w:ascii="Times New Roman" w:hAnsi="Times New Roman" w:cs="Times New Roman"/>
          <w:b/>
          <w:sz w:val="24"/>
          <w:szCs w:val="24"/>
        </w:rPr>
        <w:t>El Gobierno de las infancias:</w:t>
      </w:r>
      <w:r w:rsidR="00EB4ACD">
        <w:rPr>
          <w:rFonts w:ascii="Times New Roman" w:hAnsi="Times New Roman" w:cs="Times New Roman"/>
          <w:b/>
          <w:sz w:val="24"/>
          <w:szCs w:val="24"/>
        </w:rPr>
        <w:t xml:space="preserve"> la derivación a tratamiento psicológico</w:t>
      </w:r>
      <w:r w:rsidRPr="00E6007E">
        <w:rPr>
          <w:rFonts w:ascii="Times New Roman" w:hAnsi="Times New Roman" w:cs="Times New Roman"/>
          <w:b/>
          <w:sz w:val="24"/>
          <w:szCs w:val="24"/>
        </w:rPr>
        <w:t xml:space="preserve"> como tecnología de poder </w:t>
      </w:r>
    </w:p>
    <w:p w:rsidR="00254751" w:rsidRPr="00E6007E" w:rsidRDefault="00FA1478" w:rsidP="00E600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00254751" w:rsidRPr="00E6007E">
        <w:rPr>
          <w:rFonts w:ascii="Times New Roman" w:hAnsi="Times New Roman" w:cs="Times New Roman"/>
          <w:sz w:val="24"/>
          <w:szCs w:val="24"/>
        </w:rPr>
        <w:t>sta investigación se enmarca teóricamente en la noc</w:t>
      </w:r>
      <w:r>
        <w:rPr>
          <w:rFonts w:ascii="Times New Roman" w:hAnsi="Times New Roman" w:cs="Times New Roman"/>
          <w:sz w:val="24"/>
          <w:szCs w:val="24"/>
        </w:rPr>
        <w:t>ión de poder de Michel Foucault, para quien e</w:t>
      </w:r>
      <w:r w:rsidR="00254751" w:rsidRPr="00E6007E">
        <w:rPr>
          <w:rFonts w:ascii="Times New Roman" w:hAnsi="Times New Roman" w:cs="Times New Roman"/>
          <w:sz w:val="24"/>
          <w:szCs w:val="24"/>
        </w:rPr>
        <w:t>l poder no es una cosa que se tiene, se toma o se pierde, que detenta un grupo social o el Estado sino que se ejerce en un sistema de relaciones de fuerza</w:t>
      </w:r>
      <w:r>
        <w:rPr>
          <w:rFonts w:ascii="Times New Roman" w:hAnsi="Times New Roman" w:cs="Times New Roman"/>
          <w:sz w:val="24"/>
          <w:szCs w:val="24"/>
        </w:rPr>
        <w:t xml:space="preserve">s, móviles y no igualitarias, </w:t>
      </w:r>
      <w:r w:rsidR="00254751" w:rsidRPr="00E6007E">
        <w:rPr>
          <w:rFonts w:ascii="Times New Roman" w:hAnsi="Times New Roman" w:cs="Times New Roman"/>
          <w:sz w:val="24"/>
          <w:szCs w:val="24"/>
        </w:rPr>
        <w:t xml:space="preserve">que no es puramente coercitivo o represivo, sino que estas relaciones desempeñan un papel productor y recorren el conjunto del cuerpo social (Foucault, 2005). </w:t>
      </w:r>
      <w:r w:rsidR="00E47936">
        <w:rPr>
          <w:rFonts w:ascii="Times New Roman" w:hAnsi="Times New Roman" w:cs="Times New Roman"/>
          <w:sz w:val="24"/>
          <w:szCs w:val="24"/>
        </w:rPr>
        <w:t>E</w:t>
      </w:r>
      <w:r w:rsidR="00254751" w:rsidRPr="00E6007E">
        <w:rPr>
          <w:rFonts w:ascii="Times New Roman" w:hAnsi="Times New Roman" w:cs="Times New Roman"/>
          <w:sz w:val="24"/>
          <w:szCs w:val="24"/>
        </w:rPr>
        <w:t xml:space="preserve">l poder se juega en un ejercicio de múltiples relaciones de fuerzas, móviles, que no sólo </w:t>
      </w:r>
      <w:r w:rsidR="00254751" w:rsidRPr="00E6007E">
        <w:rPr>
          <w:rFonts w:ascii="Times New Roman" w:hAnsi="Times New Roman" w:cs="Times New Roman"/>
          <w:sz w:val="24"/>
          <w:szCs w:val="24"/>
        </w:rPr>
        <w:lastRenderedPageBreak/>
        <w:t>actúan de modo represivo sino que tienen un aspecto positivo, productivo que inducen en la conformación de subjetividades. De este modo, la noción de poder inscribe el aspecto represivo del control social en una tensión con la modalidad persuasiva, moralizante que induce la interiorización de hábitos y normas de salud o convivencia en favor del control social (Bianchi, 2019).</w:t>
      </w:r>
    </w:p>
    <w:p w:rsidR="00254751" w:rsidRPr="00E6007E" w:rsidRDefault="00214BA3" w:rsidP="00E600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esta línea</w:t>
      </w:r>
      <w:r w:rsidR="00254751" w:rsidRPr="00E6007E">
        <w:rPr>
          <w:rFonts w:ascii="Times New Roman" w:hAnsi="Times New Roman" w:cs="Times New Roman"/>
          <w:sz w:val="24"/>
          <w:szCs w:val="24"/>
        </w:rPr>
        <w:t>, se inscribe la idea de “gobierno” para pensar la administración de la</w:t>
      </w:r>
      <w:r>
        <w:rPr>
          <w:rFonts w:ascii="Times New Roman" w:hAnsi="Times New Roman" w:cs="Times New Roman"/>
          <w:sz w:val="24"/>
          <w:szCs w:val="24"/>
        </w:rPr>
        <w:t>s</w:t>
      </w:r>
      <w:r w:rsidR="00254751" w:rsidRPr="00E6007E">
        <w:rPr>
          <w:rFonts w:ascii="Times New Roman" w:hAnsi="Times New Roman" w:cs="Times New Roman"/>
          <w:sz w:val="24"/>
          <w:szCs w:val="24"/>
        </w:rPr>
        <w:t xml:space="preserve"> familia</w:t>
      </w:r>
      <w:r>
        <w:rPr>
          <w:rFonts w:ascii="Times New Roman" w:hAnsi="Times New Roman" w:cs="Times New Roman"/>
          <w:sz w:val="24"/>
          <w:szCs w:val="24"/>
        </w:rPr>
        <w:t>s e</w:t>
      </w:r>
      <w:r w:rsidR="00254751" w:rsidRPr="00E6007E">
        <w:rPr>
          <w:rFonts w:ascii="Times New Roman" w:hAnsi="Times New Roman" w:cs="Times New Roman"/>
          <w:sz w:val="24"/>
          <w:szCs w:val="24"/>
        </w:rPr>
        <w:t xml:space="preserve"> infancias. Gobernar implica administrar una gama de técnicas y procedimientos destinados a dirigir/con</w:t>
      </w:r>
      <w:r>
        <w:rPr>
          <w:rFonts w:ascii="Times New Roman" w:hAnsi="Times New Roman" w:cs="Times New Roman"/>
          <w:sz w:val="24"/>
          <w:szCs w:val="24"/>
        </w:rPr>
        <w:t>ducir la conducta de otros. A saber</w:t>
      </w:r>
      <w:r w:rsidR="00254751" w:rsidRPr="00E6007E">
        <w:rPr>
          <w:rFonts w:ascii="Times New Roman" w:hAnsi="Times New Roman" w:cs="Times New Roman"/>
          <w:sz w:val="24"/>
          <w:szCs w:val="24"/>
        </w:rPr>
        <w:t>:</w:t>
      </w:r>
    </w:p>
    <w:p w:rsidR="00254751" w:rsidRPr="00E6007E" w:rsidRDefault="00254751" w:rsidP="00E6007E">
      <w:pPr>
        <w:autoSpaceDE w:val="0"/>
        <w:autoSpaceDN w:val="0"/>
        <w:adjustRightInd w:val="0"/>
        <w:spacing w:after="0" w:line="360" w:lineRule="auto"/>
        <w:ind w:left="709"/>
        <w:jc w:val="both"/>
        <w:rPr>
          <w:rFonts w:ascii="Times New Roman" w:hAnsi="Times New Roman" w:cs="Times New Roman"/>
          <w:sz w:val="24"/>
          <w:szCs w:val="24"/>
        </w:rPr>
      </w:pPr>
      <w:r w:rsidRPr="00E6007E">
        <w:rPr>
          <w:rFonts w:ascii="Times New Roman" w:hAnsi="Times New Roman" w:cs="Times New Roman"/>
          <w:color w:val="000000"/>
          <w:sz w:val="24"/>
          <w:szCs w:val="24"/>
        </w:rPr>
        <w:t>“</w:t>
      </w:r>
      <w:r w:rsidRPr="00E6007E">
        <w:rPr>
          <w:rFonts w:ascii="Times New Roman" w:hAnsi="Times New Roman" w:cs="Times New Roman"/>
          <w:sz w:val="24"/>
          <w:szCs w:val="24"/>
        </w:rPr>
        <w:t>La noción de “gobierno”, tal y como Michel Foucault la entiende, refiere al conjunto de dispositivos y acciones desplegados por el Estado pero no exclusivamente por él, con el fin de regular las conductas, esto es, las acciones, las representaciones y modos de ser de los hombres. Desde esta perspectiva teórica se visualiza el ejercicio de poder como un conjunto de acciones sobre las acciones de los otros, que opera incitando, induciendo, desviando, ampliando o limitando, y no exclusivamente restringiendo o impidiendo absolutamente (Foucault 2001,1056).” (Grinberg, 2015: 87)</w:t>
      </w:r>
    </w:p>
    <w:p w:rsidR="00254751" w:rsidRPr="00E6007E" w:rsidRDefault="00214BA3" w:rsidP="00E6007E">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E</w:t>
      </w:r>
      <w:r w:rsidR="00254751" w:rsidRPr="00E6007E">
        <w:rPr>
          <w:rFonts w:ascii="Times New Roman" w:hAnsi="Times New Roman" w:cs="Times New Roman"/>
          <w:sz w:val="24"/>
          <w:szCs w:val="24"/>
        </w:rPr>
        <w:t>l Si</w:t>
      </w:r>
      <w:r w:rsidR="009A2B6E">
        <w:rPr>
          <w:rFonts w:ascii="Times New Roman" w:hAnsi="Times New Roman" w:cs="Times New Roman"/>
          <w:sz w:val="24"/>
          <w:szCs w:val="24"/>
        </w:rPr>
        <w:t>stema de Protección de Derechos ocupa un lugar central</w:t>
      </w:r>
      <w:r>
        <w:rPr>
          <w:rFonts w:ascii="Times New Roman" w:hAnsi="Times New Roman" w:cs="Times New Roman"/>
          <w:sz w:val="24"/>
          <w:szCs w:val="24"/>
        </w:rPr>
        <w:t xml:space="preserve"> en la</w:t>
      </w:r>
      <w:r w:rsidR="00254751" w:rsidRPr="00E6007E">
        <w:rPr>
          <w:rFonts w:ascii="Times New Roman" w:hAnsi="Times New Roman" w:cs="Times New Roman"/>
          <w:sz w:val="24"/>
          <w:szCs w:val="24"/>
        </w:rPr>
        <w:t xml:space="preserve"> administración de la conducta de la población</w:t>
      </w:r>
      <w:r w:rsidR="0076144A">
        <w:rPr>
          <w:rFonts w:ascii="Times New Roman" w:hAnsi="Times New Roman" w:cs="Times New Roman"/>
          <w:sz w:val="24"/>
          <w:szCs w:val="24"/>
        </w:rPr>
        <w:t>.</w:t>
      </w:r>
      <w:r w:rsidR="00254751" w:rsidRPr="00E6007E">
        <w:rPr>
          <w:rFonts w:ascii="Times New Roman" w:hAnsi="Times New Roman" w:cs="Times New Roman"/>
          <w:sz w:val="24"/>
          <w:szCs w:val="24"/>
        </w:rPr>
        <w:t xml:space="preserve"> </w:t>
      </w:r>
      <w:r w:rsidR="0076144A">
        <w:rPr>
          <w:rFonts w:ascii="Times New Roman" w:hAnsi="Times New Roman" w:cs="Times New Roman"/>
          <w:sz w:val="24"/>
          <w:szCs w:val="24"/>
        </w:rPr>
        <w:t>E</w:t>
      </w:r>
      <w:r w:rsidR="00254751" w:rsidRPr="00E6007E">
        <w:rPr>
          <w:rFonts w:ascii="Times New Roman" w:hAnsi="Times New Roman" w:cs="Times New Roman"/>
          <w:sz w:val="24"/>
          <w:szCs w:val="24"/>
        </w:rPr>
        <w:t xml:space="preserve">l discurso de derechos </w:t>
      </w:r>
      <w:r w:rsidR="0076144A">
        <w:rPr>
          <w:rFonts w:ascii="Times New Roman" w:hAnsi="Times New Roman" w:cs="Times New Roman"/>
          <w:sz w:val="24"/>
          <w:szCs w:val="24"/>
        </w:rPr>
        <w:t>se sostiene desde la protección y a la vez,</w:t>
      </w:r>
      <w:r w:rsidR="00254751" w:rsidRPr="00E6007E">
        <w:rPr>
          <w:rFonts w:ascii="Times New Roman" w:hAnsi="Times New Roman" w:cs="Times New Roman"/>
          <w:sz w:val="24"/>
          <w:szCs w:val="24"/>
        </w:rPr>
        <w:t xml:space="preserve"> </w:t>
      </w:r>
      <w:r w:rsidR="0076144A">
        <w:rPr>
          <w:rFonts w:ascii="Times New Roman" w:hAnsi="Times New Roman" w:cs="Times New Roman"/>
          <w:sz w:val="24"/>
          <w:szCs w:val="24"/>
        </w:rPr>
        <w:t xml:space="preserve">contiene </w:t>
      </w:r>
      <w:r w:rsidR="00254751" w:rsidRPr="00E6007E">
        <w:rPr>
          <w:rFonts w:ascii="Times New Roman" w:hAnsi="Times New Roman" w:cs="Times New Roman"/>
          <w:sz w:val="24"/>
          <w:szCs w:val="24"/>
        </w:rPr>
        <w:t>las formas de gobierno de las familias de sectores populares</w:t>
      </w:r>
      <w:r w:rsidR="0076144A">
        <w:rPr>
          <w:rFonts w:ascii="Times New Roman" w:hAnsi="Times New Roman" w:cs="Times New Roman"/>
          <w:sz w:val="24"/>
          <w:szCs w:val="24"/>
        </w:rPr>
        <w:t xml:space="preserve"> (Villalta y Llobet, 2015)</w:t>
      </w:r>
      <w:r w:rsidR="00254751" w:rsidRPr="00E6007E">
        <w:rPr>
          <w:rFonts w:ascii="Times New Roman" w:hAnsi="Times New Roman" w:cs="Times New Roman"/>
          <w:sz w:val="24"/>
          <w:szCs w:val="24"/>
        </w:rPr>
        <w:t>.</w:t>
      </w:r>
      <w:r w:rsidR="0076144A">
        <w:rPr>
          <w:rFonts w:ascii="Times New Roman" w:hAnsi="Times New Roman" w:cs="Times New Roman"/>
          <w:sz w:val="24"/>
          <w:szCs w:val="24"/>
        </w:rPr>
        <w:t xml:space="preserve"> </w:t>
      </w:r>
      <w:r w:rsidR="005C05C0">
        <w:rPr>
          <w:rFonts w:ascii="Times New Roman" w:hAnsi="Times New Roman" w:cs="Times New Roman"/>
          <w:sz w:val="24"/>
          <w:szCs w:val="24"/>
        </w:rPr>
        <w:t xml:space="preserve">De esta manera, el control social y la protección se encuentran entrelazados, siendo el control social una faz invisible del SPID (Magistris, 2016). </w:t>
      </w:r>
    </w:p>
    <w:p w:rsidR="00956193" w:rsidRDefault="00956193" w:rsidP="00E6007E">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Desde la visión de las familias, los organismos de protección no son vistos como redes de apoyo sino como entidades de vigilancia (Unicef, 2020).</w:t>
      </w:r>
      <w:r w:rsidR="00254751" w:rsidRPr="00E6007E">
        <w:rPr>
          <w:rFonts w:ascii="Times New Roman" w:hAnsi="Times New Roman" w:cs="Times New Roman"/>
          <w:sz w:val="24"/>
          <w:szCs w:val="24"/>
        </w:rPr>
        <w:t xml:space="preserve"> </w:t>
      </w:r>
      <w:r>
        <w:rPr>
          <w:rFonts w:ascii="Times New Roman" w:hAnsi="Times New Roman" w:cs="Times New Roman"/>
          <w:sz w:val="24"/>
          <w:szCs w:val="24"/>
        </w:rPr>
        <w:t xml:space="preserve">Dada la </w:t>
      </w:r>
      <w:r w:rsidRPr="00E6007E">
        <w:rPr>
          <w:rFonts w:ascii="Times New Roman" w:hAnsi="Times New Roman" w:cs="Times New Roman"/>
          <w:sz w:val="24"/>
          <w:szCs w:val="24"/>
        </w:rPr>
        <w:t>escasez de recursos y programas orientados al fortalecimiento del rol familiar y la falta de acciones destinadas a la revinculación de los NNyA con sus familias -cuando han sido objeto de medidas de protección de tipo institucional-</w:t>
      </w:r>
      <w:r>
        <w:rPr>
          <w:rFonts w:ascii="Times New Roman" w:hAnsi="Times New Roman" w:cs="Times New Roman"/>
          <w:sz w:val="24"/>
          <w:szCs w:val="24"/>
        </w:rPr>
        <w:t xml:space="preserve">, los organismos de protección no son considerados como </w:t>
      </w:r>
      <w:r w:rsidRPr="00E6007E">
        <w:rPr>
          <w:rFonts w:ascii="Times New Roman" w:hAnsi="Times New Roman" w:cs="Times New Roman"/>
          <w:sz w:val="24"/>
          <w:szCs w:val="24"/>
        </w:rPr>
        <w:t>redes de apoyo para desplegar los cuidados hacia los NNyA, sino que son percibidos como instancias de control y castigo (U</w:t>
      </w:r>
      <w:r>
        <w:rPr>
          <w:rFonts w:ascii="Times New Roman" w:hAnsi="Times New Roman" w:cs="Times New Roman"/>
          <w:sz w:val="24"/>
          <w:szCs w:val="24"/>
        </w:rPr>
        <w:t>nicef</w:t>
      </w:r>
      <w:r w:rsidRPr="00E6007E">
        <w:rPr>
          <w:rFonts w:ascii="Times New Roman" w:hAnsi="Times New Roman" w:cs="Times New Roman"/>
          <w:sz w:val="24"/>
          <w:szCs w:val="24"/>
        </w:rPr>
        <w:t>, 2020).</w:t>
      </w:r>
    </w:p>
    <w:p w:rsidR="0040795C" w:rsidRDefault="0040795C" w:rsidP="00E6007E">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Dentro del gobierno de las familias, las medidas de protección pueden ser consideradas como </w:t>
      </w:r>
      <w:r w:rsidRPr="00E6007E">
        <w:rPr>
          <w:rFonts w:ascii="Times New Roman" w:hAnsi="Times New Roman" w:cs="Times New Roman"/>
          <w:sz w:val="24"/>
          <w:szCs w:val="24"/>
        </w:rPr>
        <w:t>“técnicas de gobier</w:t>
      </w:r>
      <w:r w:rsidR="00E47936">
        <w:rPr>
          <w:rFonts w:ascii="Times New Roman" w:hAnsi="Times New Roman" w:cs="Times New Roman"/>
          <w:sz w:val="24"/>
          <w:szCs w:val="24"/>
        </w:rPr>
        <w:t>no”</w:t>
      </w:r>
      <w:r w:rsidRPr="00E6007E">
        <w:rPr>
          <w:rFonts w:ascii="Times New Roman" w:hAnsi="Times New Roman" w:cs="Times New Roman"/>
          <w:sz w:val="24"/>
          <w:szCs w:val="24"/>
        </w:rPr>
        <w:t xml:space="preserve">, cuyo fin es conducir los comportamientos </w:t>
      </w:r>
      <w:r>
        <w:rPr>
          <w:rFonts w:ascii="Times New Roman" w:hAnsi="Times New Roman" w:cs="Times New Roman"/>
          <w:sz w:val="24"/>
          <w:szCs w:val="24"/>
        </w:rPr>
        <w:t>(Grinberg, 2008):</w:t>
      </w:r>
    </w:p>
    <w:p w:rsidR="00254751" w:rsidRPr="00E6007E" w:rsidRDefault="0040795C" w:rsidP="00E6007E">
      <w:pPr>
        <w:autoSpaceDE w:val="0"/>
        <w:autoSpaceDN w:val="0"/>
        <w:adjustRightInd w:val="0"/>
        <w:spacing w:line="360" w:lineRule="auto"/>
        <w:ind w:left="709"/>
        <w:jc w:val="both"/>
        <w:rPr>
          <w:rFonts w:ascii="Times New Roman" w:hAnsi="Times New Roman" w:cs="Times New Roman"/>
          <w:color w:val="231F20"/>
          <w:sz w:val="24"/>
          <w:szCs w:val="24"/>
        </w:rPr>
      </w:pPr>
      <w:r w:rsidRPr="00E6007E">
        <w:rPr>
          <w:rFonts w:ascii="Times New Roman" w:hAnsi="Times New Roman" w:cs="Times New Roman"/>
          <w:color w:val="231F20"/>
          <w:sz w:val="24"/>
          <w:szCs w:val="24"/>
        </w:rPr>
        <w:t xml:space="preserve"> </w:t>
      </w:r>
      <w:r w:rsidR="00254751" w:rsidRPr="00E6007E">
        <w:rPr>
          <w:rFonts w:ascii="Times New Roman" w:hAnsi="Times New Roman" w:cs="Times New Roman"/>
          <w:color w:val="231F20"/>
          <w:sz w:val="24"/>
          <w:szCs w:val="24"/>
        </w:rPr>
        <w:t>“El consejo amigable y la persuasión desplegados en las charlas, la derivación a tratamiento psicoterapéutico en sus forma de recomendación u obligación y la amenaza más o menos explícita de separar al chico de su familia, son algunas de las técnicas tendientes a “conducir” los comportamientos al interior de la familia y a promover, al mismo tiempo, una determinada moral familiar.”(Grinberg, 2008: 171)</w:t>
      </w:r>
    </w:p>
    <w:p w:rsidR="0040795C" w:rsidRDefault="00254751" w:rsidP="00E6007E">
      <w:pPr>
        <w:autoSpaceDE w:val="0"/>
        <w:autoSpaceDN w:val="0"/>
        <w:adjustRightInd w:val="0"/>
        <w:spacing w:line="360" w:lineRule="auto"/>
        <w:jc w:val="both"/>
        <w:rPr>
          <w:rFonts w:ascii="Times New Roman" w:hAnsi="Times New Roman" w:cs="Times New Roman"/>
          <w:color w:val="231F20"/>
          <w:sz w:val="24"/>
          <w:szCs w:val="24"/>
        </w:rPr>
      </w:pPr>
      <w:r w:rsidRPr="00E6007E">
        <w:rPr>
          <w:rFonts w:ascii="Times New Roman" w:hAnsi="Times New Roman" w:cs="Times New Roman"/>
          <w:color w:val="231F20"/>
          <w:sz w:val="24"/>
          <w:szCs w:val="24"/>
        </w:rPr>
        <w:t xml:space="preserve">En este sentido, la idea de una “moral familiar” supone valores y sentimientos sobre lo que debe ser una familia, la maternidad o la paternidad, así también una concepción de “niño en riesgo”(Grinberg, 2008). Del mismo modo, </w:t>
      </w:r>
      <w:r w:rsidR="0040795C">
        <w:rPr>
          <w:rFonts w:ascii="Times New Roman" w:hAnsi="Times New Roman" w:cs="Times New Roman"/>
          <w:color w:val="231F20"/>
          <w:sz w:val="24"/>
          <w:szCs w:val="24"/>
        </w:rPr>
        <w:t>las interpretaciones y significaciones que los agentes del SPID sostienen a la hora de tomar medidas de protección se basan en categorías morales</w:t>
      </w:r>
      <w:r w:rsidR="0040795C" w:rsidRPr="0040795C">
        <w:rPr>
          <w:rFonts w:ascii="Times New Roman" w:hAnsi="Times New Roman" w:cs="Times New Roman"/>
          <w:color w:val="231F20"/>
          <w:sz w:val="24"/>
          <w:szCs w:val="24"/>
        </w:rPr>
        <w:t xml:space="preserve"> </w:t>
      </w:r>
      <w:r w:rsidR="0040795C">
        <w:rPr>
          <w:rFonts w:ascii="Times New Roman" w:hAnsi="Times New Roman" w:cs="Times New Roman"/>
          <w:color w:val="231F20"/>
          <w:sz w:val="24"/>
          <w:szCs w:val="24"/>
        </w:rPr>
        <w:t>(</w:t>
      </w:r>
      <w:r w:rsidR="0040795C" w:rsidRPr="00E6007E">
        <w:rPr>
          <w:rFonts w:ascii="Times New Roman" w:hAnsi="Times New Roman" w:cs="Times New Roman"/>
          <w:color w:val="231F20"/>
          <w:sz w:val="24"/>
          <w:szCs w:val="24"/>
        </w:rPr>
        <w:t>Villalta y Llobet</w:t>
      </w:r>
      <w:r w:rsidR="0040795C">
        <w:rPr>
          <w:rFonts w:ascii="Times New Roman" w:hAnsi="Times New Roman" w:cs="Times New Roman"/>
          <w:color w:val="231F20"/>
          <w:sz w:val="24"/>
          <w:szCs w:val="24"/>
        </w:rPr>
        <w:t>,</w:t>
      </w:r>
      <w:r w:rsidR="0040795C" w:rsidRPr="00E6007E">
        <w:rPr>
          <w:rFonts w:ascii="Times New Roman" w:hAnsi="Times New Roman" w:cs="Times New Roman"/>
          <w:color w:val="231F20"/>
          <w:sz w:val="24"/>
          <w:szCs w:val="24"/>
        </w:rPr>
        <w:t xml:space="preserve"> 2015)</w:t>
      </w:r>
      <w:r w:rsidR="0040795C">
        <w:rPr>
          <w:rFonts w:ascii="Times New Roman" w:hAnsi="Times New Roman" w:cs="Times New Roman"/>
          <w:color w:val="231F20"/>
          <w:sz w:val="24"/>
          <w:szCs w:val="24"/>
        </w:rPr>
        <w:t>.</w:t>
      </w:r>
    </w:p>
    <w:p w:rsidR="00254751" w:rsidRPr="00E6007E" w:rsidRDefault="00254751" w:rsidP="00E6007E">
      <w:pPr>
        <w:spacing w:line="360" w:lineRule="auto"/>
        <w:jc w:val="both"/>
        <w:rPr>
          <w:rFonts w:ascii="Times New Roman" w:hAnsi="Times New Roman" w:cs="Times New Roman"/>
          <w:sz w:val="24"/>
          <w:szCs w:val="24"/>
        </w:rPr>
      </w:pPr>
      <w:r w:rsidRPr="00E6007E">
        <w:rPr>
          <w:rFonts w:ascii="Times New Roman" w:hAnsi="Times New Roman" w:cs="Times New Roman"/>
          <w:color w:val="231F20"/>
          <w:sz w:val="24"/>
          <w:szCs w:val="24"/>
        </w:rPr>
        <w:t xml:space="preserve">Dentro del Relevamiento que realiza la SENAF y UNICEF (2012) </w:t>
      </w:r>
      <w:r w:rsidRPr="00E6007E">
        <w:rPr>
          <w:rFonts w:ascii="Times New Roman" w:hAnsi="Times New Roman" w:cs="Times New Roman"/>
          <w:sz w:val="24"/>
          <w:szCs w:val="24"/>
        </w:rPr>
        <w:t xml:space="preserve">se </w:t>
      </w:r>
      <w:r w:rsidR="00E47936">
        <w:rPr>
          <w:rFonts w:ascii="Times New Roman" w:hAnsi="Times New Roman" w:cs="Times New Roman"/>
          <w:sz w:val="24"/>
          <w:szCs w:val="24"/>
        </w:rPr>
        <w:t xml:space="preserve">revelan </w:t>
      </w:r>
      <w:r w:rsidRPr="00E6007E">
        <w:rPr>
          <w:rFonts w:ascii="Times New Roman" w:hAnsi="Times New Roman" w:cs="Times New Roman"/>
          <w:sz w:val="24"/>
          <w:szCs w:val="24"/>
        </w:rPr>
        <w:t>como nudos problemáticos dos elementos: 1- la concepción de familia ideal en los funcionarios y equipos técnicos, sostenido un estereotipo único de familia alzado por formaciones universitarias en desconocimiento de las realidades comunitarias y formas diversas de familia</w:t>
      </w:r>
      <w:r w:rsidR="006E3D05">
        <w:rPr>
          <w:rFonts w:ascii="Times New Roman" w:hAnsi="Times New Roman" w:cs="Times New Roman"/>
          <w:sz w:val="24"/>
          <w:szCs w:val="24"/>
        </w:rPr>
        <w:t>s</w:t>
      </w:r>
      <w:r w:rsidRPr="00E6007E">
        <w:rPr>
          <w:rFonts w:ascii="Times New Roman" w:hAnsi="Times New Roman" w:cs="Times New Roman"/>
          <w:sz w:val="24"/>
          <w:szCs w:val="24"/>
        </w:rPr>
        <w:t xml:space="preserve">, lo que obstaculiza la intervención de calidad que visibilice las potencialidades de cada caso; 2- la tendencia al uso de rótulos y diagnósticos en informes que obstaculizan la comprensión integral de la vida del niño y su contexto. </w:t>
      </w:r>
    </w:p>
    <w:p w:rsidR="00AE09B3" w:rsidRDefault="00E47936" w:rsidP="00AE09B3">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231F20"/>
          <w:sz w:val="24"/>
          <w:szCs w:val="24"/>
        </w:rPr>
        <w:t>A</w:t>
      </w:r>
      <w:r w:rsidR="00254751" w:rsidRPr="00E6007E">
        <w:rPr>
          <w:rFonts w:ascii="Times New Roman" w:hAnsi="Times New Roman" w:cs="Times New Roman"/>
          <w:color w:val="231F20"/>
          <w:sz w:val="24"/>
          <w:szCs w:val="24"/>
        </w:rPr>
        <w:t xml:space="preserve"> partir de la década del ’70, las disciplinas “psi” se institucionalizaron como modos de conocimiento </w:t>
      </w:r>
      <w:r>
        <w:rPr>
          <w:rFonts w:ascii="Times New Roman" w:hAnsi="Times New Roman" w:cs="Times New Roman"/>
          <w:color w:val="231F20"/>
          <w:sz w:val="24"/>
          <w:szCs w:val="24"/>
        </w:rPr>
        <w:t xml:space="preserve">legitimados </w:t>
      </w:r>
      <w:r w:rsidR="00254751" w:rsidRPr="00E6007E">
        <w:rPr>
          <w:rFonts w:ascii="Times New Roman" w:hAnsi="Times New Roman" w:cs="Times New Roman"/>
          <w:color w:val="231F20"/>
          <w:sz w:val="24"/>
          <w:szCs w:val="24"/>
        </w:rPr>
        <w:t xml:space="preserve">en los dispositivos destinados a la niñez (Grinberg, 2013). </w:t>
      </w:r>
      <w:r w:rsidR="00254751" w:rsidRPr="00E6007E">
        <w:rPr>
          <w:rFonts w:ascii="Times New Roman" w:hAnsi="Times New Roman" w:cs="Times New Roman"/>
          <w:sz w:val="24"/>
          <w:szCs w:val="24"/>
        </w:rPr>
        <w:t>Llobet (2009) afirma que las interpretaciones en pugna por la hegemonía del tratamiento de la cuestión social de la infancia plantean una tensión en tanto articulan el discurso de derechos con perspectivas psicologistas, individualistas y morales que contrarían la propia perspectiva de derechos. Propone el concepto de “psicologiza</w:t>
      </w:r>
      <w:r w:rsidR="00295123">
        <w:rPr>
          <w:rFonts w:ascii="Times New Roman" w:hAnsi="Times New Roman" w:cs="Times New Roman"/>
          <w:sz w:val="24"/>
          <w:szCs w:val="24"/>
        </w:rPr>
        <w:t>ción” para</w:t>
      </w:r>
      <w:r w:rsidR="00254751" w:rsidRPr="00E6007E">
        <w:rPr>
          <w:rFonts w:ascii="Times New Roman" w:hAnsi="Times New Roman" w:cs="Times New Roman"/>
          <w:sz w:val="24"/>
          <w:szCs w:val="24"/>
        </w:rPr>
        <w:t xml:space="preserve"> da</w:t>
      </w:r>
      <w:r w:rsidR="00295123">
        <w:rPr>
          <w:rFonts w:ascii="Times New Roman" w:hAnsi="Times New Roman" w:cs="Times New Roman"/>
          <w:sz w:val="24"/>
          <w:szCs w:val="24"/>
        </w:rPr>
        <w:t>r</w:t>
      </w:r>
      <w:r w:rsidR="00254751" w:rsidRPr="00E6007E">
        <w:rPr>
          <w:rFonts w:ascii="Times New Roman" w:hAnsi="Times New Roman" w:cs="Times New Roman"/>
          <w:sz w:val="24"/>
          <w:szCs w:val="24"/>
        </w:rPr>
        <w:t xml:space="preserve"> cuenta de la reducción </w:t>
      </w:r>
      <w:r w:rsidR="00295123">
        <w:rPr>
          <w:rFonts w:ascii="Times New Roman" w:hAnsi="Times New Roman" w:cs="Times New Roman"/>
          <w:sz w:val="24"/>
          <w:szCs w:val="24"/>
        </w:rPr>
        <w:t xml:space="preserve">de </w:t>
      </w:r>
      <w:r w:rsidR="00295123" w:rsidRPr="00E6007E">
        <w:rPr>
          <w:rFonts w:ascii="Times New Roman" w:hAnsi="Times New Roman" w:cs="Times New Roman"/>
          <w:sz w:val="24"/>
          <w:szCs w:val="24"/>
        </w:rPr>
        <w:t xml:space="preserve">fenómenos sociales más amplios </w:t>
      </w:r>
      <w:r w:rsidR="00254751" w:rsidRPr="00E6007E">
        <w:rPr>
          <w:rFonts w:ascii="Times New Roman" w:hAnsi="Times New Roman" w:cs="Times New Roman"/>
          <w:sz w:val="24"/>
          <w:szCs w:val="24"/>
        </w:rPr>
        <w:t>a</w:t>
      </w:r>
      <w:r w:rsidR="00295123">
        <w:rPr>
          <w:rFonts w:ascii="Times New Roman" w:hAnsi="Times New Roman" w:cs="Times New Roman"/>
          <w:sz w:val="24"/>
          <w:szCs w:val="24"/>
        </w:rPr>
        <w:t xml:space="preserve"> una explicación psicológica que sirve a l</w:t>
      </w:r>
      <w:r w:rsidR="00254751" w:rsidRPr="00E6007E">
        <w:rPr>
          <w:rFonts w:ascii="Times New Roman" w:hAnsi="Times New Roman" w:cs="Times New Roman"/>
          <w:sz w:val="24"/>
          <w:szCs w:val="24"/>
        </w:rPr>
        <w:t xml:space="preserve">a descontextualización de los problemas de las infancias. </w:t>
      </w:r>
      <w:r w:rsidR="00AE09B3">
        <w:rPr>
          <w:rFonts w:ascii="Times New Roman" w:hAnsi="Times New Roman" w:cs="Times New Roman"/>
          <w:color w:val="000000"/>
          <w:sz w:val="24"/>
          <w:szCs w:val="24"/>
        </w:rPr>
        <w:t>Esta tendencia a la p</w:t>
      </w:r>
      <w:r w:rsidR="00AE09B3" w:rsidRPr="00E6007E">
        <w:rPr>
          <w:rFonts w:ascii="Times New Roman" w:hAnsi="Times New Roman" w:cs="Times New Roman"/>
          <w:color w:val="000000"/>
          <w:sz w:val="24"/>
          <w:szCs w:val="24"/>
        </w:rPr>
        <w:t>sicologiz</w:t>
      </w:r>
      <w:r w:rsidR="00AE09B3">
        <w:rPr>
          <w:rFonts w:ascii="Times New Roman" w:hAnsi="Times New Roman" w:cs="Times New Roman"/>
          <w:color w:val="000000"/>
          <w:sz w:val="24"/>
          <w:szCs w:val="24"/>
        </w:rPr>
        <w:t>ación de los problemas sociales</w:t>
      </w:r>
      <w:r w:rsidR="00AE09B3" w:rsidRPr="00E6007E">
        <w:rPr>
          <w:rFonts w:ascii="Times New Roman" w:hAnsi="Times New Roman" w:cs="Times New Roman"/>
          <w:color w:val="000000"/>
          <w:sz w:val="24"/>
          <w:szCs w:val="24"/>
        </w:rPr>
        <w:t xml:space="preserve"> </w:t>
      </w:r>
      <w:r w:rsidR="00AE09B3">
        <w:rPr>
          <w:rFonts w:ascii="Times New Roman" w:hAnsi="Times New Roman" w:cs="Times New Roman"/>
          <w:color w:val="000000"/>
          <w:sz w:val="24"/>
          <w:szCs w:val="24"/>
        </w:rPr>
        <w:t xml:space="preserve">implica </w:t>
      </w:r>
      <w:r w:rsidR="00AE09B3" w:rsidRPr="00E6007E">
        <w:rPr>
          <w:rFonts w:ascii="Times New Roman" w:hAnsi="Times New Roman" w:cs="Times New Roman"/>
          <w:color w:val="000000"/>
          <w:sz w:val="24"/>
          <w:szCs w:val="24"/>
        </w:rPr>
        <w:t xml:space="preserve">tratar una única variable como explicativa de un </w:t>
      </w:r>
      <w:r w:rsidR="00AE09B3" w:rsidRPr="00E6007E">
        <w:rPr>
          <w:rFonts w:ascii="Times New Roman" w:hAnsi="Times New Roman" w:cs="Times New Roman"/>
          <w:color w:val="000000"/>
          <w:sz w:val="24"/>
          <w:szCs w:val="24"/>
        </w:rPr>
        <w:lastRenderedPageBreak/>
        <w:t xml:space="preserve">fenómeno social, </w:t>
      </w:r>
      <w:r w:rsidR="00AE09B3">
        <w:rPr>
          <w:rFonts w:ascii="Times New Roman" w:hAnsi="Times New Roman" w:cs="Times New Roman"/>
          <w:color w:val="000000"/>
          <w:sz w:val="24"/>
          <w:szCs w:val="24"/>
        </w:rPr>
        <w:t xml:space="preserve">donde </w:t>
      </w:r>
      <w:r w:rsidR="00AE09B3" w:rsidRPr="00E6007E">
        <w:rPr>
          <w:rFonts w:ascii="Times New Roman" w:hAnsi="Times New Roman" w:cs="Times New Roman"/>
          <w:color w:val="000000"/>
          <w:sz w:val="24"/>
          <w:szCs w:val="24"/>
        </w:rPr>
        <w:t>se interpretan situaciones de vulnerabilidad poblacional a partir de diagnósticos de disfuncionalidad familiar</w:t>
      </w:r>
      <w:r w:rsidR="00AE09B3">
        <w:rPr>
          <w:rFonts w:ascii="Times New Roman" w:hAnsi="Times New Roman" w:cs="Times New Roman"/>
          <w:color w:val="000000"/>
          <w:sz w:val="24"/>
          <w:szCs w:val="24"/>
        </w:rPr>
        <w:t xml:space="preserve"> (Llobet, 2009). </w:t>
      </w:r>
    </w:p>
    <w:p w:rsidR="00507A0B" w:rsidRPr="00E6007E" w:rsidRDefault="00AE09B3" w:rsidP="00507A0B">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Este planteo</w:t>
      </w:r>
      <w:r w:rsidR="00254751" w:rsidRPr="00E6007E">
        <w:rPr>
          <w:rFonts w:ascii="Times New Roman" w:hAnsi="Times New Roman" w:cs="Times New Roman"/>
          <w:sz w:val="24"/>
          <w:szCs w:val="24"/>
        </w:rPr>
        <w:t xml:space="preserve"> se encuentra en convergencia con la preocupación de SENAF-UNICEF (2012) sobre los informes técnicos que hacen un uso abusivo de etiquetas diagnósticas sin considerar las circunstancias en las que se encuentra el niño o niña.</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En </w:t>
      </w:r>
      <w:r w:rsidR="00507A0B" w:rsidRPr="00E6007E">
        <w:rPr>
          <w:rFonts w:ascii="Times New Roman" w:hAnsi="Times New Roman" w:cs="Times New Roman"/>
          <w:color w:val="000000"/>
          <w:sz w:val="24"/>
          <w:szCs w:val="24"/>
        </w:rPr>
        <w:t>un contexto de medicalización de la infancia</w:t>
      </w:r>
      <w:r>
        <w:rPr>
          <w:rFonts w:ascii="Times New Roman" w:hAnsi="Times New Roman" w:cs="Times New Roman"/>
          <w:color w:val="000000"/>
          <w:sz w:val="24"/>
          <w:szCs w:val="24"/>
        </w:rPr>
        <w:t xml:space="preserve">, </w:t>
      </w:r>
      <w:r w:rsidR="00507A0B" w:rsidRPr="00E6007E">
        <w:rPr>
          <w:rFonts w:ascii="Times New Roman" w:hAnsi="Times New Roman" w:cs="Times New Roman"/>
          <w:color w:val="000000"/>
          <w:sz w:val="24"/>
          <w:szCs w:val="24"/>
        </w:rPr>
        <w:t xml:space="preserve">en el campo de </w:t>
      </w:r>
      <w:r>
        <w:rPr>
          <w:rFonts w:ascii="Times New Roman" w:hAnsi="Times New Roman" w:cs="Times New Roman"/>
          <w:color w:val="000000"/>
          <w:sz w:val="24"/>
          <w:szCs w:val="24"/>
        </w:rPr>
        <w:t>la salud mental se promueve</w:t>
      </w:r>
      <w:r w:rsidR="00507A0B" w:rsidRPr="00E6007E">
        <w:rPr>
          <w:rFonts w:ascii="Times New Roman" w:hAnsi="Times New Roman" w:cs="Times New Roman"/>
          <w:color w:val="000000"/>
          <w:sz w:val="24"/>
          <w:szCs w:val="24"/>
        </w:rPr>
        <w:t xml:space="preserve"> la psicopatologización del sufrimiento infantil (Mi</w:t>
      </w:r>
      <w:r>
        <w:rPr>
          <w:rFonts w:ascii="Times New Roman" w:hAnsi="Times New Roman" w:cs="Times New Roman"/>
          <w:color w:val="000000"/>
          <w:sz w:val="24"/>
          <w:szCs w:val="24"/>
        </w:rPr>
        <w:t>chalewicz, 2011; Barcala, 2019).</w:t>
      </w:r>
      <w:r w:rsidR="00507A0B" w:rsidRPr="00E600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 puede</w:t>
      </w:r>
      <w:r w:rsidR="00507A0B" w:rsidRPr="00E6007E">
        <w:rPr>
          <w:rFonts w:ascii="Times New Roman" w:hAnsi="Times New Roman" w:cs="Times New Roman"/>
          <w:color w:val="000000"/>
          <w:sz w:val="24"/>
          <w:szCs w:val="24"/>
        </w:rPr>
        <w:t xml:space="preserve"> intuir que: “</w:t>
      </w:r>
      <w:r w:rsidR="00507A0B" w:rsidRPr="00E6007E">
        <w:rPr>
          <w:rFonts w:ascii="Times New Roman" w:hAnsi="Times New Roman" w:cs="Times New Roman"/>
          <w:iCs/>
          <w:sz w:val="24"/>
          <w:szCs w:val="24"/>
        </w:rPr>
        <w:t>Existe el riesgo que la tutela del patronato, que se deslegitimó frente al paradigma de la protección integral de derechos, retorne bajo el disfraz de la atención psiquiátrico psicológica</w:t>
      </w:r>
      <w:r w:rsidR="00507A0B" w:rsidRPr="00E6007E">
        <w:rPr>
          <w:rFonts w:ascii="Times New Roman" w:hAnsi="Times New Roman" w:cs="Times New Roman"/>
          <w:sz w:val="24"/>
          <w:szCs w:val="24"/>
        </w:rPr>
        <w:t xml:space="preserve">” (Stolkiner, 2009). </w:t>
      </w:r>
    </w:p>
    <w:p w:rsidR="00406C23" w:rsidRDefault="00EC15AC" w:rsidP="00E6007E">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254751" w:rsidRPr="00E6007E">
        <w:rPr>
          <w:rFonts w:ascii="Times New Roman" w:hAnsi="Times New Roman" w:cs="Times New Roman"/>
          <w:sz w:val="24"/>
          <w:szCs w:val="24"/>
        </w:rPr>
        <w:t xml:space="preserve">s interesante el aporte de Didier Fassin </w:t>
      </w:r>
      <w:r w:rsidR="00CA02AA">
        <w:rPr>
          <w:rFonts w:ascii="Times New Roman" w:hAnsi="Times New Roman" w:cs="Times New Roman"/>
          <w:sz w:val="24"/>
          <w:szCs w:val="24"/>
        </w:rPr>
        <w:t xml:space="preserve">(2003) </w:t>
      </w:r>
      <w:r w:rsidR="00254751" w:rsidRPr="00E6007E">
        <w:rPr>
          <w:rFonts w:ascii="Times New Roman" w:hAnsi="Times New Roman" w:cs="Times New Roman"/>
          <w:sz w:val="24"/>
          <w:szCs w:val="24"/>
        </w:rPr>
        <w:t>quien propone en su tesis una política del su</w:t>
      </w:r>
      <w:r w:rsidR="00CA02AA">
        <w:rPr>
          <w:rFonts w:ascii="Times New Roman" w:hAnsi="Times New Roman" w:cs="Times New Roman"/>
          <w:sz w:val="24"/>
          <w:szCs w:val="24"/>
        </w:rPr>
        <w:t>frimiento que implica un doble movimiento:</w:t>
      </w:r>
      <w:r w:rsidR="00254751" w:rsidRPr="00E6007E">
        <w:rPr>
          <w:rFonts w:ascii="Times New Roman" w:hAnsi="Times New Roman" w:cs="Times New Roman"/>
          <w:sz w:val="24"/>
          <w:szCs w:val="24"/>
        </w:rPr>
        <w:t xml:space="preserve"> de psicologización, como experiencia subjetiva de un dolor moral, y </w:t>
      </w:r>
      <w:r w:rsidR="00CA02AA">
        <w:rPr>
          <w:rFonts w:ascii="Times New Roman" w:hAnsi="Times New Roman" w:cs="Times New Roman"/>
          <w:sz w:val="24"/>
          <w:szCs w:val="24"/>
        </w:rPr>
        <w:t xml:space="preserve">de </w:t>
      </w:r>
      <w:r w:rsidR="00254751" w:rsidRPr="00E6007E">
        <w:rPr>
          <w:rFonts w:ascii="Times New Roman" w:hAnsi="Times New Roman" w:cs="Times New Roman"/>
          <w:sz w:val="24"/>
          <w:szCs w:val="24"/>
        </w:rPr>
        <w:t>individuación en tanto focalización de una realidad colectiva en un individuo y su intim</w:t>
      </w:r>
      <w:r w:rsidR="00CA02AA">
        <w:rPr>
          <w:rFonts w:ascii="Times New Roman" w:hAnsi="Times New Roman" w:cs="Times New Roman"/>
          <w:sz w:val="24"/>
          <w:szCs w:val="24"/>
        </w:rPr>
        <w:t>idad, bajo su historia singular.</w:t>
      </w:r>
      <w:r w:rsidR="00406C23">
        <w:rPr>
          <w:rFonts w:ascii="Times New Roman" w:hAnsi="Times New Roman" w:cs="Times New Roman"/>
          <w:sz w:val="24"/>
          <w:szCs w:val="24"/>
        </w:rPr>
        <w:t xml:space="preserve"> En la</w:t>
      </w:r>
      <w:r w:rsidR="00295123">
        <w:rPr>
          <w:rFonts w:ascii="Times New Roman" w:hAnsi="Times New Roman" w:cs="Times New Roman"/>
          <w:sz w:val="24"/>
          <w:szCs w:val="24"/>
        </w:rPr>
        <w:t xml:space="preserve"> política pública</w:t>
      </w:r>
      <w:r w:rsidR="00406C23">
        <w:rPr>
          <w:rFonts w:ascii="Times New Roman" w:hAnsi="Times New Roman" w:cs="Times New Roman"/>
          <w:sz w:val="24"/>
          <w:szCs w:val="24"/>
        </w:rPr>
        <w:t xml:space="preserve">, </w:t>
      </w:r>
      <w:r w:rsidR="00B52C58">
        <w:rPr>
          <w:rFonts w:ascii="Times New Roman" w:hAnsi="Times New Roman" w:cs="Times New Roman"/>
          <w:sz w:val="24"/>
          <w:szCs w:val="24"/>
        </w:rPr>
        <w:t>el autor identifica como</w:t>
      </w:r>
      <w:r w:rsidR="00406C23">
        <w:rPr>
          <w:rFonts w:ascii="Times New Roman" w:hAnsi="Times New Roman" w:cs="Times New Roman"/>
          <w:sz w:val="24"/>
          <w:szCs w:val="24"/>
        </w:rPr>
        <w:t xml:space="preserve"> respuesta a los pro</w:t>
      </w:r>
      <w:r w:rsidR="00B52C58">
        <w:rPr>
          <w:rFonts w:ascii="Times New Roman" w:hAnsi="Times New Roman" w:cs="Times New Roman"/>
          <w:sz w:val="24"/>
          <w:szCs w:val="24"/>
        </w:rPr>
        <w:t>blemas de los sectores pobres,</w:t>
      </w:r>
      <w:r w:rsidR="00295123">
        <w:rPr>
          <w:rFonts w:ascii="Times New Roman" w:hAnsi="Times New Roman" w:cs="Times New Roman"/>
          <w:sz w:val="24"/>
          <w:szCs w:val="24"/>
        </w:rPr>
        <w:t xml:space="preserve"> </w:t>
      </w:r>
      <w:r w:rsidR="00254751" w:rsidRPr="00E6007E">
        <w:rPr>
          <w:rFonts w:ascii="Times New Roman" w:hAnsi="Times New Roman" w:cs="Times New Roman"/>
          <w:sz w:val="24"/>
          <w:szCs w:val="24"/>
        </w:rPr>
        <w:t>la creación de dispositivos orientados a la escucha del s</w:t>
      </w:r>
      <w:r w:rsidR="00406C23">
        <w:rPr>
          <w:rFonts w:ascii="Times New Roman" w:hAnsi="Times New Roman" w:cs="Times New Roman"/>
          <w:sz w:val="24"/>
          <w:szCs w:val="24"/>
        </w:rPr>
        <w:t>ufrimiento, sin proponer una mejora en las condiciones de su existencia (Fassin, 2003)</w:t>
      </w:r>
      <w:r w:rsidR="00295123">
        <w:rPr>
          <w:rFonts w:ascii="Times New Roman" w:hAnsi="Times New Roman" w:cs="Times New Roman"/>
          <w:sz w:val="24"/>
          <w:szCs w:val="24"/>
        </w:rPr>
        <w:t xml:space="preserve">. </w:t>
      </w:r>
    </w:p>
    <w:p w:rsidR="00254751" w:rsidRPr="003841C7" w:rsidRDefault="003841C7" w:rsidP="00E6007E">
      <w:pPr>
        <w:shd w:val="clear" w:color="auto" w:fill="FFFFFF"/>
        <w:spacing w:after="240" w:line="360" w:lineRule="auto"/>
        <w:rPr>
          <w:rFonts w:ascii="Times New Roman" w:eastAsia="Times New Roman" w:hAnsi="Times New Roman" w:cs="Times New Roman"/>
          <w:b/>
          <w:color w:val="222222"/>
          <w:sz w:val="24"/>
          <w:szCs w:val="24"/>
          <w:lang w:eastAsia="es-AR"/>
        </w:rPr>
      </w:pPr>
      <w:r>
        <w:rPr>
          <w:rFonts w:ascii="Times New Roman" w:eastAsia="Times New Roman" w:hAnsi="Times New Roman" w:cs="Times New Roman"/>
          <w:b/>
          <w:color w:val="222222"/>
          <w:sz w:val="24"/>
          <w:szCs w:val="24"/>
          <w:lang w:eastAsia="es-AR"/>
        </w:rPr>
        <w:t>Los h</w:t>
      </w:r>
      <w:r w:rsidR="00EC15AC" w:rsidRPr="003841C7">
        <w:rPr>
          <w:rFonts w:ascii="Times New Roman" w:eastAsia="Times New Roman" w:hAnsi="Times New Roman" w:cs="Times New Roman"/>
          <w:b/>
          <w:color w:val="222222"/>
          <w:sz w:val="24"/>
          <w:szCs w:val="24"/>
          <w:lang w:eastAsia="es-AR"/>
        </w:rPr>
        <w:t>allazgos de la investigación</w:t>
      </w:r>
    </w:p>
    <w:p w:rsidR="00DF0A85" w:rsidRPr="00E6007E" w:rsidRDefault="00DF0A85" w:rsidP="00E6007E">
      <w:pPr>
        <w:spacing w:line="360" w:lineRule="auto"/>
        <w:jc w:val="both"/>
        <w:rPr>
          <w:rFonts w:ascii="Times New Roman" w:hAnsi="Times New Roman" w:cs="Times New Roman"/>
          <w:sz w:val="24"/>
          <w:szCs w:val="24"/>
        </w:rPr>
      </w:pPr>
      <w:r w:rsidRPr="00E6007E">
        <w:rPr>
          <w:rFonts w:ascii="Times New Roman" w:hAnsi="Times New Roman" w:cs="Times New Roman"/>
          <w:sz w:val="24"/>
          <w:szCs w:val="24"/>
        </w:rPr>
        <w:t>En el Municipio de Lanús existen 8 Servicios Locales de Promoción y Protección de Derechos. Durante el período estudiado, ha habido cambios en la conformación de los equipos de trabajo en algunos Servicios Locales, redistribución de trabajadores y asignación de nuevos espacios.</w:t>
      </w:r>
      <w:r w:rsidR="00E27C70">
        <w:rPr>
          <w:rFonts w:ascii="Times New Roman" w:hAnsi="Times New Roman" w:cs="Times New Roman"/>
          <w:sz w:val="24"/>
          <w:szCs w:val="24"/>
        </w:rPr>
        <w:t xml:space="preserve"> Se ha registrado una amplitud </w:t>
      </w:r>
      <w:r w:rsidRPr="00E6007E">
        <w:rPr>
          <w:rFonts w:ascii="Times New Roman" w:hAnsi="Times New Roman" w:cs="Times New Roman"/>
          <w:sz w:val="24"/>
          <w:szCs w:val="24"/>
        </w:rPr>
        <w:t>en la cantidad de solicitudes de intervención realizadas por cada uno que se detallan en el siguiente cuadro:</w:t>
      </w:r>
    </w:p>
    <w:tbl>
      <w:tblPr>
        <w:tblW w:w="0" w:type="dxa"/>
        <w:jc w:val="center"/>
        <w:tblCellSpacing w:w="0" w:type="dxa"/>
        <w:tblCellMar>
          <w:left w:w="0" w:type="dxa"/>
          <w:right w:w="0" w:type="dxa"/>
        </w:tblCellMar>
        <w:tblLook w:val="04A0"/>
      </w:tblPr>
      <w:tblGrid>
        <w:gridCol w:w="1937"/>
        <w:gridCol w:w="1327"/>
      </w:tblGrid>
      <w:tr w:rsidR="00DF0A85" w:rsidRPr="00E755F3" w:rsidTr="00A82708">
        <w:trPr>
          <w:trHeight w:val="300"/>
          <w:tblCellSpacing w:w="0" w:type="dxa"/>
          <w:jc w:val="center"/>
        </w:trPr>
        <w:tc>
          <w:tcPr>
            <w:tcW w:w="0" w:type="auto"/>
            <w:tcBorders>
              <w:bottom w:val="single" w:sz="18" w:space="0" w:color="657BA3"/>
            </w:tcBorders>
            <w:shd w:val="clear" w:color="auto" w:fill="D8DEE8"/>
            <w:tcMar>
              <w:top w:w="0" w:type="dxa"/>
              <w:left w:w="45" w:type="dxa"/>
              <w:bottom w:w="0" w:type="dxa"/>
              <w:right w:w="45" w:type="dxa"/>
            </w:tcMar>
            <w:vAlign w:val="center"/>
            <w:hideMark/>
          </w:tcPr>
          <w:p w:rsidR="00DF0A85" w:rsidRPr="00E755F3" w:rsidRDefault="00DF0A85" w:rsidP="00C97509">
            <w:pPr>
              <w:spacing w:after="0"/>
              <w:jc w:val="center"/>
              <w:rPr>
                <w:rFonts w:ascii="Calibri" w:eastAsia="Times New Roman" w:hAnsi="Calibri" w:cs="Calibri"/>
                <w:i/>
                <w:iCs/>
                <w:color w:val="000000"/>
                <w:lang w:eastAsia="es-AR"/>
              </w:rPr>
            </w:pPr>
            <w:r w:rsidRPr="00E755F3">
              <w:rPr>
                <w:rFonts w:ascii="Calibri" w:eastAsia="Times New Roman" w:hAnsi="Calibri" w:cs="Calibri"/>
                <w:i/>
                <w:iCs/>
                <w:color w:val="000000"/>
                <w:lang w:eastAsia="es-AR"/>
              </w:rPr>
              <w:t>Servicio Local</w:t>
            </w:r>
          </w:p>
        </w:tc>
        <w:tc>
          <w:tcPr>
            <w:tcW w:w="0" w:type="auto"/>
            <w:tcBorders>
              <w:bottom w:val="single" w:sz="18" w:space="0" w:color="657BA3"/>
            </w:tcBorders>
            <w:shd w:val="clear" w:color="auto" w:fill="657BA3"/>
            <w:tcMar>
              <w:top w:w="0" w:type="dxa"/>
              <w:left w:w="45" w:type="dxa"/>
              <w:bottom w:w="0" w:type="dxa"/>
              <w:right w:w="45" w:type="dxa"/>
            </w:tcMar>
            <w:vAlign w:val="center"/>
            <w:hideMark/>
          </w:tcPr>
          <w:p w:rsidR="00DF0A85" w:rsidRDefault="00DF0A85" w:rsidP="00C97509">
            <w:pPr>
              <w:spacing w:after="0"/>
              <w:jc w:val="center"/>
              <w:rPr>
                <w:rFonts w:ascii="Calibri" w:eastAsia="Times New Roman" w:hAnsi="Calibri" w:cs="Calibri"/>
                <w:color w:val="FFFFFF"/>
                <w:lang w:eastAsia="es-AR"/>
              </w:rPr>
            </w:pPr>
            <w:r w:rsidRPr="00E755F3">
              <w:rPr>
                <w:rFonts w:ascii="Calibri" w:eastAsia="Times New Roman" w:hAnsi="Calibri" w:cs="Calibri"/>
                <w:color w:val="FFFFFF"/>
                <w:lang w:eastAsia="es-AR"/>
              </w:rPr>
              <w:t>Solicitudes de</w:t>
            </w:r>
          </w:p>
          <w:p w:rsidR="00DF0A85" w:rsidRPr="00E755F3" w:rsidRDefault="00DF0A85" w:rsidP="00C97509">
            <w:pPr>
              <w:spacing w:after="0"/>
              <w:jc w:val="center"/>
              <w:rPr>
                <w:rFonts w:ascii="Calibri" w:eastAsia="Times New Roman" w:hAnsi="Calibri" w:cs="Calibri"/>
                <w:color w:val="FFFFFF"/>
                <w:lang w:eastAsia="es-AR"/>
              </w:rPr>
            </w:pPr>
            <w:r w:rsidRPr="00E755F3">
              <w:rPr>
                <w:rFonts w:ascii="Calibri" w:eastAsia="Times New Roman" w:hAnsi="Calibri" w:cs="Calibri"/>
                <w:color w:val="FFFFFF"/>
                <w:lang w:eastAsia="es-AR"/>
              </w:rPr>
              <w:t xml:space="preserve"> intervención</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Pr>
                <w:rFonts w:ascii="Calibri" w:eastAsia="Times New Roman" w:hAnsi="Calibri" w:cs="Calibri"/>
                <w:color w:val="000000"/>
                <w:lang w:eastAsia="es-AR"/>
              </w:rPr>
              <w:t xml:space="preserve">Valentín </w:t>
            </w:r>
            <w:r w:rsidRPr="00E755F3">
              <w:rPr>
                <w:rFonts w:ascii="Calibri" w:eastAsia="Times New Roman" w:hAnsi="Calibri" w:cs="Calibri"/>
                <w:color w:val="000000"/>
                <w:lang w:eastAsia="es-AR"/>
              </w:rPr>
              <w:t>Alsina</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5</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Pr>
                <w:rFonts w:ascii="Calibri" w:eastAsia="Times New Roman" w:hAnsi="Calibri" w:cs="Calibri"/>
                <w:color w:val="000000"/>
                <w:lang w:eastAsia="es-AR"/>
              </w:rPr>
              <w:t xml:space="preserve">Ramón </w:t>
            </w:r>
            <w:r w:rsidRPr="00E755F3">
              <w:rPr>
                <w:rFonts w:ascii="Calibri" w:eastAsia="Times New Roman" w:hAnsi="Calibri" w:cs="Calibri"/>
                <w:color w:val="000000"/>
                <w:lang w:eastAsia="es-AR"/>
              </w:rPr>
              <w:t>Carrillo</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3</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sidRPr="00E755F3">
              <w:rPr>
                <w:rFonts w:ascii="Calibri" w:eastAsia="Times New Roman" w:hAnsi="Calibri" w:cs="Calibri"/>
                <w:color w:val="000000"/>
                <w:lang w:eastAsia="es-AR"/>
              </w:rPr>
              <w:t>Chingolo</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3</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Pr>
                <w:rFonts w:ascii="Calibri" w:eastAsia="Times New Roman" w:hAnsi="Calibri" w:cs="Calibri"/>
                <w:color w:val="000000"/>
                <w:lang w:eastAsia="es-AR"/>
              </w:rPr>
              <w:t xml:space="preserve">Arturo </w:t>
            </w:r>
            <w:r w:rsidRPr="00E755F3">
              <w:rPr>
                <w:rFonts w:ascii="Calibri" w:eastAsia="Times New Roman" w:hAnsi="Calibri" w:cs="Calibri"/>
                <w:color w:val="000000"/>
                <w:lang w:eastAsia="es-AR"/>
              </w:rPr>
              <w:t>Illia</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8</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sidRPr="00E755F3">
              <w:rPr>
                <w:rFonts w:ascii="Calibri" w:eastAsia="Times New Roman" w:hAnsi="Calibri" w:cs="Calibri"/>
                <w:color w:val="000000"/>
                <w:lang w:eastAsia="es-AR"/>
              </w:rPr>
              <w:t>La Fe</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5</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sidRPr="00E755F3">
              <w:rPr>
                <w:rFonts w:ascii="Calibri" w:eastAsia="Times New Roman" w:hAnsi="Calibri" w:cs="Calibri"/>
                <w:color w:val="000000"/>
                <w:lang w:eastAsia="es-AR"/>
              </w:rPr>
              <w:lastRenderedPageBreak/>
              <w:t>Los Ceibos</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10</w:t>
            </w:r>
          </w:p>
        </w:tc>
      </w:tr>
      <w:tr w:rsidR="00DF0A85" w:rsidRPr="00E755F3" w:rsidTr="00A82708">
        <w:trPr>
          <w:trHeight w:val="300"/>
          <w:tblCellSpacing w:w="0" w:type="dxa"/>
          <w:jc w:val="center"/>
        </w:trPr>
        <w:tc>
          <w:tcPr>
            <w:tcW w:w="0" w:type="auto"/>
            <w:tcBorders>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sidRPr="00E755F3">
              <w:rPr>
                <w:rFonts w:ascii="Calibri" w:eastAsia="Times New Roman" w:hAnsi="Calibri" w:cs="Calibri"/>
                <w:color w:val="000000"/>
                <w:lang w:eastAsia="es-AR"/>
              </w:rPr>
              <w:t>Máspero</w:t>
            </w:r>
          </w:p>
        </w:tc>
        <w:tc>
          <w:tcPr>
            <w:tcW w:w="0" w:type="auto"/>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Pr>
                <w:rFonts w:ascii="Calibri" w:eastAsia="Times New Roman" w:hAnsi="Calibri" w:cs="Calibri"/>
                <w:color w:val="000000"/>
                <w:lang w:eastAsia="es-AR"/>
              </w:rPr>
              <w:t>6</w:t>
            </w:r>
          </w:p>
        </w:tc>
      </w:tr>
      <w:tr w:rsidR="00DF0A85" w:rsidRPr="00E755F3" w:rsidTr="00A82708">
        <w:trPr>
          <w:trHeight w:val="300"/>
          <w:tblCellSpacing w:w="0" w:type="dxa"/>
          <w:jc w:val="center"/>
        </w:trPr>
        <w:tc>
          <w:tcPr>
            <w:tcW w:w="0" w:type="auto"/>
            <w:tcBorders>
              <w:bottom w:val="double" w:sz="6" w:space="0" w:color="000000"/>
              <w:right w:val="single" w:sz="6" w:space="0" w:color="FFFFFF"/>
            </w:tcBorders>
            <w:shd w:val="clear" w:color="auto" w:fill="F2F4F7"/>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color w:val="000000"/>
                <w:lang w:eastAsia="es-AR"/>
              </w:rPr>
            </w:pPr>
            <w:r>
              <w:rPr>
                <w:rFonts w:ascii="Calibri" w:eastAsia="Times New Roman" w:hAnsi="Calibri" w:cs="Calibri"/>
                <w:color w:val="000000"/>
                <w:lang w:eastAsia="es-AR"/>
              </w:rPr>
              <w:t xml:space="preserve">Medicina </w:t>
            </w:r>
            <w:r w:rsidRPr="00E755F3">
              <w:rPr>
                <w:rFonts w:ascii="Calibri" w:eastAsia="Times New Roman" w:hAnsi="Calibri" w:cs="Calibri"/>
                <w:color w:val="000000"/>
                <w:lang w:eastAsia="es-AR"/>
              </w:rPr>
              <w:t>Preventiva</w:t>
            </w:r>
          </w:p>
        </w:tc>
        <w:tc>
          <w:tcPr>
            <w:tcW w:w="0" w:type="auto"/>
            <w:tcBorders>
              <w:bottom w:val="double" w:sz="6" w:space="0" w:color="000000"/>
            </w:tcBorders>
            <w:shd w:val="clear" w:color="auto" w:fill="FFFFFF"/>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color w:val="000000"/>
                <w:lang w:eastAsia="es-AR"/>
              </w:rPr>
            </w:pPr>
            <w:r w:rsidRPr="00E755F3">
              <w:rPr>
                <w:rFonts w:ascii="Calibri" w:eastAsia="Times New Roman" w:hAnsi="Calibri" w:cs="Calibri"/>
                <w:color w:val="000000"/>
                <w:lang w:eastAsia="es-AR"/>
              </w:rPr>
              <w:t>12</w:t>
            </w:r>
          </w:p>
        </w:tc>
      </w:tr>
      <w:tr w:rsidR="00DF0A85" w:rsidRPr="00E755F3" w:rsidTr="00A82708">
        <w:trPr>
          <w:trHeight w:val="300"/>
          <w:tblCellSpacing w:w="0" w:type="dxa"/>
          <w:jc w:val="center"/>
        </w:trPr>
        <w:tc>
          <w:tcPr>
            <w:tcW w:w="0" w:type="auto"/>
            <w:shd w:val="clear" w:color="auto" w:fill="D8DEE8"/>
            <w:tcMar>
              <w:top w:w="0" w:type="dxa"/>
              <w:left w:w="45" w:type="dxa"/>
              <w:bottom w:w="0" w:type="dxa"/>
              <w:right w:w="45" w:type="dxa"/>
            </w:tcMar>
            <w:vAlign w:val="bottom"/>
            <w:hideMark/>
          </w:tcPr>
          <w:p w:rsidR="00DF0A85" w:rsidRPr="00E755F3" w:rsidRDefault="00DF0A85" w:rsidP="00C97509">
            <w:pPr>
              <w:spacing w:after="0"/>
              <w:rPr>
                <w:rFonts w:ascii="Calibri" w:eastAsia="Times New Roman" w:hAnsi="Calibri" w:cs="Calibri"/>
                <w:b/>
                <w:bCs/>
                <w:color w:val="000000"/>
                <w:lang w:eastAsia="es-AR"/>
              </w:rPr>
            </w:pPr>
            <w:r w:rsidRPr="00E755F3">
              <w:rPr>
                <w:rFonts w:ascii="Calibri" w:eastAsia="Times New Roman" w:hAnsi="Calibri" w:cs="Calibri"/>
                <w:b/>
                <w:bCs/>
                <w:color w:val="000000"/>
                <w:lang w:eastAsia="es-AR"/>
              </w:rPr>
              <w:t>Suma total</w:t>
            </w:r>
          </w:p>
        </w:tc>
        <w:tc>
          <w:tcPr>
            <w:tcW w:w="0" w:type="auto"/>
            <w:shd w:val="clear" w:color="auto" w:fill="D8DEE8"/>
            <w:tcMar>
              <w:top w:w="0" w:type="dxa"/>
              <w:left w:w="45" w:type="dxa"/>
              <w:bottom w:w="0" w:type="dxa"/>
              <w:right w:w="45" w:type="dxa"/>
            </w:tcMar>
            <w:vAlign w:val="bottom"/>
            <w:hideMark/>
          </w:tcPr>
          <w:p w:rsidR="00DF0A85" w:rsidRPr="00E755F3" w:rsidRDefault="00DF0A85" w:rsidP="00C97509">
            <w:pPr>
              <w:spacing w:after="0"/>
              <w:jc w:val="right"/>
              <w:rPr>
                <w:rFonts w:ascii="Calibri" w:eastAsia="Times New Roman" w:hAnsi="Calibri" w:cs="Calibri"/>
                <w:b/>
                <w:bCs/>
                <w:color w:val="000000"/>
                <w:lang w:eastAsia="es-AR"/>
              </w:rPr>
            </w:pPr>
            <w:r w:rsidRPr="00E755F3">
              <w:rPr>
                <w:rFonts w:ascii="Calibri" w:eastAsia="Times New Roman" w:hAnsi="Calibri" w:cs="Calibri"/>
                <w:b/>
                <w:bCs/>
                <w:color w:val="000000"/>
                <w:lang w:eastAsia="es-AR"/>
              </w:rPr>
              <w:t>5</w:t>
            </w:r>
            <w:r>
              <w:rPr>
                <w:rFonts w:ascii="Calibri" w:eastAsia="Times New Roman" w:hAnsi="Calibri" w:cs="Calibri"/>
                <w:b/>
                <w:bCs/>
                <w:color w:val="000000"/>
                <w:lang w:eastAsia="es-AR"/>
              </w:rPr>
              <w:t>2</w:t>
            </w:r>
          </w:p>
        </w:tc>
      </w:tr>
    </w:tbl>
    <w:p w:rsidR="00DF0A85" w:rsidRPr="00135D13" w:rsidRDefault="00135D13" w:rsidP="00135D13">
      <w:pPr>
        <w:shd w:val="clear" w:color="auto" w:fill="FFFFFF"/>
        <w:spacing w:after="240"/>
        <w:jc w:val="right"/>
        <w:rPr>
          <w:rFonts w:ascii="Times New Roman" w:eastAsia="Times New Roman" w:hAnsi="Times New Roman" w:cs="Times New Roman"/>
          <w:color w:val="222222"/>
          <w:sz w:val="20"/>
          <w:szCs w:val="20"/>
          <w:lang w:eastAsia="es-AR"/>
        </w:rPr>
      </w:pPr>
      <w:r w:rsidRPr="00135D13">
        <w:rPr>
          <w:rFonts w:ascii="Times New Roman" w:eastAsia="Times New Roman" w:hAnsi="Times New Roman" w:cs="Times New Roman"/>
          <w:color w:val="222222"/>
          <w:sz w:val="20"/>
          <w:szCs w:val="20"/>
          <w:lang w:eastAsia="es-AR"/>
        </w:rPr>
        <w:t>Cuadro N°</w:t>
      </w:r>
      <w:r w:rsidR="004E5B3E">
        <w:rPr>
          <w:rFonts w:ascii="Times New Roman" w:eastAsia="Times New Roman" w:hAnsi="Times New Roman" w:cs="Times New Roman"/>
          <w:color w:val="222222"/>
          <w:sz w:val="20"/>
          <w:szCs w:val="20"/>
          <w:lang w:eastAsia="es-AR"/>
        </w:rPr>
        <w:t>2</w:t>
      </w:r>
      <w:r w:rsidRPr="00135D13">
        <w:rPr>
          <w:rFonts w:ascii="Times New Roman" w:eastAsia="Times New Roman" w:hAnsi="Times New Roman" w:cs="Times New Roman"/>
          <w:color w:val="222222"/>
          <w:sz w:val="20"/>
          <w:szCs w:val="20"/>
          <w:lang w:eastAsia="es-AR"/>
        </w:rPr>
        <w:t>. Fuente: Elaboración propia.</w:t>
      </w:r>
    </w:p>
    <w:p w:rsidR="00A82708" w:rsidRPr="00DF0A85" w:rsidRDefault="00A82708" w:rsidP="00A82708">
      <w:pPr>
        <w:spacing w:line="360" w:lineRule="auto"/>
        <w:jc w:val="both"/>
        <w:rPr>
          <w:rFonts w:ascii="Times New Roman" w:hAnsi="Times New Roman" w:cs="Times New Roman"/>
          <w:sz w:val="24"/>
          <w:szCs w:val="24"/>
        </w:rPr>
      </w:pPr>
      <w:r w:rsidRPr="00DF0A85">
        <w:rPr>
          <w:rFonts w:ascii="Times New Roman" w:hAnsi="Times New Roman" w:cs="Times New Roman"/>
          <w:sz w:val="24"/>
          <w:szCs w:val="24"/>
        </w:rPr>
        <w:t>En el período indicado, se han relevado 52 pedidos de evaluación o tratamiento. De los 52 casos, se identificó 16 consultas para adultos y 52 niños, niñas y adolescentes. Las edades que van de 4 a 12 años suman un total de 28 niños y niñas; entre 13 y 18 años suman un total de 21 adolescentes.</w:t>
      </w:r>
    </w:p>
    <w:p w:rsidR="00991499" w:rsidRPr="000B12DE" w:rsidRDefault="00991499" w:rsidP="00556497">
      <w:pPr>
        <w:shd w:val="clear" w:color="auto" w:fill="FFFFFF"/>
        <w:spacing w:after="240" w:line="360" w:lineRule="auto"/>
        <w:rPr>
          <w:rFonts w:ascii="Times New Roman" w:eastAsia="Times New Roman" w:hAnsi="Times New Roman" w:cs="Times New Roman"/>
          <w:color w:val="222222"/>
          <w:sz w:val="24"/>
          <w:szCs w:val="24"/>
          <w:u w:val="single"/>
          <w:lang w:eastAsia="es-AR"/>
        </w:rPr>
      </w:pPr>
      <w:r w:rsidRPr="000B12DE">
        <w:rPr>
          <w:rFonts w:ascii="Times New Roman" w:eastAsia="Times New Roman" w:hAnsi="Times New Roman" w:cs="Times New Roman"/>
          <w:color w:val="222222"/>
          <w:sz w:val="24"/>
          <w:szCs w:val="24"/>
          <w:u w:val="single"/>
          <w:lang w:eastAsia="es-AR"/>
        </w:rPr>
        <w:t>Las situaciones de vulneración de derechos sobre las que interviene el Servicio local y las medidas de protección</w:t>
      </w:r>
    </w:p>
    <w:p w:rsidR="00991499" w:rsidRPr="001120BF" w:rsidRDefault="00991499" w:rsidP="00556497">
      <w:pPr>
        <w:spacing w:after="240" w:line="360" w:lineRule="auto"/>
        <w:jc w:val="both"/>
        <w:rPr>
          <w:rFonts w:ascii="Times New Roman" w:hAnsi="Times New Roman" w:cs="Times New Roman"/>
          <w:i/>
          <w:sz w:val="24"/>
          <w:szCs w:val="24"/>
        </w:rPr>
      </w:pPr>
      <w:r w:rsidRPr="001120BF">
        <w:rPr>
          <w:rFonts w:ascii="Times New Roman" w:hAnsi="Times New Roman" w:cs="Times New Roman"/>
          <w:i/>
          <w:sz w:val="24"/>
          <w:szCs w:val="24"/>
        </w:rPr>
        <w:t>¿Cómo son las situaciones de vulneración de derechos en NNyA?</w:t>
      </w:r>
    </w:p>
    <w:p w:rsidR="00991499" w:rsidRPr="001120BF" w:rsidRDefault="00991499" w:rsidP="00556497">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En este estudio se propuso conocer las situaciones </w:t>
      </w:r>
      <w:r w:rsidR="00A23275">
        <w:rPr>
          <w:rFonts w:ascii="Times New Roman" w:hAnsi="Times New Roman" w:cs="Times New Roman"/>
          <w:sz w:val="24"/>
          <w:szCs w:val="24"/>
        </w:rPr>
        <w:t xml:space="preserve">en </w:t>
      </w:r>
      <w:r w:rsidRPr="001120BF">
        <w:rPr>
          <w:rFonts w:ascii="Times New Roman" w:hAnsi="Times New Roman" w:cs="Times New Roman"/>
          <w:sz w:val="24"/>
          <w:szCs w:val="24"/>
        </w:rPr>
        <w:t>que interviene</w:t>
      </w:r>
      <w:r w:rsidR="00A23275">
        <w:rPr>
          <w:rFonts w:ascii="Times New Roman" w:hAnsi="Times New Roman" w:cs="Times New Roman"/>
          <w:sz w:val="24"/>
          <w:szCs w:val="24"/>
        </w:rPr>
        <w:t>n los</w:t>
      </w:r>
      <w:r w:rsidRPr="001120BF">
        <w:rPr>
          <w:rFonts w:ascii="Times New Roman" w:hAnsi="Times New Roman" w:cs="Times New Roman"/>
          <w:sz w:val="24"/>
          <w:szCs w:val="24"/>
        </w:rPr>
        <w:t xml:space="preserve"> Servicio</w:t>
      </w:r>
      <w:r w:rsidR="00A23275">
        <w:rPr>
          <w:rFonts w:ascii="Times New Roman" w:hAnsi="Times New Roman" w:cs="Times New Roman"/>
          <w:sz w:val="24"/>
          <w:szCs w:val="24"/>
        </w:rPr>
        <w:t>s</w:t>
      </w:r>
      <w:r w:rsidRPr="001120BF">
        <w:rPr>
          <w:rFonts w:ascii="Times New Roman" w:hAnsi="Times New Roman" w:cs="Times New Roman"/>
          <w:sz w:val="24"/>
          <w:szCs w:val="24"/>
        </w:rPr>
        <w:t xml:space="preserve"> local</w:t>
      </w:r>
      <w:r w:rsidR="00A23275">
        <w:rPr>
          <w:rFonts w:ascii="Times New Roman" w:hAnsi="Times New Roman" w:cs="Times New Roman"/>
          <w:sz w:val="24"/>
          <w:szCs w:val="24"/>
        </w:rPr>
        <w:t>es</w:t>
      </w:r>
      <w:r w:rsidR="003841C7">
        <w:rPr>
          <w:rFonts w:ascii="Times New Roman" w:hAnsi="Times New Roman" w:cs="Times New Roman"/>
          <w:sz w:val="24"/>
          <w:szCs w:val="24"/>
        </w:rPr>
        <w:t xml:space="preserve"> para comprender cómo se identifica una</w:t>
      </w:r>
      <w:r w:rsidR="00A23275">
        <w:rPr>
          <w:rFonts w:ascii="Times New Roman" w:hAnsi="Times New Roman" w:cs="Times New Roman"/>
          <w:sz w:val="24"/>
          <w:szCs w:val="24"/>
        </w:rPr>
        <w:t xml:space="preserve"> vulneración de derechos. Cada SL realiza</w:t>
      </w:r>
      <w:r w:rsidR="00724056">
        <w:rPr>
          <w:rFonts w:ascii="Times New Roman" w:hAnsi="Times New Roman" w:cs="Times New Roman"/>
          <w:sz w:val="24"/>
          <w:szCs w:val="24"/>
        </w:rPr>
        <w:t xml:space="preserve"> </w:t>
      </w:r>
      <w:r w:rsidRPr="001120BF">
        <w:rPr>
          <w:rFonts w:ascii="Times New Roman" w:hAnsi="Times New Roman" w:cs="Times New Roman"/>
          <w:sz w:val="24"/>
          <w:szCs w:val="24"/>
        </w:rPr>
        <w:t>un dia</w:t>
      </w:r>
      <w:r w:rsidR="00724056">
        <w:rPr>
          <w:rFonts w:ascii="Times New Roman" w:hAnsi="Times New Roman" w:cs="Times New Roman"/>
          <w:sz w:val="24"/>
          <w:szCs w:val="24"/>
        </w:rPr>
        <w:t>gnóstico de “derecho vulnerado” y elabora</w:t>
      </w:r>
      <w:r w:rsidRPr="001120BF">
        <w:rPr>
          <w:rFonts w:ascii="Times New Roman" w:hAnsi="Times New Roman" w:cs="Times New Roman"/>
          <w:sz w:val="24"/>
          <w:szCs w:val="24"/>
        </w:rPr>
        <w:t xml:space="preserve"> una estrategia de restitución de derechos basada en </w:t>
      </w:r>
      <w:r w:rsidR="009D4E4A">
        <w:rPr>
          <w:rFonts w:ascii="Times New Roman" w:hAnsi="Times New Roman" w:cs="Times New Roman"/>
          <w:sz w:val="24"/>
          <w:szCs w:val="24"/>
        </w:rPr>
        <w:t xml:space="preserve">las </w:t>
      </w:r>
      <w:r w:rsidRPr="001120BF">
        <w:rPr>
          <w:rFonts w:ascii="Times New Roman" w:hAnsi="Times New Roman" w:cs="Times New Roman"/>
          <w:sz w:val="24"/>
          <w:szCs w:val="24"/>
        </w:rPr>
        <w:t>medidas de protección. Las medidas que puede tomar el Servicio local, dependerá de los conocimientos, recursos o herramientas que tengan a disposición.</w:t>
      </w:r>
    </w:p>
    <w:p w:rsidR="00991499" w:rsidRPr="001120BF" w:rsidRDefault="00991499" w:rsidP="00375921">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Según lo manifestado por los entrevistados del SL y la Coordinación, las consultas que reciben provienen de fiscalías, juzgados, escuelas, hospitales, </w:t>
      </w:r>
      <w:r w:rsidR="003B00D0">
        <w:rPr>
          <w:rFonts w:ascii="Times New Roman" w:hAnsi="Times New Roman" w:cs="Times New Roman"/>
          <w:sz w:val="24"/>
          <w:szCs w:val="24"/>
        </w:rPr>
        <w:t>comedores y merenderos</w:t>
      </w:r>
      <w:r w:rsidRPr="001120BF">
        <w:rPr>
          <w:rFonts w:ascii="Times New Roman" w:hAnsi="Times New Roman" w:cs="Times New Roman"/>
          <w:sz w:val="24"/>
          <w:szCs w:val="24"/>
        </w:rPr>
        <w:t>. Y en relación a áreas del municipio, trabajan principalmente junto a Género, Violencia familiar, Asistencia crítica y Salud mental. Cuando alguna de las áreas mencionadas da intervención al SL, comienzan a evaluar al NNyA y a la familia</w:t>
      </w:r>
      <w:r w:rsidR="003B00D0">
        <w:rPr>
          <w:rFonts w:ascii="Times New Roman" w:hAnsi="Times New Roman" w:cs="Times New Roman"/>
          <w:sz w:val="24"/>
          <w:szCs w:val="24"/>
        </w:rPr>
        <w:t>.</w:t>
      </w:r>
      <w:r w:rsidR="007A5140">
        <w:rPr>
          <w:rFonts w:ascii="Times New Roman" w:hAnsi="Times New Roman" w:cs="Times New Roman"/>
          <w:sz w:val="24"/>
          <w:szCs w:val="24"/>
        </w:rPr>
        <w:t xml:space="preserve"> </w:t>
      </w:r>
      <w:r w:rsidRPr="001120BF">
        <w:rPr>
          <w:rFonts w:ascii="Times New Roman" w:hAnsi="Times New Roman" w:cs="Times New Roman"/>
          <w:sz w:val="24"/>
          <w:szCs w:val="24"/>
        </w:rPr>
        <w:t xml:space="preserve">Se </w:t>
      </w:r>
      <w:r w:rsidR="00375921">
        <w:rPr>
          <w:rFonts w:ascii="Times New Roman" w:hAnsi="Times New Roman" w:cs="Times New Roman"/>
          <w:sz w:val="24"/>
          <w:szCs w:val="24"/>
        </w:rPr>
        <w:t>presenta a continuación</w:t>
      </w:r>
      <w:r w:rsidRPr="001120BF">
        <w:rPr>
          <w:rFonts w:ascii="Times New Roman" w:hAnsi="Times New Roman" w:cs="Times New Roman"/>
          <w:sz w:val="24"/>
          <w:szCs w:val="24"/>
        </w:rPr>
        <w:t xml:space="preserve"> un cuadro donde se identifican</w:t>
      </w:r>
      <w:r w:rsidR="00375921">
        <w:rPr>
          <w:rFonts w:ascii="Times New Roman" w:hAnsi="Times New Roman" w:cs="Times New Roman"/>
          <w:sz w:val="24"/>
          <w:szCs w:val="24"/>
        </w:rPr>
        <w:t xml:space="preserve"> las</w:t>
      </w:r>
      <w:r w:rsidRPr="001120BF">
        <w:rPr>
          <w:rFonts w:ascii="Times New Roman" w:hAnsi="Times New Roman" w:cs="Times New Roman"/>
          <w:sz w:val="24"/>
          <w:szCs w:val="24"/>
        </w:rPr>
        <w:t xml:space="preserve"> situaciones de vulneración de derechos de </w:t>
      </w:r>
      <w:r w:rsidR="00A23275">
        <w:rPr>
          <w:rFonts w:ascii="Times New Roman" w:hAnsi="Times New Roman" w:cs="Times New Roman"/>
          <w:sz w:val="24"/>
          <w:szCs w:val="24"/>
        </w:rPr>
        <w:t>NNyA</w:t>
      </w:r>
      <w:r w:rsidRPr="001120BF">
        <w:rPr>
          <w:rFonts w:ascii="Times New Roman" w:hAnsi="Times New Roman" w:cs="Times New Roman"/>
          <w:sz w:val="24"/>
          <w:szCs w:val="24"/>
        </w:rPr>
        <w:t xml:space="preserve"> descriptas en las consultas</w:t>
      </w:r>
      <w:r w:rsidR="00375921">
        <w:rPr>
          <w:rFonts w:ascii="Times New Roman" w:hAnsi="Times New Roman" w:cs="Times New Roman"/>
          <w:sz w:val="24"/>
          <w:szCs w:val="24"/>
        </w:rPr>
        <w:t xml:space="preserve"> relevadas:</w:t>
      </w:r>
      <w:r w:rsidRPr="001120BF">
        <w:rPr>
          <w:rFonts w:ascii="Times New Roman" w:hAnsi="Times New Roman" w:cs="Times New Roman"/>
          <w:sz w:val="24"/>
          <w:szCs w:val="24"/>
        </w:rPr>
        <w:t xml:space="preserve"> </w:t>
      </w:r>
    </w:p>
    <w:tbl>
      <w:tblPr>
        <w:tblStyle w:val="TableGrid"/>
        <w:tblW w:w="0" w:type="auto"/>
        <w:jc w:val="center"/>
        <w:tblLook w:val="04A0"/>
      </w:tblPr>
      <w:tblGrid>
        <w:gridCol w:w="5778"/>
      </w:tblGrid>
      <w:tr w:rsidR="00991499" w:rsidRPr="001120BF" w:rsidTr="00664D3A">
        <w:trPr>
          <w:trHeight w:val="337"/>
          <w:jc w:val="center"/>
        </w:trPr>
        <w:tc>
          <w:tcPr>
            <w:tcW w:w="5778" w:type="dxa"/>
            <w:vMerge w:val="restart"/>
            <w:shd w:val="clear" w:color="auto" w:fill="D6E3BC" w:themeFill="accent3" w:themeFillTint="66"/>
          </w:tcPr>
          <w:p w:rsidR="00991499" w:rsidRPr="001120BF" w:rsidRDefault="00991499" w:rsidP="00375921">
            <w:pPr>
              <w:spacing w:line="276" w:lineRule="auto"/>
              <w:jc w:val="center"/>
              <w:rPr>
                <w:rFonts w:ascii="Times New Roman" w:hAnsi="Times New Roman" w:cs="Times New Roman"/>
                <w:b/>
                <w:sz w:val="24"/>
                <w:szCs w:val="24"/>
              </w:rPr>
            </w:pPr>
            <w:r w:rsidRPr="001120BF">
              <w:rPr>
                <w:rFonts w:ascii="Times New Roman" w:hAnsi="Times New Roman" w:cs="Times New Roman"/>
                <w:b/>
                <w:sz w:val="24"/>
                <w:szCs w:val="24"/>
              </w:rPr>
              <w:t>Situaciones de Vulneración de derechos</w:t>
            </w:r>
            <w:r w:rsidR="00375921">
              <w:rPr>
                <w:rFonts w:ascii="Times New Roman" w:hAnsi="Times New Roman" w:cs="Times New Roman"/>
                <w:b/>
                <w:sz w:val="24"/>
                <w:szCs w:val="24"/>
              </w:rPr>
              <w:t xml:space="preserve"> de NNyA</w:t>
            </w:r>
          </w:p>
        </w:tc>
      </w:tr>
      <w:tr w:rsidR="00991499" w:rsidRPr="001120BF" w:rsidTr="00375921">
        <w:trPr>
          <w:trHeight w:val="317"/>
          <w:jc w:val="center"/>
        </w:trPr>
        <w:tc>
          <w:tcPr>
            <w:tcW w:w="5778" w:type="dxa"/>
            <w:vMerge/>
          </w:tcPr>
          <w:p w:rsidR="00991499" w:rsidRPr="001120BF" w:rsidRDefault="00991499" w:rsidP="00664D3A">
            <w:pPr>
              <w:spacing w:line="276" w:lineRule="auto"/>
              <w:rPr>
                <w:rFonts w:ascii="Times New Roman" w:hAnsi="Times New Roman" w:cs="Times New Roman"/>
                <w:b/>
                <w:sz w:val="24"/>
                <w:szCs w:val="24"/>
              </w:rPr>
            </w:pPr>
          </w:p>
        </w:tc>
      </w:tr>
      <w:tr w:rsidR="00991499" w:rsidRPr="001120BF" w:rsidTr="00664D3A">
        <w:trPr>
          <w:jc w:val="center"/>
        </w:trPr>
        <w:tc>
          <w:tcPr>
            <w:tcW w:w="5778" w:type="dxa"/>
            <w:shd w:val="clear" w:color="auto" w:fill="D9D9D9" w:themeFill="background1" w:themeFillShade="D9"/>
          </w:tcPr>
          <w:p w:rsidR="00991499" w:rsidRPr="001120BF" w:rsidRDefault="00375921" w:rsidP="00664D3A">
            <w:pPr>
              <w:spacing w:line="276" w:lineRule="auto"/>
              <w:rPr>
                <w:rFonts w:ascii="Times New Roman" w:hAnsi="Times New Roman" w:cs="Times New Roman"/>
                <w:sz w:val="24"/>
                <w:szCs w:val="24"/>
              </w:rPr>
            </w:pPr>
            <w:r>
              <w:rPr>
                <w:rFonts w:ascii="Times New Roman" w:hAnsi="Times New Roman" w:cs="Times New Roman"/>
                <w:sz w:val="24"/>
                <w:szCs w:val="24"/>
              </w:rPr>
              <w:t>V</w:t>
            </w:r>
            <w:r w:rsidR="00991499" w:rsidRPr="001120BF">
              <w:rPr>
                <w:rFonts w:ascii="Times New Roman" w:hAnsi="Times New Roman" w:cs="Times New Roman"/>
                <w:sz w:val="24"/>
                <w:szCs w:val="24"/>
              </w:rPr>
              <w:t>iolencia familiar</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Abuso sexual infantil</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Negligencias de progenitores</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Dificultades de Acceso a la Educación</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lastRenderedPageBreak/>
              <w:t>Acceso a la AUH</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Institucionalización prolongada</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Situaciones con intervención del Juzgado</w:t>
            </w:r>
          </w:p>
        </w:tc>
      </w:tr>
      <w:tr w:rsidR="00991499" w:rsidRPr="001120BF" w:rsidTr="00664D3A">
        <w:trPr>
          <w:jc w:val="center"/>
        </w:trPr>
        <w:tc>
          <w:tcPr>
            <w:tcW w:w="5778" w:type="dxa"/>
            <w:shd w:val="clear" w:color="auto" w:fill="D9D9D9" w:themeFill="background1" w:themeFillShade="D9"/>
          </w:tcPr>
          <w:p w:rsidR="00991499" w:rsidRPr="001120BF" w:rsidRDefault="00991499" w:rsidP="00664D3A">
            <w:pPr>
              <w:spacing w:line="276" w:lineRule="auto"/>
              <w:rPr>
                <w:rFonts w:ascii="Times New Roman" w:hAnsi="Times New Roman" w:cs="Times New Roman"/>
                <w:sz w:val="24"/>
                <w:szCs w:val="24"/>
              </w:rPr>
            </w:pPr>
            <w:r w:rsidRPr="001120BF">
              <w:rPr>
                <w:rFonts w:ascii="Times New Roman" w:hAnsi="Times New Roman" w:cs="Times New Roman"/>
                <w:sz w:val="24"/>
                <w:szCs w:val="24"/>
              </w:rPr>
              <w:t>Acceso a Servicios por Discapacidad</w:t>
            </w:r>
          </w:p>
        </w:tc>
      </w:tr>
    </w:tbl>
    <w:p w:rsidR="00991499" w:rsidRPr="001120BF" w:rsidRDefault="00991499" w:rsidP="00991499">
      <w:pPr>
        <w:spacing w:after="240"/>
        <w:jc w:val="right"/>
        <w:rPr>
          <w:rFonts w:ascii="Times New Roman" w:hAnsi="Times New Roman" w:cs="Times New Roman"/>
          <w:sz w:val="20"/>
          <w:szCs w:val="20"/>
        </w:rPr>
      </w:pPr>
      <w:r w:rsidRPr="001120BF">
        <w:rPr>
          <w:rFonts w:ascii="Times New Roman" w:hAnsi="Times New Roman" w:cs="Times New Roman"/>
          <w:sz w:val="20"/>
          <w:szCs w:val="20"/>
        </w:rPr>
        <w:t>Cuadro</w:t>
      </w:r>
      <w:r w:rsidR="004E5B3E">
        <w:rPr>
          <w:rFonts w:ascii="Times New Roman" w:hAnsi="Times New Roman" w:cs="Times New Roman"/>
          <w:sz w:val="20"/>
          <w:szCs w:val="20"/>
        </w:rPr>
        <w:t xml:space="preserve"> N°3</w:t>
      </w:r>
      <w:r w:rsidR="00135D13">
        <w:rPr>
          <w:rFonts w:ascii="Times New Roman" w:hAnsi="Times New Roman" w:cs="Times New Roman"/>
          <w:sz w:val="20"/>
          <w:szCs w:val="20"/>
        </w:rPr>
        <w:t>.</w:t>
      </w:r>
      <w:r w:rsidR="00325D32" w:rsidRPr="001120BF">
        <w:rPr>
          <w:rFonts w:ascii="Times New Roman" w:hAnsi="Times New Roman" w:cs="Times New Roman"/>
          <w:sz w:val="20"/>
          <w:szCs w:val="20"/>
        </w:rPr>
        <w:t xml:space="preserve"> Fuente: </w:t>
      </w:r>
      <w:r w:rsidRPr="001120BF">
        <w:rPr>
          <w:rFonts w:ascii="Times New Roman" w:hAnsi="Times New Roman" w:cs="Times New Roman"/>
          <w:sz w:val="20"/>
          <w:szCs w:val="20"/>
        </w:rPr>
        <w:t>Elaboración propia.</w:t>
      </w:r>
    </w:p>
    <w:p w:rsidR="00CF4E5D" w:rsidRPr="001120BF" w:rsidRDefault="00CF4E5D" w:rsidP="00A40759">
      <w:pPr>
        <w:spacing w:after="0" w:line="360" w:lineRule="auto"/>
        <w:jc w:val="both"/>
        <w:rPr>
          <w:rFonts w:ascii="Times New Roman" w:hAnsi="Times New Roman" w:cs="Times New Roman"/>
          <w:sz w:val="24"/>
          <w:szCs w:val="24"/>
        </w:rPr>
      </w:pPr>
      <w:r w:rsidRPr="001120BF">
        <w:rPr>
          <w:rFonts w:ascii="Times New Roman" w:hAnsi="Times New Roman" w:cs="Times New Roman"/>
          <w:sz w:val="24"/>
          <w:szCs w:val="24"/>
        </w:rPr>
        <w:t>Del análisis de las entrevistas, se halló correspondencia entre las distintas fuentes sobre las situaci</w:t>
      </w:r>
      <w:r w:rsidR="00B42734">
        <w:rPr>
          <w:rFonts w:ascii="Times New Roman" w:hAnsi="Times New Roman" w:cs="Times New Roman"/>
          <w:sz w:val="24"/>
          <w:szCs w:val="24"/>
        </w:rPr>
        <w:t>ones de vulneración de derechos:</w:t>
      </w:r>
      <w:r w:rsidRPr="001120BF">
        <w:rPr>
          <w:rFonts w:ascii="Times New Roman" w:hAnsi="Times New Roman" w:cs="Times New Roman"/>
          <w:sz w:val="24"/>
          <w:szCs w:val="24"/>
        </w:rPr>
        <w:t xml:space="preserve"> Abuso sexual infantil, </w:t>
      </w:r>
      <w:r w:rsidR="00B42734">
        <w:rPr>
          <w:rFonts w:ascii="Times New Roman" w:hAnsi="Times New Roman" w:cs="Times New Roman"/>
          <w:sz w:val="24"/>
          <w:szCs w:val="24"/>
        </w:rPr>
        <w:t>violencias, maltrato infantil, deserción escolar,</w:t>
      </w:r>
      <w:r w:rsidRPr="001120BF">
        <w:rPr>
          <w:rFonts w:ascii="Times New Roman" w:hAnsi="Times New Roman" w:cs="Times New Roman"/>
          <w:sz w:val="24"/>
          <w:szCs w:val="24"/>
        </w:rPr>
        <w:t xml:space="preserve"> </w:t>
      </w:r>
      <w:r w:rsidR="00366CF8">
        <w:rPr>
          <w:rFonts w:ascii="Times New Roman" w:hAnsi="Times New Roman" w:cs="Times New Roman"/>
          <w:sz w:val="24"/>
          <w:szCs w:val="24"/>
        </w:rPr>
        <w:t>dificultad de</w:t>
      </w:r>
      <w:r w:rsidRPr="001120BF">
        <w:rPr>
          <w:rFonts w:ascii="Times New Roman" w:hAnsi="Times New Roman" w:cs="Times New Roman"/>
          <w:sz w:val="24"/>
          <w:szCs w:val="24"/>
        </w:rPr>
        <w:t xml:space="preserve"> </w:t>
      </w:r>
      <w:r w:rsidR="00366CF8">
        <w:rPr>
          <w:rFonts w:ascii="Times New Roman" w:hAnsi="Times New Roman" w:cs="Times New Roman"/>
          <w:sz w:val="24"/>
          <w:szCs w:val="24"/>
        </w:rPr>
        <w:t xml:space="preserve">acceso </w:t>
      </w:r>
      <w:r w:rsidRPr="001120BF">
        <w:rPr>
          <w:rFonts w:ascii="Times New Roman" w:hAnsi="Times New Roman" w:cs="Times New Roman"/>
          <w:sz w:val="24"/>
          <w:szCs w:val="24"/>
        </w:rPr>
        <w:t xml:space="preserve">a la salud, negligencia. Siendo que por negligencias al indagar de qué se trata explica: </w:t>
      </w:r>
    </w:p>
    <w:p w:rsidR="00CF4E5D" w:rsidRPr="001120BF" w:rsidRDefault="00CF4E5D" w:rsidP="00CF4E5D">
      <w:pPr>
        <w:spacing w:after="240"/>
        <w:ind w:left="567"/>
        <w:jc w:val="both"/>
        <w:rPr>
          <w:rFonts w:ascii="Times New Roman" w:hAnsi="Times New Roman" w:cs="Times New Roman"/>
        </w:rPr>
      </w:pPr>
      <w:r w:rsidRPr="001120BF">
        <w:rPr>
          <w:rFonts w:ascii="Times New Roman" w:hAnsi="Times New Roman" w:cs="Times New Roman"/>
          <w:i/>
        </w:rPr>
        <w:t>“Dentro de negligencias, te doy un ejemplo: irte a trabajar y dejar todo el día solo, sin cuidados de un adulto a un niño, eso forma parte de la negligencia. No ejercer el deber de responsabilidad parental y no ejercer en debida forma los cuidados parentales.” (Coordinadora de SL)</w:t>
      </w:r>
    </w:p>
    <w:p w:rsidR="00CF4E5D"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Bajo el concepto de negligencia, se de</w:t>
      </w:r>
      <w:r w:rsidR="00A23275">
        <w:rPr>
          <w:rFonts w:ascii="Times New Roman" w:hAnsi="Times New Roman" w:cs="Times New Roman"/>
          <w:sz w:val="24"/>
          <w:szCs w:val="24"/>
        </w:rPr>
        <w:t>scubre</w:t>
      </w:r>
      <w:r w:rsidRPr="001120BF">
        <w:rPr>
          <w:rFonts w:ascii="Times New Roman" w:hAnsi="Times New Roman" w:cs="Times New Roman"/>
          <w:sz w:val="24"/>
          <w:szCs w:val="24"/>
        </w:rPr>
        <w:t xml:space="preserve"> la vieja idea de abandono y/o peligro material o moral, de la Ley de Patronato de Menores.</w:t>
      </w:r>
    </w:p>
    <w:p w:rsidR="00CF4E5D" w:rsidRPr="001120BF" w:rsidRDefault="00CF4E5D" w:rsidP="00CF4E5D">
      <w:pPr>
        <w:spacing w:after="240"/>
        <w:rPr>
          <w:rFonts w:ascii="Times New Roman" w:hAnsi="Times New Roman" w:cs="Times New Roman"/>
          <w:i/>
          <w:sz w:val="24"/>
          <w:szCs w:val="24"/>
        </w:rPr>
      </w:pPr>
      <w:r w:rsidRPr="001120BF">
        <w:rPr>
          <w:rFonts w:ascii="Times New Roman" w:hAnsi="Times New Roman" w:cs="Times New Roman"/>
          <w:i/>
          <w:sz w:val="24"/>
          <w:szCs w:val="24"/>
        </w:rPr>
        <w:t>¿Cuáles son las prácticas de promoción y protección de derechos desarrolladas por los Servicios Locales?</w:t>
      </w:r>
    </w:p>
    <w:p w:rsidR="00CF4E5D"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La </w:t>
      </w:r>
      <w:r w:rsidR="00A23275">
        <w:rPr>
          <w:rFonts w:ascii="Times New Roman" w:hAnsi="Times New Roman" w:cs="Times New Roman"/>
          <w:sz w:val="24"/>
          <w:szCs w:val="24"/>
        </w:rPr>
        <w:t xml:space="preserve">herramienta </w:t>
      </w:r>
      <w:r w:rsidRPr="001120BF">
        <w:rPr>
          <w:rFonts w:ascii="Times New Roman" w:hAnsi="Times New Roman" w:cs="Times New Roman"/>
          <w:sz w:val="24"/>
          <w:szCs w:val="24"/>
        </w:rPr>
        <w:t xml:space="preserve">de trabajo habitual referida es </w:t>
      </w:r>
      <w:r w:rsidR="00A23275">
        <w:rPr>
          <w:rFonts w:ascii="Times New Roman" w:hAnsi="Times New Roman" w:cs="Times New Roman"/>
          <w:sz w:val="24"/>
          <w:szCs w:val="24"/>
        </w:rPr>
        <w:t xml:space="preserve">la </w:t>
      </w:r>
      <w:r w:rsidRPr="001120BF">
        <w:rPr>
          <w:rFonts w:ascii="Times New Roman" w:hAnsi="Times New Roman" w:cs="Times New Roman"/>
          <w:sz w:val="24"/>
          <w:szCs w:val="24"/>
        </w:rPr>
        <w:t>ent</w:t>
      </w:r>
      <w:r w:rsidR="003B00D0">
        <w:rPr>
          <w:rFonts w:ascii="Times New Roman" w:hAnsi="Times New Roman" w:cs="Times New Roman"/>
          <w:sz w:val="24"/>
          <w:szCs w:val="24"/>
        </w:rPr>
        <w:t>revista a la familia y al NNyA</w:t>
      </w:r>
      <w:r w:rsidRPr="001120BF">
        <w:rPr>
          <w:rFonts w:ascii="Times New Roman" w:hAnsi="Times New Roman" w:cs="Times New Roman"/>
          <w:sz w:val="24"/>
          <w:szCs w:val="24"/>
        </w:rPr>
        <w:t xml:space="preserve">. En el </w:t>
      </w:r>
      <w:r w:rsidR="00A20E8E">
        <w:rPr>
          <w:rFonts w:ascii="Times New Roman" w:hAnsi="Times New Roman" w:cs="Times New Roman"/>
          <w:sz w:val="24"/>
          <w:szCs w:val="24"/>
        </w:rPr>
        <w:t>siguiente cuadro</w:t>
      </w:r>
      <w:r w:rsidRPr="001120BF">
        <w:rPr>
          <w:rFonts w:ascii="Times New Roman" w:hAnsi="Times New Roman" w:cs="Times New Roman"/>
          <w:sz w:val="24"/>
          <w:szCs w:val="24"/>
        </w:rPr>
        <w:t xml:space="preserve"> se exponen las medidas o estrategias de restitución o protección de derechos relevadas</w:t>
      </w:r>
      <w:r w:rsidR="00A20E8E">
        <w:rPr>
          <w:rFonts w:ascii="Times New Roman" w:hAnsi="Times New Roman" w:cs="Times New Roman"/>
          <w:sz w:val="24"/>
          <w:szCs w:val="24"/>
        </w:rPr>
        <w:t>.</w:t>
      </w:r>
    </w:p>
    <w:tbl>
      <w:tblPr>
        <w:tblStyle w:val="TableGrid"/>
        <w:tblW w:w="0" w:type="auto"/>
        <w:jc w:val="center"/>
        <w:tblLook w:val="04A0"/>
      </w:tblPr>
      <w:tblGrid>
        <w:gridCol w:w="4361"/>
        <w:gridCol w:w="4678"/>
      </w:tblGrid>
      <w:tr w:rsidR="00CF4E5D" w:rsidRPr="001120BF" w:rsidTr="00C10669">
        <w:trPr>
          <w:trHeight w:val="492"/>
          <w:jc w:val="center"/>
        </w:trPr>
        <w:tc>
          <w:tcPr>
            <w:tcW w:w="9039" w:type="dxa"/>
            <w:gridSpan w:val="2"/>
            <w:shd w:val="clear" w:color="auto" w:fill="B2A1C7" w:themeFill="accent4" w:themeFillTint="99"/>
            <w:vAlign w:val="center"/>
          </w:tcPr>
          <w:p w:rsidR="00CF4E5D" w:rsidRPr="001120BF" w:rsidRDefault="00CF4E5D" w:rsidP="00A23275">
            <w:pPr>
              <w:spacing w:line="276" w:lineRule="auto"/>
              <w:jc w:val="center"/>
              <w:rPr>
                <w:rFonts w:ascii="Times New Roman" w:hAnsi="Times New Roman" w:cs="Times New Roman"/>
                <w:b/>
                <w:sz w:val="24"/>
                <w:szCs w:val="24"/>
              </w:rPr>
            </w:pPr>
            <w:r w:rsidRPr="001120BF">
              <w:rPr>
                <w:rFonts w:ascii="Times New Roman" w:hAnsi="Times New Roman" w:cs="Times New Roman"/>
                <w:b/>
                <w:sz w:val="24"/>
                <w:szCs w:val="24"/>
              </w:rPr>
              <w:t>Medidas y estrategias de protección de derechos</w:t>
            </w:r>
          </w:p>
        </w:tc>
      </w:tr>
      <w:tr w:rsidR="00CF4E5D" w:rsidRPr="001120BF" w:rsidTr="00C10669">
        <w:trPr>
          <w:trHeight w:val="484"/>
          <w:jc w:val="center"/>
        </w:trPr>
        <w:tc>
          <w:tcPr>
            <w:tcW w:w="4361" w:type="dxa"/>
            <w:shd w:val="clear" w:color="auto" w:fill="CCC0D9" w:themeFill="accent4" w:themeFillTint="66"/>
            <w:vAlign w:val="center"/>
          </w:tcPr>
          <w:p w:rsidR="00CF4E5D" w:rsidRPr="001120BF" w:rsidRDefault="00CF4E5D" w:rsidP="00A23275">
            <w:pPr>
              <w:spacing w:line="276" w:lineRule="auto"/>
              <w:jc w:val="center"/>
              <w:rPr>
                <w:rFonts w:ascii="Times New Roman" w:hAnsi="Times New Roman" w:cs="Times New Roman"/>
                <w:b/>
                <w:i/>
              </w:rPr>
            </w:pPr>
            <w:r w:rsidRPr="001120BF">
              <w:rPr>
                <w:rFonts w:ascii="Times New Roman" w:hAnsi="Times New Roman" w:cs="Times New Roman"/>
                <w:b/>
                <w:i/>
              </w:rPr>
              <w:t>Acciones del SL</w:t>
            </w:r>
          </w:p>
        </w:tc>
        <w:tc>
          <w:tcPr>
            <w:tcW w:w="4678" w:type="dxa"/>
            <w:shd w:val="clear" w:color="auto" w:fill="CCC0D9" w:themeFill="accent4" w:themeFillTint="66"/>
            <w:vAlign w:val="center"/>
          </w:tcPr>
          <w:p w:rsidR="00CF4E5D" w:rsidRPr="001120BF" w:rsidRDefault="00CF4E5D" w:rsidP="00A23275">
            <w:pPr>
              <w:spacing w:line="276" w:lineRule="auto"/>
              <w:jc w:val="center"/>
              <w:rPr>
                <w:rFonts w:ascii="Times New Roman" w:hAnsi="Times New Roman" w:cs="Times New Roman"/>
                <w:b/>
                <w:i/>
              </w:rPr>
            </w:pPr>
            <w:r w:rsidRPr="001120BF">
              <w:rPr>
                <w:rFonts w:ascii="Times New Roman" w:hAnsi="Times New Roman" w:cs="Times New Roman"/>
                <w:b/>
                <w:i/>
              </w:rPr>
              <w:t>Articulaciones intersectorial</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Entrevistas familiares y a NNyA (presenciales en sede o domicilio y telefónicas)</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Articulación con Área de Género</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Seguimiento de Casos</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Derivación a tratamiento psicológico</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10669" w:rsidP="00A23275">
            <w:pPr>
              <w:spacing w:line="276" w:lineRule="auto"/>
              <w:jc w:val="center"/>
              <w:rPr>
                <w:rFonts w:ascii="Times New Roman" w:hAnsi="Times New Roman" w:cs="Times New Roman"/>
              </w:rPr>
            </w:pPr>
            <w:r w:rsidRPr="001120BF">
              <w:rPr>
                <w:rFonts w:ascii="Times New Roman" w:hAnsi="Times New Roman" w:cs="Times New Roman"/>
              </w:rPr>
              <w:t>Lectura y análisis de intervenciones previas</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Pedido de Evaluación de progenitores a SM</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Acompañamiento de la trayectoria escolar</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Entrevistas con Escuelas</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Firmas de acuerdo entre partes</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Articulación con Desarrollo Social y Anses</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Búsqueda de referentes afectivos</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Solicitud, envío y recepción de informes (Salud, Educación, Justicia, etc)</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Articulación con Casas de Abrigo y Hogares convivenciales, y Servicio Zonal (provincial).</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Solicitud de abogado del niño</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10669" w:rsidP="00C10669">
            <w:pPr>
              <w:spacing w:line="276" w:lineRule="auto"/>
              <w:jc w:val="center"/>
              <w:rPr>
                <w:rFonts w:ascii="Times New Roman" w:hAnsi="Times New Roman" w:cs="Times New Roman"/>
              </w:rPr>
            </w:pPr>
            <w:r w:rsidRPr="001120BF">
              <w:rPr>
                <w:rFonts w:ascii="Times New Roman" w:hAnsi="Times New Roman" w:cs="Times New Roman"/>
              </w:rPr>
              <w:t>Medidas de Abrigo en familia ampliada o Casas de Abrigo.</w:t>
            </w: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Solicitud de acceso a la Salud</w:t>
            </w:r>
          </w:p>
        </w:tc>
      </w:tr>
      <w:tr w:rsidR="00CF4E5D" w:rsidRPr="001120BF" w:rsidTr="00A23275">
        <w:trPr>
          <w:jc w:val="center"/>
        </w:trPr>
        <w:tc>
          <w:tcPr>
            <w:tcW w:w="4361"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p>
        </w:tc>
        <w:tc>
          <w:tcPr>
            <w:tcW w:w="4678" w:type="dxa"/>
            <w:shd w:val="clear" w:color="auto" w:fill="D9D9D9" w:themeFill="background1" w:themeFillShade="D9"/>
            <w:vAlign w:val="center"/>
          </w:tcPr>
          <w:p w:rsidR="00CF4E5D" w:rsidRPr="001120BF" w:rsidRDefault="00CF4E5D" w:rsidP="00A23275">
            <w:pPr>
              <w:spacing w:line="276" w:lineRule="auto"/>
              <w:jc w:val="center"/>
              <w:rPr>
                <w:rFonts w:ascii="Times New Roman" w:hAnsi="Times New Roman" w:cs="Times New Roman"/>
              </w:rPr>
            </w:pPr>
            <w:r w:rsidRPr="001120BF">
              <w:rPr>
                <w:rFonts w:ascii="Times New Roman" w:hAnsi="Times New Roman" w:cs="Times New Roman"/>
              </w:rPr>
              <w:t>Articulación con espacio de Grupo terapéutico de niños en situación de violencia familiar, de Desarrollo Social.</w:t>
            </w:r>
          </w:p>
        </w:tc>
      </w:tr>
    </w:tbl>
    <w:p w:rsidR="00CF4E5D" w:rsidRPr="001120BF" w:rsidRDefault="00CF4E5D" w:rsidP="00CF4E5D">
      <w:pPr>
        <w:spacing w:after="240"/>
        <w:jc w:val="right"/>
        <w:rPr>
          <w:rFonts w:ascii="Times New Roman" w:hAnsi="Times New Roman" w:cs="Times New Roman"/>
          <w:sz w:val="20"/>
          <w:szCs w:val="20"/>
        </w:rPr>
      </w:pPr>
      <w:r w:rsidRPr="001120BF">
        <w:rPr>
          <w:rFonts w:ascii="Times New Roman" w:hAnsi="Times New Roman" w:cs="Times New Roman"/>
          <w:sz w:val="20"/>
          <w:szCs w:val="20"/>
        </w:rPr>
        <w:t>Cuadro</w:t>
      </w:r>
      <w:r w:rsidR="004E5B3E">
        <w:rPr>
          <w:rFonts w:ascii="Times New Roman" w:hAnsi="Times New Roman" w:cs="Times New Roman"/>
          <w:sz w:val="20"/>
          <w:szCs w:val="20"/>
        </w:rPr>
        <w:t xml:space="preserve"> N°4</w:t>
      </w:r>
      <w:r w:rsidR="00135D13">
        <w:rPr>
          <w:rFonts w:ascii="Times New Roman" w:hAnsi="Times New Roman" w:cs="Times New Roman"/>
          <w:sz w:val="20"/>
          <w:szCs w:val="20"/>
        </w:rPr>
        <w:t>. Fuente:</w:t>
      </w:r>
      <w:r w:rsidRPr="001120BF">
        <w:rPr>
          <w:rFonts w:ascii="Times New Roman" w:hAnsi="Times New Roman" w:cs="Times New Roman"/>
          <w:sz w:val="20"/>
          <w:szCs w:val="20"/>
        </w:rPr>
        <w:t xml:space="preserve"> Elaboración propia</w:t>
      </w:r>
    </w:p>
    <w:p w:rsidR="00CF4E5D"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En cuanto a programas sociales, </w:t>
      </w:r>
      <w:r w:rsidR="00C10669">
        <w:rPr>
          <w:rFonts w:ascii="Times New Roman" w:hAnsi="Times New Roman" w:cs="Times New Roman"/>
          <w:sz w:val="24"/>
          <w:szCs w:val="24"/>
        </w:rPr>
        <w:t>del análisis de</w:t>
      </w:r>
      <w:r w:rsidRPr="001120BF">
        <w:rPr>
          <w:rFonts w:ascii="Times New Roman" w:hAnsi="Times New Roman" w:cs="Times New Roman"/>
          <w:sz w:val="24"/>
          <w:szCs w:val="24"/>
        </w:rPr>
        <w:t xml:space="preserve"> los correos electrónicos no se encuentra mención a programas existentes que se dediquen al cuidado de los niños, espacios de inclusión social, apoyo de aprendizajes, espacios de crianza o fortalecimiento de vínculos familiares o comunitarios, apoyos económicos, entre otros posibles. Esto es corroborado en las entrevistas realizadas a la Coordinación de Servicios Locales tanto como los integrantes del equipo del SL, donde afirman que los programas existentes son los financiados por la provincia, no hay programas propios del municipio.</w:t>
      </w:r>
    </w:p>
    <w:p w:rsidR="00CF4E5D" w:rsidRPr="001120BF" w:rsidRDefault="00CF4E5D" w:rsidP="00CF4E5D">
      <w:pPr>
        <w:spacing w:after="240"/>
        <w:ind w:left="567"/>
        <w:jc w:val="both"/>
        <w:rPr>
          <w:rFonts w:ascii="Times New Roman" w:hAnsi="Times New Roman" w:cs="Times New Roman"/>
        </w:rPr>
      </w:pPr>
      <w:r w:rsidRPr="001120BF">
        <w:rPr>
          <w:rFonts w:ascii="Times New Roman" w:hAnsi="Times New Roman" w:cs="Times New Roman"/>
          <w:i/>
        </w:rPr>
        <w:t xml:space="preserve">“Los programas que hay son los programas de la Dirección (provincial) de Niñez: Envión para adolescentes y Juegoteca para niños y niñas. </w:t>
      </w:r>
      <w:r w:rsidRPr="001120BF">
        <w:rPr>
          <w:rFonts w:ascii="Times New Roman" w:hAnsi="Times New Roman" w:cs="Times New Roman"/>
        </w:rPr>
        <w:t xml:space="preserve">Después otros recursos no </w:t>
      </w:r>
      <w:r w:rsidRPr="001120BF">
        <w:rPr>
          <w:rFonts w:ascii="Times New Roman" w:hAnsi="Times New Roman" w:cs="Times New Roman"/>
          <w:i/>
        </w:rPr>
        <w:t>tenemos.”(Coordinadora de Servicios Locales)</w:t>
      </w:r>
    </w:p>
    <w:p w:rsidR="00CF4E5D" w:rsidRPr="001120BF" w:rsidRDefault="003B00D0" w:rsidP="003B00D0">
      <w:pPr>
        <w:spacing w:after="240" w:line="360" w:lineRule="auto"/>
        <w:jc w:val="both"/>
        <w:rPr>
          <w:rFonts w:ascii="Times New Roman" w:hAnsi="Times New Roman" w:cs="Times New Roman"/>
          <w:color w:val="000000"/>
          <w:sz w:val="24"/>
          <w:szCs w:val="24"/>
          <w:shd w:val="clear" w:color="auto" w:fill="FFFFFF"/>
        </w:rPr>
      </w:pPr>
      <w:r w:rsidRPr="001120BF">
        <w:rPr>
          <w:rFonts w:ascii="Times New Roman" w:hAnsi="Times New Roman" w:cs="Times New Roman"/>
          <w:sz w:val="24"/>
          <w:szCs w:val="24"/>
        </w:rPr>
        <w:t>Los trabajadores del SL plantean la falta de profesionale</w:t>
      </w:r>
      <w:r>
        <w:rPr>
          <w:rFonts w:ascii="Times New Roman" w:hAnsi="Times New Roman" w:cs="Times New Roman"/>
          <w:sz w:val="24"/>
          <w:szCs w:val="24"/>
        </w:rPr>
        <w:t xml:space="preserve">s y de recursos en los programas mencionados. </w:t>
      </w:r>
      <w:r w:rsidR="00CF4E5D" w:rsidRPr="001120BF">
        <w:rPr>
          <w:rFonts w:ascii="Times New Roman" w:hAnsi="Times New Roman" w:cs="Times New Roman"/>
          <w:sz w:val="24"/>
          <w:szCs w:val="24"/>
        </w:rPr>
        <w:t>Sin embargo, e</w:t>
      </w:r>
      <w:r w:rsidR="00CF4E5D" w:rsidRPr="001120BF">
        <w:rPr>
          <w:rFonts w:ascii="Times New Roman" w:hAnsi="Times New Roman" w:cs="Times New Roman"/>
          <w:color w:val="000000"/>
          <w:sz w:val="24"/>
          <w:szCs w:val="24"/>
          <w:shd w:val="clear" w:color="auto" w:fill="FFFFFF"/>
        </w:rPr>
        <w:t>l Decreto Reglamentario 300/05 de la Ley provincial 13298, establece que el Municipio debe realizar una asignación de recursos propios a la satisfacción de los derechos económicos, sociales y culturales de los niños que habitan en ellos, adicionales a los recursos transferidos por descentralización (art. 22.1).</w:t>
      </w:r>
    </w:p>
    <w:p w:rsidR="00CF4E5D" w:rsidRPr="001120BF" w:rsidRDefault="00CF4E5D" w:rsidP="00B424B5">
      <w:pPr>
        <w:spacing w:line="360" w:lineRule="auto"/>
        <w:jc w:val="both"/>
        <w:rPr>
          <w:rFonts w:ascii="Times New Roman" w:hAnsi="Times New Roman" w:cs="Times New Roman"/>
          <w:color w:val="000000"/>
          <w:sz w:val="24"/>
          <w:szCs w:val="24"/>
          <w:shd w:val="clear" w:color="auto" w:fill="FFFFFF"/>
        </w:rPr>
      </w:pPr>
      <w:r w:rsidRPr="001120BF">
        <w:rPr>
          <w:rFonts w:ascii="Times New Roman" w:hAnsi="Times New Roman" w:cs="Times New Roman"/>
          <w:sz w:val="24"/>
          <w:szCs w:val="24"/>
        </w:rPr>
        <w:t xml:space="preserve">Dentro de las líneas de intervención posibles de un Servicio local se indagó en la existencia de  programas de apoyo escolar, capacitación laboral, desarrollo o inclusión social, y la respuesta es la misma: “no hay”. </w:t>
      </w:r>
      <w:r w:rsidR="00BB49C8">
        <w:rPr>
          <w:rFonts w:ascii="Times New Roman" w:hAnsi="Times New Roman" w:cs="Times New Roman"/>
          <w:sz w:val="24"/>
          <w:szCs w:val="24"/>
        </w:rPr>
        <w:t xml:space="preserve">Lo cual </w:t>
      </w:r>
      <w:r w:rsidR="00A65AAB">
        <w:rPr>
          <w:rFonts w:ascii="Times New Roman" w:hAnsi="Times New Roman" w:cs="Times New Roman"/>
          <w:sz w:val="24"/>
          <w:szCs w:val="24"/>
        </w:rPr>
        <w:t xml:space="preserve">ratifica </w:t>
      </w:r>
      <w:r w:rsidR="00BB49C8">
        <w:rPr>
          <w:rFonts w:ascii="Times New Roman" w:hAnsi="Times New Roman" w:cs="Times New Roman"/>
          <w:sz w:val="24"/>
          <w:szCs w:val="24"/>
        </w:rPr>
        <w:t>el informe de Unicef</w:t>
      </w:r>
      <w:r w:rsidR="00BB49C8" w:rsidRPr="001120BF">
        <w:rPr>
          <w:rFonts w:ascii="Times New Roman" w:hAnsi="Times New Roman" w:cs="Times New Roman"/>
          <w:sz w:val="24"/>
          <w:szCs w:val="24"/>
        </w:rPr>
        <w:t xml:space="preserve"> (2020)</w:t>
      </w:r>
      <w:r w:rsidR="00A65AAB">
        <w:rPr>
          <w:rFonts w:ascii="Times New Roman" w:hAnsi="Times New Roman" w:cs="Times New Roman"/>
          <w:sz w:val="24"/>
          <w:szCs w:val="24"/>
        </w:rPr>
        <w:t xml:space="preserve"> que explica que</w:t>
      </w:r>
      <w:r w:rsidR="00BB49C8" w:rsidRPr="001120BF">
        <w:rPr>
          <w:rFonts w:ascii="Times New Roman" w:hAnsi="Times New Roman" w:cs="Times New Roman"/>
          <w:sz w:val="24"/>
          <w:szCs w:val="24"/>
        </w:rPr>
        <w:t xml:space="preserve"> los trabajadores carecen de recursos para acompañar la revinculación de los NNyA </w:t>
      </w:r>
      <w:r w:rsidR="00BB49C8">
        <w:rPr>
          <w:rFonts w:ascii="Times New Roman" w:hAnsi="Times New Roman" w:cs="Times New Roman"/>
          <w:sz w:val="24"/>
          <w:szCs w:val="24"/>
        </w:rPr>
        <w:t xml:space="preserve">en medidas de abrigo </w:t>
      </w:r>
      <w:r w:rsidR="00BB49C8" w:rsidRPr="001120BF">
        <w:rPr>
          <w:rFonts w:ascii="Times New Roman" w:hAnsi="Times New Roman" w:cs="Times New Roman"/>
          <w:sz w:val="24"/>
          <w:szCs w:val="24"/>
        </w:rPr>
        <w:t>con su familia.</w:t>
      </w:r>
      <w:r w:rsidR="00BB49C8">
        <w:rPr>
          <w:rFonts w:ascii="Times New Roman" w:hAnsi="Times New Roman" w:cs="Times New Roman"/>
          <w:sz w:val="24"/>
          <w:szCs w:val="24"/>
        </w:rPr>
        <w:t xml:space="preserve"> </w:t>
      </w:r>
      <w:r w:rsidRPr="001120BF">
        <w:rPr>
          <w:rFonts w:ascii="Times New Roman" w:hAnsi="Times New Roman" w:cs="Times New Roman"/>
          <w:sz w:val="24"/>
          <w:szCs w:val="24"/>
        </w:rPr>
        <w:t>Esto entra en tensión con la normativa vigente, puesto que considera como función esencial de los Servicios Locales facilitar que el niño que tenga amenazados o violados sus derechos acceda a los programas y planes disponibles en su comunidad, pues la Ley 13298 propone que cuenten con un manual de recursos públicos y privados municipales, provinciales y nacionales (Reglamentación 300/05, art. 18).</w:t>
      </w:r>
    </w:p>
    <w:p w:rsidR="00F70E90"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Según lo relevado en entrevistas, los equipos realizan entrevistas con la familia, brindan asesoramiento legal y realizan la derivación al área que consideren pertinente. Suelen solicitar espacios de atención en Salud y Salud mental. A partir de lo analizado en las </w:t>
      </w:r>
      <w:r w:rsidRPr="001120BF">
        <w:rPr>
          <w:rFonts w:ascii="Times New Roman" w:hAnsi="Times New Roman" w:cs="Times New Roman"/>
          <w:sz w:val="24"/>
          <w:szCs w:val="24"/>
        </w:rPr>
        <w:lastRenderedPageBreak/>
        <w:t>fuentes, se esclarece que la articulación intersectorial al interior de las dependencias municipales no se encuentra fortalecida</w:t>
      </w:r>
      <w:r w:rsidR="00D2664E">
        <w:rPr>
          <w:rFonts w:ascii="Times New Roman" w:hAnsi="Times New Roman" w:cs="Times New Roman"/>
          <w:sz w:val="24"/>
          <w:szCs w:val="24"/>
        </w:rPr>
        <w:t xml:space="preserve"> ni constituye un modo de trabajo organizado</w:t>
      </w:r>
      <w:r w:rsidRPr="001120BF">
        <w:rPr>
          <w:rFonts w:ascii="Times New Roman" w:hAnsi="Times New Roman" w:cs="Times New Roman"/>
          <w:sz w:val="24"/>
          <w:szCs w:val="24"/>
        </w:rPr>
        <w:t xml:space="preserve">, </w:t>
      </w:r>
      <w:r w:rsidR="00F70E90">
        <w:rPr>
          <w:rFonts w:ascii="Times New Roman" w:hAnsi="Times New Roman" w:cs="Times New Roman"/>
          <w:sz w:val="24"/>
          <w:szCs w:val="24"/>
        </w:rPr>
        <w:t>contrariamente</w:t>
      </w:r>
      <w:r w:rsidRPr="001120BF">
        <w:rPr>
          <w:rFonts w:ascii="Times New Roman" w:hAnsi="Times New Roman" w:cs="Times New Roman"/>
          <w:sz w:val="24"/>
          <w:szCs w:val="24"/>
        </w:rPr>
        <w:t xml:space="preserve"> </w:t>
      </w:r>
      <w:r w:rsidR="00F70E90">
        <w:rPr>
          <w:rFonts w:ascii="Times New Roman" w:hAnsi="Times New Roman" w:cs="Times New Roman"/>
          <w:sz w:val="24"/>
          <w:szCs w:val="24"/>
        </w:rPr>
        <w:t>al</w:t>
      </w:r>
      <w:r w:rsidRPr="001120BF">
        <w:rPr>
          <w:rFonts w:ascii="Times New Roman" w:hAnsi="Times New Roman" w:cs="Times New Roman"/>
          <w:sz w:val="24"/>
          <w:szCs w:val="24"/>
        </w:rPr>
        <w:t xml:space="preserve"> desarrollo de políticas integrales tal como promueve la Ley 26.657 (art. 9; 11). </w:t>
      </w:r>
      <w:r w:rsidR="00F70E90" w:rsidRPr="001120BF">
        <w:rPr>
          <w:rFonts w:ascii="Times New Roman" w:hAnsi="Times New Roman" w:cs="Times New Roman"/>
          <w:sz w:val="24"/>
          <w:szCs w:val="24"/>
        </w:rPr>
        <w:t xml:space="preserve">En todo el análisis de las distintas fuentes no se han identificado acciones de prevención y promoción de derechos. </w:t>
      </w:r>
    </w:p>
    <w:p w:rsidR="00CF4E5D"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Las situaciones relevadas se destacan por cierta tipicidad, lo cual vinculado </w:t>
      </w:r>
      <w:r w:rsidR="00F70E90">
        <w:rPr>
          <w:rFonts w:ascii="Times New Roman" w:hAnsi="Times New Roman" w:cs="Times New Roman"/>
          <w:sz w:val="24"/>
          <w:szCs w:val="24"/>
        </w:rPr>
        <w:t>a las</w:t>
      </w:r>
      <w:r w:rsidRPr="001120BF">
        <w:rPr>
          <w:rFonts w:ascii="Times New Roman" w:hAnsi="Times New Roman" w:cs="Times New Roman"/>
          <w:sz w:val="24"/>
          <w:szCs w:val="24"/>
        </w:rPr>
        <w:t xml:space="preserve"> posibilidades de acción, conlleva a la ejecución de intervenciones acotadas, en los casos más graves y la derivación a otros sectore</w:t>
      </w:r>
      <w:r w:rsidR="00BB49C8">
        <w:rPr>
          <w:rFonts w:ascii="Times New Roman" w:hAnsi="Times New Roman" w:cs="Times New Roman"/>
          <w:sz w:val="24"/>
          <w:szCs w:val="24"/>
        </w:rPr>
        <w:t>s para su abordaje. Según Unicef</w:t>
      </w:r>
      <w:r w:rsidRPr="001120BF">
        <w:rPr>
          <w:rFonts w:ascii="Times New Roman" w:hAnsi="Times New Roman" w:cs="Times New Roman"/>
          <w:sz w:val="24"/>
          <w:szCs w:val="24"/>
        </w:rPr>
        <w:t xml:space="preserve">: “La administración de la demanda es crucial para muchas jurisdicciones, lo que implica en general la limitación de hecho de las competencias a los casos de mayor gravedad o bien el funcionamiento limitado a ser una suerte de instancia de segundo nivel y de </w:t>
      </w:r>
      <w:r w:rsidR="00D94C07">
        <w:rPr>
          <w:rFonts w:ascii="Times New Roman" w:hAnsi="Times New Roman" w:cs="Times New Roman"/>
          <w:sz w:val="24"/>
          <w:szCs w:val="24"/>
        </w:rPr>
        <w:t>recepción de derivación.”(Unicef</w:t>
      </w:r>
      <w:r w:rsidRPr="001120BF">
        <w:rPr>
          <w:rFonts w:ascii="Times New Roman" w:hAnsi="Times New Roman" w:cs="Times New Roman"/>
          <w:sz w:val="24"/>
          <w:szCs w:val="24"/>
        </w:rPr>
        <w:t xml:space="preserve">, 2020: 57). </w:t>
      </w:r>
    </w:p>
    <w:p w:rsidR="00CF4E5D" w:rsidRPr="001120BF" w:rsidRDefault="00CF4E5D" w:rsidP="00CF4E5D">
      <w:pPr>
        <w:spacing w:after="240"/>
        <w:jc w:val="both"/>
        <w:rPr>
          <w:rFonts w:ascii="Times New Roman" w:hAnsi="Times New Roman" w:cs="Times New Roman"/>
          <w:i/>
          <w:sz w:val="24"/>
          <w:szCs w:val="24"/>
        </w:rPr>
      </w:pPr>
      <w:r w:rsidRPr="001120BF">
        <w:rPr>
          <w:rFonts w:ascii="Times New Roman" w:hAnsi="Times New Roman" w:cs="Times New Roman"/>
          <w:i/>
          <w:sz w:val="24"/>
          <w:szCs w:val="24"/>
        </w:rPr>
        <w:t>El seguimiento de los casos, ¿cuánto dura la intervención del Servicio Local?</w:t>
      </w:r>
    </w:p>
    <w:p w:rsidR="00CF4E5D" w:rsidRPr="001120BF" w:rsidRDefault="00CF4E5D"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 xml:space="preserve">A partir de lo inferido de las fuentes, el seguimiento de los casos se realiza de manera telefónica tanto como con entrevistas presenciales. Una vez que interviene un SL, los casos se consideran abiertos hasta la edad de 18 años, donde salen del Sistema de Protección de Derechos de NNyA: </w:t>
      </w:r>
    </w:p>
    <w:p w:rsidR="00CF4E5D" w:rsidRPr="001120BF" w:rsidRDefault="00CF4E5D" w:rsidP="00CF4E5D">
      <w:pPr>
        <w:spacing w:after="240"/>
        <w:ind w:left="567"/>
        <w:jc w:val="both"/>
        <w:rPr>
          <w:rFonts w:ascii="Times New Roman" w:hAnsi="Times New Roman" w:cs="Times New Roman"/>
        </w:rPr>
      </w:pPr>
      <w:r w:rsidRPr="001120BF">
        <w:rPr>
          <w:rFonts w:ascii="Times New Roman" w:hAnsi="Times New Roman" w:cs="Times New Roman"/>
          <w:i/>
        </w:rPr>
        <w:t>“Ella cumplió 18 años, entonces ya salió de la responsabilidad de Niñez pero seguimos por la bebé, que ahora tiene 3 añitos, o sea que con esa bebé tenemos seguimiento hasta los 18 años.”(abogado del SL)</w:t>
      </w:r>
    </w:p>
    <w:p w:rsidR="00CF4E5D" w:rsidRPr="001120BF" w:rsidRDefault="00CF4E5D" w:rsidP="00B424B5">
      <w:pPr>
        <w:spacing w:after="240" w:line="360" w:lineRule="auto"/>
        <w:jc w:val="both"/>
        <w:rPr>
          <w:rFonts w:ascii="Times New Roman" w:hAnsi="Times New Roman" w:cs="Times New Roman"/>
          <w:sz w:val="24"/>
          <w:szCs w:val="24"/>
          <w:highlight w:val="lightGray"/>
        </w:rPr>
      </w:pPr>
      <w:r w:rsidRPr="001120BF">
        <w:rPr>
          <w:rFonts w:ascii="Times New Roman" w:hAnsi="Times New Roman" w:cs="Times New Roman"/>
          <w:sz w:val="24"/>
          <w:szCs w:val="24"/>
        </w:rPr>
        <w:t>La coordinadora de los Servicios locales del municipio afirma en la entrevista que a pesar de haber concluido con una intervención a los fines de la restitución de derechos, se mantiene los casos abiertos.</w:t>
      </w:r>
    </w:p>
    <w:p w:rsidR="00CF4E5D" w:rsidRPr="001120BF" w:rsidRDefault="00CF4E5D" w:rsidP="00CF4E5D">
      <w:pPr>
        <w:spacing w:after="240"/>
        <w:ind w:left="567"/>
        <w:jc w:val="both"/>
        <w:rPr>
          <w:rFonts w:ascii="Times New Roman" w:hAnsi="Times New Roman" w:cs="Times New Roman"/>
          <w:i/>
        </w:rPr>
      </w:pPr>
      <w:r w:rsidRPr="001120BF">
        <w:rPr>
          <w:rFonts w:ascii="Times New Roman" w:hAnsi="Times New Roman" w:cs="Times New Roman"/>
          <w:i/>
        </w:rPr>
        <w:t xml:space="preserve">“Niñez no deja nunca de intervenir, nunca se cierran los casos. Siempre, así se hayan restituido los derechos, haya cesado la vulneración, cada tanto hay que volver a intervenir, volver a chequear que todo siga en orden.”(Coordinadora de Servicios locales) </w:t>
      </w:r>
    </w:p>
    <w:p w:rsidR="005E2766" w:rsidRDefault="00CF4E5D" w:rsidP="005E2766">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¿Qué significa volver a chequear que todo siga en orden?</w:t>
      </w:r>
      <w:r w:rsidR="005E2766">
        <w:rPr>
          <w:rFonts w:ascii="Times New Roman" w:hAnsi="Times New Roman" w:cs="Times New Roman"/>
          <w:sz w:val="24"/>
          <w:szCs w:val="24"/>
        </w:rPr>
        <w:t xml:space="preserve"> Se corrobora </w:t>
      </w:r>
      <w:r w:rsidR="009775A9">
        <w:rPr>
          <w:rFonts w:ascii="Times New Roman" w:hAnsi="Times New Roman" w:cs="Times New Roman"/>
          <w:sz w:val="24"/>
          <w:szCs w:val="24"/>
        </w:rPr>
        <w:t>en la perspectiva de los agentes del SPID,</w:t>
      </w:r>
      <w:r w:rsidR="005E2766">
        <w:rPr>
          <w:rFonts w:ascii="Times New Roman" w:hAnsi="Times New Roman" w:cs="Times New Roman"/>
          <w:sz w:val="24"/>
          <w:szCs w:val="24"/>
        </w:rPr>
        <w:t xml:space="preserve"> la hipótesis donde el control </w:t>
      </w:r>
      <w:r w:rsidR="00BF3173">
        <w:rPr>
          <w:rFonts w:ascii="Times New Roman" w:hAnsi="Times New Roman" w:cs="Times New Roman"/>
          <w:sz w:val="24"/>
          <w:szCs w:val="24"/>
        </w:rPr>
        <w:t>social se encuentra imbricado en la protección de derechos de</w:t>
      </w:r>
      <w:r w:rsidR="005E2766">
        <w:rPr>
          <w:rFonts w:ascii="Times New Roman" w:hAnsi="Times New Roman" w:cs="Times New Roman"/>
          <w:sz w:val="24"/>
          <w:szCs w:val="24"/>
        </w:rPr>
        <w:t xml:space="preserve"> las infancias (Magistris, 2016)</w:t>
      </w:r>
      <w:r w:rsidR="009775A9">
        <w:rPr>
          <w:rFonts w:ascii="Times New Roman" w:hAnsi="Times New Roman" w:cs="Times New Roman"/>
          <w:sz w:val="24"/>
          <w:szCs w:val="24"/>
        </w:rPr>
        <w:t>.</w:t>
      </w:r>
    </w:p>
    <w:p w:rsidR="00CF4E5D" w:rsidRDefault="009775A9" w:rsidP="00B424B5">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pesar de ello</w:t>
      </w:r>
      <w:r w:rsidR="00CF4E5D" w:rsidRPr="001120BF">
        <w:rPr>
          <w:rFonts w:ascii="Times New Roman" w:hAnsi="Times New Roman" w:cs="Times New Roman"/>
          <w:sz w:val="24"/>
          <w:szCs w:val="24"/>
        </w:rPr>
        <w:t>, l</w:t>
      </w:r>
      <w:r w:rsidR="00D2664E">
        <w:rPr>
          <w:rFonts w:ascii="Times New Roman" w:hAnsi="Times New Roman" w:cs="Times New Roman"/>
          <w:sz w:val="24"/>
          <w:szCs w:val="24"/>
        </w:rPr>
        <w:t>as familias entrevistadas afirman que una vez que intervino</w:t>
      </w:r>
      <w:r w:rsidR="00CF4E5D" w:rsidRPr="001120BF">
        <w:rPr>
          <w:rFonts w:ascii="Times New Roman" w:hAnsi="Times New Roman" w:cs="Times New Roman"/>
          <w:sz w:val="24"/>
          <w:szCs w:val="24"/>
        </w:rPr>
        <w:t xml:space="preserve"> el Juzgado y se realizó la derivación a Salud men</w:t>
      </w:r>
      <w:r>
        <w:rPr>
          <w:rFonts w:ascii="Times New Roman" w:hAnsi="Times New Roman" w:cs="Times New Roman"/>
          <w:sz w:val="24"/>
          <w:szCs w:val="24"/>
        </w:rPr>
        <w:t>tal, no volvieron a contactarse</w:t>
      </w:r>
      <w:r w:rsidR="00CF4E5D" w:rsidRPr="001120BF">
        <w:rPr>
          <w:rFonts w:ascii="Times New Roman" w:hAnsi="Times New Roman" w:cs="Times New Roman"/>
          <w:sz w:val="24"/>
          <w:szCs w:val="24"/>
        </w:rPr>
        <w:t xml:space="preserve">. </w:t>
      </w:r>
      <w:r>
        <w:rPr>
          <w:rFonts w:ascii="Times New Roman" w:hAnsi="Times New Roman" w:cs="Times New Roman"/>
          <w:sz w:val="24"/>
          <w:szCs w:val="24"/>
        </w:rPr>
        <w:t>E</w:t>
      </w:r>
      <w:r w:rsidR="00547BD2">
        <w:rPr>
          <w:rFonts w:ascii="Times New Roman" w:hAnsi="Times New Roman" w:cs="Times New Roman"/>
          <w:sz w:val="24"/>
          <w:szCs w:val="24"/>
        </w:rPr>
        <w:t>sto mantiene una coherencia con lo hallado en investigaciones previas:</w:t>
      </w:r>
      <w:r>
        <w:rPr>
          <w:rFonts w:ascii="Times New Roman" w:hAnsi="Times New Roman" w:cs="Times New Roman"/>
          <w:sz w:val="24"/>
          <w:szCs w:val="24"/>
        </w:rPr>
        <w:t xml:space="preserve"> </w:t>
      </w:r>
      <w:r w:rsidR="00CF4E5D" w:rsidRPr="001120BF">
        <w:rPr>
          <w:rFonts w:ascii="Times New Roman" w:hAnsi="Times New Roman" w:cs="Times New Roman"/>
          <w:sz w:val="24"/>
          <w:szCs w:val="24"/>
        </w:rPr>
        <w:t>Unicef afirma que las acciones para fortalecer las condiciones familiares y promover la revinculación efectiva del niño con su familia de origen y ampliada son débiles y no sostenidas en el tiempo (Unicef, 2016).</w:t>
      </w:r>
    </w:p>
    <w:p w:rsidR="00582196" w:rsidRPr="003A53EB" w:rsidRDefault="00582196" w:rsidP="00B424B5">
      <w:pPr>
        <w:spacing w:after="240" w:line="360" w:lineRule="auto"/>
        <w:jc w:val="both"/>
        <w:rPr>
          <w:rFonts w:ascii="Times New Roman" w:hAnsi="Times New Roman" w:cs="Times New Roman"/>
          <w:sz w:val="24"/>
          <w:szCs w:val="24"/>
          <w:u w:val="single"/>
        </w:rPr>
      </w:pPr>
      <w:r w:rsidRPr="003A53EB">
        <w:rPr>
          <w:rFonts w:ascii="Times New Roman" w:hAnsi="Times New Roman" w:cs="Times New Roman"/>
          <w:sz w:val="24"/>
          <w:szCs w:val="24"/>
          <w:u w:val="single"/>
        </w:rPr>
        <w:t xml:space="preserve">Los motivos de la derivación a tratamiento psicológico </w:t>
      </w:r>
    </w:p>
    <w:p w:rsidR="00582196" w:rsidRPr="00A40759" w:rsidRDefault="003A53EB" w:rsidP="00A40759">
      <w:pPr>
        <w:spacing w:line="360" w:lineRule="auto"/>
        <w:jc w:val="both"/>
        <w:rPr>
          <w:rFonts w:ascii="Times New Roman" w:hAnsi="Times New Roman" w:cs="Times New Roman"/>
          <w:sz w:val="24"/>
          <w:szCs w:val="24"/>
        </w:rPr>
      </w:pPr>
      <w:r>
        <w:rPr>
          <w:rFonts w:ascii="Times New Roman" w:hAnsi="Times New Roman" w:cs="Times New Roman"/>
          <w:sz w:val="24"/>
          <w:szCs w:val="24"/>
        </w:rPr>
        <w:t>A partir del análisis de las fuentes, s</w:t>
      </w:r>
      <w:r w:rsidR="00582196" w:rsidRPr="00582196">
        <w:rPr>
          <w:rFonts w:ascii="Times New Roman" w:hAnsi="Times New Roman" w:cs="Times New Roman"/>
          <w:sz w:val="24"/>
          <w:szCs w:val="24"/>
        </w:rPr>
        <w:t xml:space="preserve">e ha encontrado una </w:t>
      </w:r>
      <w:r w:rsidR="000B12DE">
        <w:rPr>
          <w:rFonts w:ascii="Times New Roman" w:hAnsi="Times New Roman" w:cs="Times New Roman"/>
          <w:sz w:val="24"/>
          <w:szCs w:val="24"/>
        </w:rPr>
        <w:t xml:space="preserve">identificación </w:t>
      </w:r>
      <w:r w:rsidR="00582196">
        <w:rPr>
          <w:rFonts w:ascii="Times New Roman" w:hAnsi="Times New Roman" w:cs="Times New Roman"/>
          <w:sz w:val="24"/>
          <w:szCs w:val="24"/>
        </w:rPr>
        <w:t>entre las</w:t>
      </w:r>
      <w:r w:rsidR="000B12DE">
        <w:rPr>
          <w:rFonts w:ascii="Times New Roman" w:hAnsi="Times New Roman" w:cs="Times New Roman"/>
          <w:sz w:val="24"/>
          <w:szCs w:val="24"/>
        </w:rPr>
        <w:t xml:space="preserve"> principales</w:t>
      </w:r>
      <w:r w:rsidR="00582196">
        <w:rPr>
          <w:rFonts w:ascii="Times New Roman" w:hAnsi="Times New Roman" w:cs="Times New Roman"/>
          <w:sz w:val="24"/>
          <w:szCs w:val="24"/>
        </w:rPr>
        <w:t xml:space="preserve"> situaciones de vulneración de derechos sobre las que interviene el Servicio local</w:t>
      </w:r>
      <w:r>
        <w:rPr>
          <w:rFonts w:ascii="Times New Roman" w:hAnsi="Times New Roman" w:cs="Times New Roman"/>
          <w:sz w:val="24"/>
          <w:szCs w:val="24"/>
        </w:rPr>
        <w:t xml:space="preserve"> y los motivos de consulta </w:t>
      </w:r>
      <w:r w:rsidR="000B12DE">
        <w:rPr>
          <w:rFonts w:ascii="Times New Roman" w:hAnsi="Times New Roman" w:cs="Times New Roman"/>
          <w:sz w:val="24"/>
          <w:szCs w:val="24"/>
        </w:rPr>
        <w:t xml:space="preserve">recabados </w:t>
      </w:r>
      <w:r>
        <w:rPr>
          <w:rFonts w:ascii="Times New Roman" w:hAnsi="Times New Roman" w:cs="Times New Roman"/>
          <w:sz w:val="24"/>
          <w:szCs w:val="24"/>
        </w:rPr>
        <w:t>en los pedidos de tratamiento que se han relevado. Se expone a continuación:</w:t>
      </w:r>
    </w:p>
    <w:tbl>
      <w:tblPr>
        <w:tblpPr w:leftFromText="141" w:rightFromText="141" w:vertAnchor="text" w:horzAnchor="margin" w:tblpXSpec="center" w:tblpY="118"/>
        <w:tblW w:w="8602" w:type="dxa"/>
        <w:tblCellSpacing w:w="0" w:type="dxa"/>
        <w:tblCellMar>
          <w:left w:w="0" w:type="dxa"/>
          <w:right w:w="0" w:type="dxa"/>
        </w:tblCellMar>
        <w:tblLook w:val="04A0"/>
      </w:tblPr>
      <w:tblGrid>
        <w:gridCol w:w="7451"/>
        <w:gridCol w:w="1151"/>
      </w:tblGrid>
      <w:tr w:rsidR="00582196" w:rsidRPr="00DA5887" w:rsidTr="00EA203F">
        <w:trPr>
          <w:trHeight w:val="259"/>
          <w:tblCellSpacing w:w="0" w:type="dxa"/>
        </w:trPr>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39" w:type="dxa"/>
              <w:bottom w:w="0" w:type="dxa"/>
              <w:right w:w="39" w:type="dxa"/>
            </w:tcMar>
            <w:vAlign w:val="center"/>
            <w:hideMark/>
          </w:tcPr>
          <w:p w:rsidR="00582196" w:rsidRPr="00DA5887" w:rsidRDefault="00582196" w:rsidP="00A40759">
            <w:pPr>
              <w:spacing w:after="0"/>
              <w:jc w:val="center"/>
              <w:rPr>
                <w:rFonts w:ascii="Calibri" w:eastAsia="Times New Roman" w:hAnsi="Calibri" w:cs="Calibri"/>
                <w:b/>
                <w:bCs/>
                <w:lang w:eastAsia="es-AR"/>
              </w:rPr>
            </w:pPr>
            <w:r w:rsidRPr="00DA5887">
              <w:rPr>
                <w:rFonts w:ascii="Calibri" w:eastAsia="Times New Roman" w:hAnsi="Calibri" w:cs="Calibri"/>
                <w:b/>
                <w:bCs/>
                <w:lang w:eastAsia="es-AR"/>
              </w:rPr>
              <w:t>Motivos de Consulta</w:t>
            </w:r>
          </w:p>
        </w:tc>
        <w:tc>
          <w:tcPr>
            <w:tcW w:w="0" w:type="auto"/>
            <w:tcBorders>
              <w:top w:val="single" w:sz="4" w:space="0" w:color="000000"/>
              <w:bottom w:val="single" w:sz="4" w:space="0" w:color="000000"/>
              <w:right w:val="single" w:sz="4" w:space="0" w:color="000000"/>
            </w:tcBorders>
            <w:shd w:val="clear" w:color="auto" w:fill="CFE2F3"/>
            <w:tcMar>
              <w:top w:w="0" w:type="dxa"/>
              <w:left w:w="39" w:type="dxa"/>
              <w:bottom w:w="0" w:type="dxa"/>
              <w:right w:w="39" w:type="dxa"/>
            </w:tcMar>
            <w:vAlign w:val="bottom"/>
            <w:hideMark/>
          </w:tcPr>
          <w:p w:rsidR="00582196" w:rsidRPr="00DA5887" w:rsidRDefault="00582196" w:rsidP="00EA203F">
            <w:pPr>
              <w:spacing w:after="0"/>
              <w:jc w:val="center"/>
              <w:rPr>
                <w:rFonts w:ascii="Calibri" w:eastAsia="Times New Roman" w:hAnsi="Calibri" w:cs="Calibri"/>
                <w:b/>
                <w:bCs/>
                <w:lang w:eastAsia="es-AR"/>
              </w:rPr>
            </w:pPr>
            <w:r>
              <w:rPr>
                <w:rFonts w:ascii="Calibri" w:eastAsia="Times New Roman" w:hAnsi="Calibri" w:cs="Calibri"/>
                <w:b/>
                <w:bCs/>
                <w:lang w:eastAsia="es-AR"/>
              </w:rPr>
              <w:t>N° de Casos</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Pr>
                <w:rFonts w:ascii="Calibri" w:eastAsia="Times New Roman" w:hAnsi="Calibri" w:cs="Calibri"/>
                <w:lang w:eastAsia="es-AR"/>
              </w:rPr>
              <w:t>ASI intrafamiliar</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r>
              <w:rPr>
                <w:rFonts w:ascii="Calibri" w:eastAsia="Times New Roman" w:hAnsi="Calibri" w:cs="Calibri"/>
                <w:lang w:eastAsia="es-AR"/>
              </w:rPr>
              <w:t>7</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Pr>
                <w:rFonts w:ascii="Calibri" w:eastAsia="Times New Roman" w:hAnsi="Calibri" w:cs="Calibri"/>
                <w:lang w:eastAsia="es-AR"/>
              </w:rPr>
              <w:t>Evaluación de progenitores</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r>
              <w:rPr>
                <w:rFonts w:ascii="Calibri" w:eastAsia="Times New Roman" w:hAnsi="Calibri" w:cs="Calibri"/>
                <w:lang w:eastAsia="es-AR"/>
              </w:rPr>
              <w:t>2</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Pr>
                <w:rFonts w:ascii="Calibri" w:eastAsia="Times New Roman" w:hAnsi="Calibri" w:cs="Calibri"/>
                <w:lang w:eastAsia="es-AR"/>
              </w:rPr>
              <w:t>Violencia familiar</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Pr>
                <w:rFonts w:ascii="Calibri" w:eastAsia="Times New Roman" w:hAnsi="Calibri" w:cs="Calibri"/>
                <w:lang w:eastAsia="es-AR"/>
              </w:rPr>
              <w:t>10</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color w:val="222222"/>
                <w:lang w:eastAsia="es-AR"/>
              </w:rPr>
            </w:pPr>
            <w:r w:rsidRPr="00DA5887">
              <w:rPr>
                <w:rFonts w:ascii="Calibri" w:eastAsia="Times New Roman" w:hAnsi="Calibri" w:cs="Calibri"/>
                <w:lang w:eastAsia="es-AR"/>
              </w:rPr>
              <w:t>Conflictiva vincular familiar</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Pr>
                <w:rFonts w:ascii="Calibri" w:eastAsia="Times New Roman" w:hAnsi="Calibri" w:cs="Calibri"/>
                <w:lang w:eastAsia="es-AR"/>
              </w:rPr>
              <w:t>5</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sidRPr="00DA5887">
              <w:rPr>
                <w:rFonts w:ascii="Calibri" w:eastAsia="Times New Roman" w:hAnsi="Calibri" w:cs="Calibri"/>
                <w:lang w:eastAsia="es-AR"/>
              </w:rPr>
              <w:t>Discapacidad</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color w:val="222222"/>
                <w:lang w:eastAsia="es-AR"/>
              </w:rPr>
            </w:pPr>
            <w:r w:rsidRPr="00DA5887">
              <w:rPr>
                <w:rFonts w:ascii="Calibri" w:eastAsia="Times New Roman" w:hAnsi="Calibri" w:cs="Calibri"/>
                <w:color w:val="222222"/>
                <w:lang w:eastAsia="es-AR"/>
              </w:rPr>
              <w:t>Requerimiento judicial por Guarda Familiar definitiva.</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Pr>
                <w:rFonts w:ascii="Calibri" w:eastAsia="Times New Roman" w:hAnsi="Calibri" w:cs="Calibri"/>
                <w:lang w:eastAsia="es-AR"/>
              </w:rPr>
              <w:t>Autoagresividad</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Pr>
                <w:rFonts w:ascii="Calibri" w:eastAsia="Times New Roman" w:hAnsi="Calibri" w:cs="Calibri"/>
                <w:lang w:eastAsia="es-AR"/>
              </w:rPr>
              <w:t>2</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sidRPr="00DA5887">
              <w:rPr>
                <w:rFonts w:ascii="Calibri" w:eastAsia="Times New Roman" w:hAnsi="Calibri" w:cs="Calibri"/>
                <w:lang w:eastAsia="es-AR"/>
              </w:rPr>
              <w:t>Escasez de vínculos familiares/afectivos de apoyo e institucionalización prolongada</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2</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sidRPr="00DA5887">
              <w:rPr>
                <w:rFonts w:ascii="Calibri" w:eastAsia="Times New Roman" w:hAnsi="Calibri" w:cs="Calibri"/>
                <w:lang w:eastAsia="es-AR"/>
              </w:rPr>
              <w:t>Duelo</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p>
        </w:tc>
      </w:tr>
      <w:tr w:rsidR="00582196" w:rsidRPr="00DA5887" w:rsidTr="00EA203F">
        <w:trPr>
          <w:trHeight w:val="259"/>
          <w:tblCellSpacing w:w="0" w:type="dxa"/>
        </w:trPr>
        <w:tc>
          <w:tcPr>
            <w:tcW w:w="0" w:type="auto"/>
            <w:tcBorders>
              <w:left w:val="single" w:sz="4" w:space="0" w:color="000000"/>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rPr>
                <w:rFonts w:ascii="Calibri" w:eastAsia="Times New Roman" w:hAnsi="Calibri" w:cs="Calibri"/>
                <w:lang w:eastAsia="es-AR"/>
              </w:rPr>
            </w:pPr>
            <w:r w:rsidRPr="00DA5887">
              <w:rPr>
                <w:rFonts w:ascii="Calibri" w:eastAsia="Times New Roman" w:hAnsi="Calibri" w:cs="Calibri"/>
                <w:lang w:eastAsia="es-AR"/>
              </w:rPr>
              <w:t>Angustia. Problemática personal.</w:t>
            </w:r>
          </w:p>
        </w:tc>
        <w:tc>
          <w:tcPr>
            <w:tcW w:w="0" w:type="auto"/>
            <w:tcBorders>
              <w:bottom w:val="single" w:sz="4" w:space="0" w:color="000000"/>
              <w:right w:val="single" w:sz="4" w:space="0" w:color="000000"/>
            </w:tcBorders>
            <w:shd w:val="clear" w:color="auto" w:fill="FFF2CC"/>
            <w:tcMar>
              <w:top w:w="0" w:type="dxa"/>
              <w:left w:w="39" w:type="dxa"/>
              <w:bottom w:w="0" w:type="dxa"/>
              <w:right w:w="39" w:type="dxa"/>
            </w:tcMar>
            <w:vAlign w:val="bottom"/>
            <w:hideMark/>
          </w:tcPr>
          <w:p w:rsidR="00582196" w:rsidRPr="00DA5887" w:rsidRDefault="00582196" w:rsidP="00EA203F">
            <w:pPr>
              <w:spacing w:after="0"/>
              <w:jc w:val="right"/>
              <w:rPr>
                <w:rFonts w:ascii="Calibri" w:eastAsia="Times New Roman" w:hAnsi="Calibri" w:cs="Calibri"/>
                <w:lang w:eastAsia="es-AR"/>
              </w:rPr>
            </w:pPr>
            <w:r w:rsidRPr="00DA5887">
              <w:rPr>
                <w:rFonts w:ascii="Calibri" w:eastAsia="Times New Roman" w:hAnsi="Calibri" w:cs="Calibri"/>
                <w:lang w:eastAsia="es-AR"/>
              </w:rPr>
              <w:t>1</w:t>
            </w:r>
          </w:p>
        </w:tc>
      </w:tr>
    </w:tbl>
    <w:p w:rsidR="009F2D68" w:rsidRPr="00F159F0" w:rsidRDefault="009F2D68" w:rsidP="009F2D68">
      <w:pPr>
        <w:spacing w:after="240"/>
        <w:jc w:val="right"/>
        <w:rPr>
          <w:rFonts w:ascii="Times New Roman" w:hAnsi="Times New Roman" w:cs="Times New Roman"/>
          <w:sz w:val="20"/>
          <w:szCs w:val="20"/>
        </w:rPr>
      </w:pPr>
      <w:r w:rsidRPr="00F159F0">
        <w:rPr>
          <w:rFonts w:ascii="Times New Roman" w:hAnsi="Times New Roman" w:cs="Times New Roman"/>
          <w:sz w:val="20"/>
          <w:szCs w:val="20"/>
        </w:rPr>
        <w:t>Cuadro N°</w:t>
      </w:r>
      <w:r w:rsidR="004E5B3E">
        <w:rPr>
          <w:rFonts w:ascii="Times New Roman" w:hAnsi="Times New Roman" w:cs="Times New Roman"/>
          <w:sz w:val="20"/>
          <w:szCs w:val="20"/>
        </w:rPr>
        <w:t>5</w:t>
      </w:r>
      <w:r w:rsidRPr="00F159F0">
        <w:rPr>
          <w:rFonts w:ascii="Times New Roman" w:hAnsi="Times New Roman" w:cs="Times New Roman"/>
          <w:sz w:val="20"/>
          <w:szCs w:val="20"/>
        </w:rPr>
        <w:t>. Fuente: Elaboración propia.</w:t>
      </w:r>
    </w:p>
    <w:p w:rsidR="00994550" w:rsidRDefault="00994550" w:rsidP="00A4075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el estudio se ha identificado el uso del principio de Corresponsabilidad como marco legal en que se apoya la derivación a Salud mental. Sin embargo las prácticas descriptas no reflejan el espíritu propuesto por la ley 13.298 basado en un abordaje integral (</w:t>
      </w:r>
      <w:r w:rsidRPr="00994550">
        <w:rPr>
          <w:rFonts w:ascii="Times New Roman" w:hAnsi="Times New Roman" w:cs="Times New Roman"/>
          <w:sz w:val="24"/>
          <w:szCs w:val="24"/>
        </w:rPr>
        <w:t>Decreto 300/05, Art. 21.3</w:t>
      </w:r>
      <w:r>
        <w:rPr>
          <w:rFonts w:ascii="Times New Roman" w:hAnsi="Times New Roman" w:cs="Times New Roman"/>
          <w:sz w:val="24"/>
          <w:szCs w:val="24"/>
        </w:rPr>
        <w:t>).</w:t>
      </w:r>
    </w:p>
    <w:p w:rsidR="00EA203F" w:rsidRPr="00EA203F" w:rsidRDefault="00EA203F" w:rsidP="00A40759">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 ha relevado en el análisis de las fuentes la insistencia en la necesidad de tratamiento o atención psicológica para los NNyA que han sufrido situaciones de vulneración de derechos. Para</w:t>
      </w:r>
      <w:r w:rsidR="00A31235">
        <w:rPr>
          <w:rFonts w:ascii="Times New Roman" w:hAnsi="Times New Roman" w:cs="Times New Roman"/>
          <w:sz w:val="24"/>
          <w:szCs w:val="24"/>
        </w:rPr>
        <w:t xml:space="preserve"> ejemplificar</w:t>
      </w:r>
      <w:r>
        <w:rPr>
          <w:rFonts w:ascii="Times New Roman" w:hAnsi="Times New Roman" w:cs="Times New Roman"/>
          <w:sz w:val="24"/>
          <w:szCs w:val="24"/>
        </w:rPr>
        <w:t>, e</w:t>
      </w:r>
      <w:r w:rsidRPr="00EA203F">
        <w:rPr>
          <w:rFonts w:ascii="Times New Roman" w:hAnsi="Times New Roman" w:cs="Times New Roman"/>
          <w:sz w:val="24"/>
          <w:szCs w:val="24"/>
        </w:rPr>
        <w:t xml:space="preserve">n relación a los criterios </w:t>
      </w:r>
      <w:r w:rsidR="000B12DE">
        <w:rPr>
          <w:rFonts w:ascii="Times New Roman" w:hAnsi="Times New Roman" w:cs="Times New Roman"/>
          <w:sz w:val="24"/>
          <w:szCs w:val="24"/>
        </w:rPr>
        <w:t>que subyacen a la</w:t>
      </w:r>
      <w:r w:rsidRPr="00EA203F">
        <w:rPr>
          <w:rFonts w:ascii="Times New Roman" w:hAnsi="Times New Roman" w:cs="Times New Roman"/>
          <w:sz w:val="24"/>
          <w:szCs w:val="24"/>
        </w:rPr>
        <w:t xml:space="preserve"> derivación, la coordinadora de los SL manifiesta: </w:t>
      </w:r>
    </w:p>
    <w:p w:rsidR="00EA203F" w:rsidRPr="00EA203F" w:rsidRDefault="00EA203F" w:rsidP="00EA203F">
      <w:pPr>
        <w:spacing w:after="240"/>
        <w:ind w:left="567"/>
        <w:jc w:val="both"/>
        <w:rPr>
          <w:rFonts w:ascii="Times New Roman" w:hAnsi="Times New Roman" w:cs="Times New Roman"/>
          <w:i/>
        </w:rPr>
      </w:pPr>
      <w:r w:rsidRPr="00EA203F">
        <w:rPr>
          <w:rFonts w:ascii="Times New Roman" w:hAnsi="Times New Roman" w:cs="Times New Roman"/>
        </w:rPr>
        <w:lastRenderedPageBreak/>
        <w:t>“</w:t>
      </w:r>
      <w:r w:rsidRPr="00EA203F">
        <w:rPr>
          <w:rFonts w:ascii="Times New Roman" w:hAnsi="Times New Roman" w:cs="Times New Roman"/>
          <w:i/>
        </w:rPr>
        <w:t xml:space="preserve">De por sí siempre que un chico tuvo un derecho vulnerado tiene que hacer tratamiento psicológico. Porque fue violentado de alguna u otra forma y necesita superar eso para que el día de mañana podamos tener adultos con sus problemas de la niñez resueltos. Siempre que hay una vulneración de derechos, hay una lesión o en la psiquis del chico.”(Coordinadora de SL) </w:t>
      </w:r>
    </w:p>
    <w:p w:rsidR="009D3C31" w:rsidRPr="00994550" w:rsidRDefault="00EA203F" w:rsidP="00B424B5">
      <w:pPr>
        <w:spacing w:after="240" w:line="360" w:lineRule="auto"/>
        <w:jc w:val="both"/>
        <w:rPr>
          <w:rFonts w:ascii="Times New Roman" w:hAnsi="Times New Roman" w:cs="Times New Roman"/>
          <w:color w:val="000000"/>
          <w:sz w:val="24"/>
          <w:szCs w:val="24"/>
        </w:rPr>
      </w:pPr>
      <w:r w:rsidRPr="00A40759">
        <w:rPr>
          <w:rFonts w:ascii="Times New Roman" w:hAnsi="Times New Roman" w:cs="Times New Roman"/>
          <w:sz w:val="24"/>
          <w:szCs w:val="24"/>
        </w:rPr>
        <w:t xml:space="preserve">Se </w:t>
      </w:r>
      <w:r w:rsidR="00A40759">
        <w:rPr>
          <w:rFonts w:ascii="Times New Roman" w:hAnsi="Times New Roman" w:cs="Times New Roman"/>
          <w:sz w:val="24"/>
          <w:szCs w:val="24"/>
        </w:rPr>
        <w:t>corrobora como</w:t>
      </w:r>
      <w:r w:rsidR="000B12DE">
        <w:rPr>
          <w:rFonts w:ascii="Times New Roman" w:hAnsi="Times New Roman" w:cs="Times New Roman"/>
          <w:sz w:val="24"/>
          <w:szCs w:val="24"/>
        </w:rPr>
        <w:t xml:space="preserve"> ya</w:t>
      </w:r>
      <w:r w:rsidR="00A40759">
        <w:rPr>
          <w:rFonts w:ascii="Times New Roman" w:hAnsi="Times New Roman" w:cs="Times New Roman"/>
          <w:sz w:val="24"/>
          <w:szCs w:val="24"/>
        </w:rPr>
        <w:t xml:space="preserve"> ha sido planteado por diversos autores </w:t>
      </w:r>
      <w:r w:rsidRPr="00A40759">
        <w:rPr>
          <w:rFonts w:ascii="Times New Roman" w:hAnsi="Times New Roman" w:cs="Times New Roman"/>
          <w:sz w:val="24"/>
          <w:szCs w:val="24"/>
        </w:rPr>
        <w:t>la</w:t>
      </w:r>
      <w:r w:rsidR="00A40759">
        <w:rPr>
          <w:rFonts w:ascii="Times New Roman" w:hAnsi="Times New Roman" w:cs="Times New Roman"/>
          <w:sz w:val="24"/>
          <w:szCs w:val="24"/>
        </w:rPr>
        <w:t xml:space="preserve"> tendencia a la psicologización de los problemas sociales (Llobet, </w:t>
      </w:r>
      <w:r w:rsidR="000B12DE">
        <w:rPr>
          <w:rFonts w:ascii="Times New Roman" w:hAnsi="Times New Roman" w:cs="Times New Roman"/>
          <w:sz w:val="24"/>
          <w:szCs w:val="24"/>
        </w:rPr>
        <w:t>2009</w:t>
      </w:r>
      <w:r w:rsidR="00A40759">
        <w:rPr>
          <w:rFonts w:ascii="Times New Roman" w:hAnsi="Times New Roman" w:cs="Times New Roman"/>
          <w:sz w:val="24"/>
          <w:szCs w:val="24"/>
        </w:rPr>
        <w:t>), la individualización de situaciones colectivas (Fassin,</w:t>
      </w:r>
      <w:r w:rsidR="000B12DE">
        <w:rPr>
          <w:rFonts w:ascii="Times New Roman" w:hAnsi="Times New Roman" w:cs="Times New Roman"/>
          <w:sz w:val="24"/>
          <w:szCs w:val="24"/>
        </w:rPr>
        <w:t xml:space="preserve"> 2003</w:t>
      </w:r>
      <w:r w:rsidR="00A40759">
        <w:rPr>
          <w:rFonts w:ascii="Times New Roman" w:hAnsi="Times New Roman" w:cs="Times New Roman"/>
          <w:sz w:val="24"/>
          <w:szCs w:val="24"/>
        </w:rPr>
        <w:t xml:space="preserve">) </w:t>
      </w:r>
      <w:r w:rsidR="000B12DE">
        <w:rPr>
          <w:rFonts w:ascii="Times New Roman" w:hAnsi="Times New Roman" w:cs="Times New Roman"/>
          <w:sz w:val="24"/>
          <w:szCs w:val="24"/>
        </w:rPr>
        <w:t>y</w:t>
      </w:r>
      <w:r w:rsidR="00A40759">
        <w:rPr>
          <w:rFonts w:ascii="Times New Roman" w:hAnsi="Times New Roman" w:cs="Times New Roman"/>
          <w:sz w:val="24"/>
          <w:szCs w:val="24"/>
        </w:rPr>
        <w:t xml:space="preserve"> </w:t>
      </w:r>
      <w:r w:rsidR="000B12DE" w:rsidRPr="00E6007E">
        <w:rPr>
          <w:rFonts w:ascii="Times New Roman" w:hAnsi="Times New Roman" w:cs="Times New Roman"/>
          <w:color w:val="000000"/>
          <w:sz w:val="24"/>
          <w:szCs w:val="24"/>
        </w:rPr>
        <w:t>psicopatologización del sufrimiento infantil (Mi</w:t>
      </w:r>
      <w:r w:rsidR="000B12DE">
        <w:rPr>
          <w:rFonts w:ascii="Times New Roman" w:hAnsi="Times New Roman" w:cs="Times New Roman"/>
          <w:color w:val="000000"/>
          <w:sz w:val="24"/>
          <w:szCs w:val="24"/>
        </w:rPr>
        <w:t>chalewicz, 2011).</w:t>
      </w:r>
    </w:p>
    <w:p w:rsidR="00991499" w:rsidRPr="001120BF" w:rsidRDefault="00991499" w:rsidP="00991499">
      <w:pPr>
        <w:shd w:val="clear" w:color="auto" w:fill="FFFFFF"/>
        <w:spacing w:after="240"/>
        <w:jc w:val="both"/>
        <w:rPr>
          <w:rFonts w:ascii="Times New Roman" w:eastAsia="Times New Roman" w:hAnsi="Times New Roman" w:cs="Times New Roman"/>
          <w:color w:val="222222"/>
          <w:sz w:val="24"/>
          <w:szCs w:val="24"/>
          <w:u w:val="single"/>
          <w:lang w:eastAsia="es-AR"/>
        </w:rPr>
      </w:pPr>
      <w:r w:rsidRPr="001120BF">
        <w:rPr>
          <w:rFonts w:ascii="Times New Roman" w:eastAsia="Times New Roman" w:hAnsi="Times New Roman" w:cs="Times New Roman"/>
          <w:color w:val="222222"/>
          <w:sz w:val="24"/>
          <w:szCs w:val="24"/>
          <w:u w:val="single"/>
          <w:lang w:eastAsia="es-AR"/>
        </w:rPr>
        <w:t>Las Medidas de (Des)Abrigo: La no-excepcionalidad de las medidas excepcionales</w:t>
      </w:r>
    </w:p>
    <w:p w:rsidR="00991499" w:rsidRPr="001120BF" w:rsidRDefault="00991499" w:rsidP="00531023">
      <w:pPr>
        <w:shd w:val="clear" w:color="auto" w:fill="FFFFFF"/>
        <w:spacing w:line="360" w:lineRule="auto"/>
        <w:jc w:val="both"/>
        <w:rPr>
          <w:rFonts w:ascii="Times New Roman" w:eastAsia="Times New Roman" w:hAnsi="Times New Roman" w:cs="Times New Roman"/>
          <w:color w:val="222222"/>
          <w:sz w:val="24"/>
          <w:szCs w:val="24"/>
          <w:lang w:eastAsia="es-AR"/>
        </w:rPr>
      </w:pPr>
      <w:r w:rsidRPr="001120BF">
        <w:rPr>
          <w:rFonts w:ascii="Times New Roman" w:eastAsia="Times New Roman" w:hAnsi="Times New Roman" w:cs="Times New Roman"/>
          <w:color w:val="222222"/>
          <w:sz w:val="24"/>
          <w:szCs w:val="24"/>
          <w:lang w:eastAsia="es-AR"/>
        </w:rPr>
        <w:t>De los 52 casos estudiados, en 15 casos (28,8%) se encontró -al momento de la solicitud de la intervención- una medida de abrigo vigente y en 37</w:t>
      </w:r>
      <w:r w:rsidR="00135D13">
        <w:rPr>
          <w:rFonts w:ascii="Times New Roman" w:eastAsia="Times New Roman" w:hAnsi="Times New Roman" w:cs="Times New Roman"/>
          <w:color w:val="222222"/>
          <w:sz w:val="24"/>
          <w:szCs w:val="24"/>
          <w:lang w:eastAsia="es-AR"/>
        </w:rPr>
        <w:t xml:space="preserve"> restantes</w:t>
      </w:r>
      <w:r w:rsidRPr="001120BF">
        <w:rPr>
          <w:rFonts w:ascii="Times New Roman" w:eastAsia="Times New Roman" w:hAnsi="Times New Roman" w:cs="Times New Roman"/>
          <w:color w:val="222222"/>
          <w:sz w:val="24"/>
          <w:szCs w:val="24"/>
          <w:lang w:eastAsia="es-AR"/>
        </w:rPr>
        <w:t xml:space="preserve"> no (71,2%). Se considera un porcentaje positivo elevado en tanto uno de cada cuatro NNyA se hallaba en una medida de abrigo cuando debería ser una situación excepcional. Del porcentaj</w:t>
      </w:r>
      <w:r w:rsidR="00531023">
        <w:rPr>
          <w:rFonts w:ascii="Times New Roman" w:eastAsia="Times New Roman" w:hAnsi="Times New Roman" w:cs="Times New Roman"/>
          <w:color w:val="222222"/>
          <w:sz w:val="24"/>
          <w:szCs w:val="24"/>
          <w:lang w:eastAsia="es-AR"/>
        </w:rPr>
        <w:t>e positivo, el 17,3% se ubica</w:t>
      </w:r>
      <w:r w:rsidRPr="001120BF">
        <w:rPr>
          <w:rFonts w:ascii="Times New Roman" w:eastAsia="Times New Roman" w:hAnsi="Times New Roman" w:cs="Times New Roman"/>
          <w:color w:val="222222"/>
          <w:sz w:val="24"/>
          <w:szCs w:val="24"/>
          <w:lang w:eastAsia="es-AR"/>
        </w:rPr>
        <w:t xml:space="preserve"> en medida de abrigo en familia ampliada </w:t>
      </w:r>
      <w:r w:rsidR="00531023">
        <w:rPr>
          <w:rFonts w:ascii="Times New Roman" w:eastAsia="Times New Roman" w:hAnsi="Times New Roman" w:cs="Times New Roman"/>
          <w:color w:val="222222"/>
          <w:sz w:val="24"/>
          <w:szCs w:val="24"/>
          <w:lang w:eastAsia="es-AR"/>
        </w:rPr>
        <w:t xml:space="preserve">y el resto en medidas </w:t>
      </w:r>
      <w:r w:rsidRPr="001120BF">
        <w:rPr>
          <w:rFonts w:ascii="Times New Roman" w:eastAsia="Times New Roman" w:hAnsi="Times New Roman" w:cs="Times New Roman"/>
          <w:color w:val="222222"/>
          <w:sz w:val="24"/>
          <w:szCs w:val="24"/>
          <w:lang w:eastAsia="es-AR"/>
        </w:rPr>
        <w:t xml:space="preserve">de tipo institucional. </w:t>
      </w:r>
    </w:p>
    <w:p w:rsidR="00991499" w:rsidRPr="001120BF" w:rsidRDefault="00991499" w:rsidP="00B424B5">
      <w:pPr>
        <w:shd w:val="clear" w:color="auto" w:fill="FFFFFF"/>
        <w:spacing w:after="240" w:line="360" w:lineRule="auto"/>
        <w:jc w:val="both"/>
        <w:rPr>
          <w:rFonts w:ascii="Times New Roman" w:hAnsi="Times New Roman" w:cs="Times New Roman"/>
          <w:sz w:val="24"/>
          <w:szCs w:val="24"/>
        </w:rPr>
      </w:pPr>
      <w:r w:rsidRPr="001120BF">
        <w:rPr>
          <w:rFonts w:ascii="Times New Roman" w:eastAsia="Times New Roman" w:hAnsi="Times New Roman" w:cs="Times New Roman"/>
          <w:color w:val="222222"/>
          <w:sz w:val="24"/>
          <w:szCs w:val="24"/>
          <w:lang w:eastAsia="es-AR"/>
        </w:rPr>
        <w:t xml:space="preserve">Se constata también en este estudio que la insuficiencia de recursos y estrategias de protección y promoción integrales de derechos, el debilitamiento de políticas de fortalecimiento familiar y el trabajo desarticulado entre sectores, </w:t>
      </w:r>
      <w:r w:rsidRPr="001120BF">
        <w:rPr>
          <w:rFonts w:ascii="Times New Roman" w:hAnsi="Times New Roman" w:cs="Times New Roman"/>
          <w:sz w:val="24"/>
          <w:szCs w:val="24"/>
        </w:rPr>
        <w:t xml:space="preserve">deviene en un aumento de medidas de institucionalización </w:t>
      </w:r>
      <w:r w:rsidRPr="001120BF">
        <w:rPr>
          <w:rFonts w:ascii="Times New Roman" w:eastAsia="Times New Roman" w:hAnsi="Times New Roman" w:cs="Times New Roman"/>
          <w:color w:val="222222"/>
          <w:sz w:val="24"/>
          <w:szCs w:val="24"/>
          <w:lang w:eastAsia="es-AR"/>
        </w:rPr>
        <w:t xml:space="preserve">tal como es planteado en otros estudios </w:t>
      </w:r>
      <w:r w:rsidRPr="001120BF">
        <w:rPr>
          <w:rFonts w:ascii="Times New Roman" w:hAnsi="Times New Roman" w:cs="Times New Roman"/>
          <w:sz w:val="24"/>
          <w:szCs w:val="24"/>
        </w:rPr>
        <w:t xml:space="preserve">(Michalewicz, 2011; 2013). </w:t>
      </w:r>
    </w:p>
    <w:p w:rsidR="00991499" w:rsidRPr="001120BF" w:rsidRDefault="003A37A0" w:rsidP="00B424B5">
      <w:pPr>
        <w:shd w:val="clear" w:color="auto" w:fill="FFFFFF"/>
        <w:spacing w:after="240" w:line="360" w:lineRule="auto"/>
        <w:jc w:val="both"/>
        <w:rPr>
          <w:rFonts w:ascii="Times New Roman" w:hAnsi="Times New Roman" w:cs="Times New Roman"/>
          <w:sz w:val="24"/>
          <w:szCs w:val="24"/>
        </w:rPr>
      </w:pPr>
      <w:r w:rsidRPr="00890060">
        <w:rPr>
          <w:rFonts w:ascii="Times New Roman" w:hAnsi="Times New Roman" w:cs="Times New Roman"/>
          <w:sz w:val="24"/>
          <w:szCs w:val="24"/>
        </w:rPr>
        <w:t xml:space="preserve">En el municipio de Lanús se constata la </w:t>
      </w:r>
      <w:r w:rsidR="00890060" w:rsidRPr="00890060">
        <w:rPr>
          <w:rFonts w:ascii="Times New Roman" w:hAnsi="Times New Roman" w:cs="Times New Roman"/>
          <w:sz w:val="24"/>
          <w:szCs w:val="24"/>
        </w:rPr>
        <w:t xml:space="preserve">insuficiencia </w:t>
      </w:r>
      <w:r w:rsidRPr="00890060">
        <w:rPr>
          <w:rFonts w:ascii="Times New Roman" w:hAnsi="Times New Roman" w:cs="Times New Roman"/>
          <w:sz w:val="24"/>
          <w:szCs w:val="24"/>
        </w:rPr>
        <w:t xml:space="preserve">de recursos y programas </w:t>
      </w:r>
      <w:r w:rsidR="00890060" w:rsidRPr="00890060">
        <w:rPr>
          <w:rFonts w:ascii="Times New Roman" w:hAnsi="Times New Roman" w:cs="Times New Roman"/>
          <w:sz w:val="24"/>
          <w:szCs w:val="24"/>
        </w:rPr>
        <w:t xml:space="preserve">orientados </w:t>
      </w:r>
      <w:r w:rsidRPr="00890060">
        <w:rPr>
          <w:rFonts w:ascii="Times New Roman" w:hAnsi="Times New Roman" w:cs="Times New Roman"/>
          <w:sz w:val="24"/>
          <w:szCs w:val="24"/>
        </w:rPr>
        <w:t>al fortalecimiento de las familias, lo cual es un problema que se ratifica en otras investigaciones</w:t>
      </w:r>
      <w:r w:rsidR="00890060" w:rsidRPr="00890060">
        <w:rPr>
          <w:rFonts w:ascii="Times New Roman" w:hAnsi="Times New Roman" w:cs="Times New Roman"/>
          <w:sz w:val="24"/>
          <w:szCs w:val="24"/>
        </w:rPr>
        <w:t>. Según Unicef (2020), la falta de programas para evitar la toma de medidas excepcionales es un problema señalado en todas las jurisdicciones. L</w:t>
      </w:r>
      <w:r w:rsidR="00991499" w:rsidRPr="00890060">
        <w:rPr>
          <w:rFonts w:ascii="Times New Roman" w:hAnsi="Times New Roman" w:cs="Times New Roman"/>
          <w:sz w:val="24"/>
          <w:szCs w:val="24"/>
        </w:rPr>
        <w:t xml:space="preserve">a escasez de recursos y programas destinados al fortalecimiento de las familias es un </w:t>
      </w:r>
      <w:r w:rsidR="00890060" w:rsidRPr="00890060">
        <w:rPr>
          <w:rFonts w:ascii="Times New Roman" w:hAnsi="Times New Roman" w:cs="Times New Roman"/>
          <w:sz w:val="24"/>
          <w:szCs w:val="24"/>
        </w:rPr>
        <w:t xml:space="preserve">asunto </w:t>
      </w:r>
      <w:r w:rsidR="00991499" w:rsidRPr="00890060">
        <w:rPr>
          <w:rFonts w:ascii="Times New Roman" w:hAnsi="Times New Roman" w:cs="Times New Roman"/>
          <w:sz w:val="24"/>
          <w:szCs w:val="24"/>
        </w:rPr>
        <w:t>de larga dato cuyo recrudecimiento durante el ASPO, llevó a los organismos a tomar medidas excepcionales de protección con aquellas familias que antes venían trabajando en su apoyo</w:t>
      </w:r>
      <w:r w:rsidR="00890060" w:rsidRPr="00890060">
        <w:rPr>
          <w:rFonts w:ascii="Times New Roman" w:hAnsi="Times New Roman" w:cs="Times New Roman"/>
          <w:sz w:val="24"/>
          <w:szCs w:val="24"/>
        </w:rPr>
        <w:t xml:space="preserve"> (Unicef, 2020)</w:t>
      </w:r>
      <w:r w:rsidR="00991499" w:rsidRPr="00890060">
        <w:rPr>
          <w:rFonts w:ascii="Times New Roman" w:hAnsi="Times New Roman" w:cs="Times New Roman"/>
          <w:sz w:val="24"/>
          <w:szCs w:val="24"/>
        </w:rPr>
        <w:t xml:space="preserve">. </w:t>
      </w:r>
    </w:p>
    <w:p w:rsidR="00991499" w:rsidRPr="001120BF" w:rsidRDefault="00991499"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lastRenderedPageBreak/>
        <w:t xml:space="preserve">Al interrogar de manera general sobre las medidas de protección, el abogado del Servicio local responde directamente por las medidas de abrigo: </w:t>
      </w:r>
    </w:p>
    <w:p w:rsidR="00991499" w:rsidRPr="001120BF" w:rsidRDefault="00991499" w:rsidP="00991499">
      <w:pPr>
        <w:spacing w:after="240"/>
        <w:ind w:left="567"/>
        <w:jc w:val="both"/>
        <w:rPr>
          <w:rFonts w:ascii="Times New Roman" w:hAnsi="Times New Roman" w:cs="Times New Roman"/>
          <w:i/>
        </w:rPr>
      </w:pPr>
      <w:r w:rsidRPr="001120BF">
        <w:rPr>
          <w:rFonts w:ascii="Times New Roman" w:hAnsi="Times New Roman" w:cs="Times New Roman"/>
        </w:rPr>
        <w:t>“</w:t>
      </w:r>
      <w:r w:rsidRPr="001120BF">
        <w:rPr>
          <w:rFonts w:ascii="Times New Roman" w:hAnsi="Times New Roman" w:cs="Times New Roman"/>
          <w:i/>
        </w:rPr>
        <w:t xml:space="preserve">Medidas de protección son medidas de abrigo, es lo único que hay como medida de protección.”(abogado del SL) </w:t>
      </w:r>
    </w:p>
    <w:p w:rsidR="00991499" w:rsidRPr="001120BF" w:rsidRDefault="00991499"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Se subraya que se pregunta por medidas no excepcionales. Aunque la respuesta evidencia la fragilidad de la respuesta institucional en tanto medidas integrales y la tendencia dominante de lo instituido para pensar primeramente en las medidas de abrigo. Segú</w:t>
      </w:r>
      <w:r w:rsidR="000B12DE">
        <w:rPr>
          <w:rFonts w:ascii="Times New Roman" w:hAnsi="Times New Roman" w:cs="Times New Roman"/>
          <w:sz w:val="24"/>
          <w:szCs w:val="24"/>
        </w:rPr>
        <w:t>n  afirma los estudios de Unicef</w:t>
      </w:r>
      <w:r w:rsidRPr="001120BF">
        <w:rPr>
          <w:rFonts w:ascii="Times New Roman" w:hAnsi="Times New Roman" w:cs="Times New Roman"/>
          <w:sz w:val="24"/>
          <w:szCs w:val="24"/>
        </w:rPr>
        <w:t xml:space="preserve">: “La desarticulación entre áreas y la escasa visibilidad de los dispositivos de niñez lleva a restringir la mirada y a que la intervención se limite prácticamente a la adopción de medidas excepcionales.”(UNICEF, 2020: 57). </w:t>
      </w:r>
    </w:p>
    <w:p w:rsidR="00991499" w:rsidRPr="001120BF" w:rsidRDefault="00991499" w:rsidP="00B424B5">
      <w:pPr>
        <w:spacing w:after="240" w:line="360" w:lineRule="auto"/>
        <w:jc w:val="both"/>
        <w:rPr>
          <w:rFonts w:ascii="Times New Roman" w:hAnsi="Times New Roman" w:cs="Times New Roman"/>
          <w:sz w:val="24"/>
          <w:szCs w:val="24"/>
        </w:rPr>
      </w:pPr>
      <w:r w:rsidRPr="001120BF">
        <w:rPr>
          <w:rFonts w:ascii="Times New Roman" w:hAnsi="Times New Roman" w:cs="Times New Roman"/>
          <w:sz w:val="24"/>
          <w:szCs w:val="24"/>
        </w:rPr>
        <w:t>En cuanto a los criterios para tomar una medida de abrigo, suelen estar vinculadas a situaciones de violencia y Abuso Sexual Infa</w:t>
      </w:r>
      <w:r w:rsidR="00FF3920">
        <w:rPr>
          <w:rFonts w:ascii="Times New Roman" w:hAnsi="Times New Roman" w:cs="Times New Roman"/>
          <w:sz w:val="24"/>
          <w:szCs w:val="24"/>
        </w:rPr>
        <w:t xml:space="preserve">ntil. </w:t>
      </w:r>
      <w:r w:rsidR="006E1F19" w:rsidRPr="001120BF">
        <w:rPr>
          <w:rFonts w:ascii="Times New Roman" w:hAnsi="Times New Roman" w:cs="Times New Roman"/>
          <w:sz w:val="24"/>
          <w:szCs w:val="24"/>
        </w:rPr>
        <w:t>Acerca de las medidas de abrigo de tipo institucional, se realizan cuando no hay referentes familiares que puedan cuidar del NNyA.</w:t>
      </w:r>
      <w:r w:rsidR="006E1F19">
        <w:rPr>
          <w:rFonts w:ascii="Times New Roman" w:hAnsi="Times New Roman" w:cs="Times New Roman"/>
          <w:sz w:val="24"/>
          <w:szCs w:val="24"/>
        </w:rPr>
        <w:t xml:space="preserve"> </w:t>
      </w:r>
    </w:p>
    <w:p w:rsidR="00991499" w:rsidRPr="001120BF" w:rsidRDefault="00BB49C8" w:rsidP="00B424B5">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partir de lo analizado, </w:t>
      </w:r>
      <w:r w:rsidR="00991499" w:rsidRPr="001120BF">
        <w:rPr>
          <w:rFonts w:ascii="Times New Roman" w:hAnsi="Times New Roman" w:cs="Times New Roman"/>
          <w:sz w:val="24"/>
          <w:szCs w:val="24"/>
        </w:rPr>
        <w:t xml:space="preserve">conforme a lo planteado por </w:t>
      </w:r>
      <w:r>
        <w:rPr>
          <w:rFonts w:ascii="Times New Roman" w:hAnsi="Times New Roman" w:cs="Times New Roman"/>
          <w:sz w:val="24"/>
          <w:szCs w:val="24"/>
        </w:rPr>
        <w:t xml:space="preserve">Unicef (2020) </w:t>
      </w:r>
      <w:r w:rsidR="00991499" w:rsidRPr="001120BF">
        <w:rPr>
          <w:rFonts w:ascii="Times New Roman" w:hAnsi="Times New Roman" w:cs="Times New Roman"/>
          <w:sz w:val="24"/>
          <w:szCs w:val="24"/>
        </w:rPr>
        <w:t xml:space="preserve">es de vital importancia ampliar las acciones de promoción, prevención y programas de fortalecimiento familiar como medidas o estrategias de protección para evitar o disminuir solo para los casos de imperiosa necesidad la toma de medidas de abrigo. </w:t>
      </w:r>
    </w:p>
    <w:p w:rsidR="00507A0B" w:rsidRPr="00135D13" w:rsidRDefault="00507A0B" w:rsidP="00507A0B">
      <w:pPr>
        <w:pStyle w:val="NormalWeb"/>
        <w:spacing w:before="0" w:beforeAutospacing="0" w:after="200" w:afterAutospacing="0" w:line="360" w:lineRule="auto"/>
        <w:jc w:val="both"/>
        <w:rPr>
          <w:b/>
          <w:color w:val="000000"/>
        </w:rPr>
      </w:pPr>
      <w:r w:rsidRPr="00135D13">
        <w:rPr>
          <w:b/>
          <w:color w:val="000000"/>
        </w:rPr>
        <w:t>Comentarios finales</w:t>
      </w:r>
    </w:p>
    <w:p w:rsidR="00547BD2" w:rsidRDefault="000A46B3" w:rsidP="00507A0B">
      <w:pPr>
        <w:pStyle w:val="NormalWeb"/>
        <w:spacing w:before="0" w:beforeAutospacing="0" w:after="200" w:afterAutospacing="0" w:line="360" w:lineRule="auto"/>
        <w:jc w:val="both"/>
        <w:rPr>
          <w:color w:val="000000"/>
        </w:rPr>
      </w:pPr>
      <w:r>
        <w:rPr>
          <w:color w:val="000000"/>
        </w:rPr>
        <w:t>Cabe destacar que se han presentado resultados parciales y no el total de la investigación.</w:t>
      </w:r>
    </w:p>
    <w:p w:rsidR="00EE7110" w:rsidRDefault="005877EA" w:rsidP="00507A0B">
      <w:pPr>
        <w:pStyle w:val="NormalWeb"/>
        <w:spacing w:before="0" w:beforeAutospacing="0" w:after="200" w:afterAutospacing="0" w:line="360" w:lineRule="auto"/>
        <w:jc w:val="both"/>
        <w:rPr>
          <w:color w:val="000000"/>
        </w:rPr>
      </w:pPr>
      <w:r>
        <w:rPr>
          <w:color w:val="000000"/>
        </w:rPr>
        <w:t>Se ha hallado</w:t>
      </w:r>
      <w:r w:rsidR="00EE7110">
        <w:rPr>
          <w:color w:val="000000"/>
        </w:rPr>
        <w:t xml:space="preserve"> un campo acotado de problemas sobre los que toma</w:t>
      </w:r>
      <w:r w:rsidR="00CD0B55">
        <w:rPr>
          <w:color w:val="000000"/>
        </w:rPr>
        <w:t>n</w:t>
      </w:r>
      <w:r w:rsidR="00EE7110">
        <w:rPr>
          <w:color w:val="000000"/>
        </w:rPr>
        <w:t xml:space="preserve"> intervención los organismos administrativos del SPID, con un rango limitado de herramientas de protección y restitución de derechos. Se constata </w:t>
      </w:r>
      <w:r w:rsidR="008F0C19">
        <w:rPr>
          <w:color w:val="000000"/>
        </w:rPr>
        <w:t xml:space="preserve">aquí </w:t>
      </w:r>
      <w:r w:rsidR="00EE7110">
        <w:rPr>
          <w:color w:val="000000"/>
        </w:rPr>
        <w:t xml:space="preserve">la persistencia de la práctica de la derivación a tratamiento psicológico </w:t>
      </w:r>
      <w:r w:rsidR="008F0C19">
        <w:rPr>
          <w:color w:val="000000"/>
        </w:rPr>
        <w:t>desde una visión que tiende a</w:t>
      </w:r>
      <w:r w:rsidR="00EE7110">
        <w:rPr>
          <w:color w:val="000000"/>
        </w:rPr>
        <w:t xml:space="preserve"> </w:t>
      </w:r>
      <w:r w:rsidR="00B77A86">
        <w:rPr>
          <w:color w:val="000000"/>
        </w:rPr>
        <w:t xml:space="preserve">simplificar </w:t>
      </w:r>
      <w:r w:rsidR="00EE7110">
        <w:rPr>
          <w:color w:val="000000"/>
        </w:rPr>
        <w:t>problemáticas complejas.</w:t>
      </w:r>
    </w:p>
    <w:p w:rsidR="00CD0B55" w:rsidRDefault="00CD0B55" w:rsidP="00507A0B">
      <w:pPr>
        <w:pStyle w:val="NormalWeb"/>
        <w:spacing w:before="0" w:beforeAutospacing="0" w:after="200" w:afterAutospacing="0" w:line="360" w:lineRule="auto"/>
        <w:jc w:val="both"/>
        <w:rPr>
          <w:color w:val="000000"/>
        </w:rPr>
      </w:pPr>
      <w:r>
        <w:rPr>
          <w:color w:val="000000"/>
        </w:rPr>
        <w:t xml:space="preserve">Se </w:t>
      </w:r>
      <w:r w:rsidR="00B77A86">
        <w:rPr>
          <w:color w:val="000000"/>
        </w:rPr>
        <w:t xml:space="preserve">pesquisa </w:t>
      </w:r>
      <w:r>
        <w:rPr>
          <w:color w:val="000000"/>
        </w:rPr>
        <w:t>bajo el paradigma de derechos, un pasaje</w:t>
      </w:r>
      <w:r w:rsidR="00C22A77">
        <w:rPr>
          <w:color w:val="000000"/>
        </w:rPr>
        <w:t xml:space="preserve"> </w:t>
      </w:r>
      <w:r w:rsidR="00794E2E">
        <w:rPr>
          <w:color w:val="000000"/>
        </w:rPr>
        <w:t>fluido</w:t>
      </w:r>
      <w:r>
        <w:rPr>
          <w:color w:val="000000"/>
        </w:rPr>
        <w:t xml:space="preserve"> de la moralización a la psicologización de los problemas sociales, como supuestos argumentativos que facilitan la entrada en la intimidad familiar y se constituye como tecnología que enlaza la protección y el gobierno de las familias.</w:t>
      </w:r>
    </w:p>
    <w:p w:rsidR="00507A0B" w:rsidRDefault="00DC649D" w:rsidP="00507A0B">
      <w:pPr>
        <w:pStyle w:val="NormalWeb"/>
        <w:spacing w:before="0" w:beforeAutospacing="0" w:after="200" w:afterAutospacing="0" w:line="360" w:lineRule="auto"/>
        <w:jc w:val="both"/>
        <w:rPr>
          <w:color w:val="000000"/>
        </w:rPr>
      </w:pPr>
      <w:r>
        <w:rPr>
          <w:color w:val="000000"/>
        </w:rPr>
        <w:lastRenderedPageBreak/>
        <w:t xml:space="preserve">Luego de la elaboración y análisis de la información obtenida, </w:t>
      </w:r>
      <w:r w:rsidR="00547BD2">
        <w:rPr>
          <w:color w:val="000000"/>
        </w:rPr>
        <w:t>transmitida en este escrito,</w:t>
      </w:r>
      <w:r>
        <w:rPr>
          <w:color w:val="000000"/>
        </w:rPr>
        <w:t xml:space="preserve"> se puede afirmar que p</w:t>
      </w:r>
      <w:r w:rsidR="00507A0B" w:rsidRPr="00E6007E">
        <w:rPr>
          <w:color w:val="000000"/>
        </w:rPr>
        <w:t xml:space="preserve">ara contribuir al mejoramiento de prácticas </w:t>
      </w:r>
      <w:r w:rsidR="00547BD2">
        <w:rPr>
          <w:color w:val="000000"/>
        </w:rPr>
        <w:t xml:space="preserve">con NNyA </w:t>
      </w:r>
      <w:r w:rsidR="00507A0B" w:rsidRPr="00E6007E">
        <w:rPr>
          <w:color w:val="000000"/>
        </w:rPr>
        <w:t>que promuevan la protección de derechos y reducir las medidas de protección excepcionales</w:t>
      </w:r>
      <w:r w:rsidR="00C01074">
        <w:rPr>
          <w:color w:val="000000"/>
        </w:rPr>
        <w:t xml:space="preserve"> y</w:t>
      </w:r>
      <w:r w:rsidR="00507A0B" w:rsidRPr="00E6007E">
        <w:rPr>
          <w:color w:val="000000"/>
        </w:rPr>
        <w:t xml:space="preserve"> por consecuencia, la institucionalización de niños, niñas y adolescentes, se torna necesario fortalecer las medidas protección</w:t>
      </w:r>
      <w:r w:rsidR="00507A0B">
        <w:rPr>
          <w:color w:val="000000"/>
        </w:rPr>
        <w:t xml:space="preserve"> previas e integrales</w:t>
      </w:r>
      <w:r w:rsidR="00192D89">
        <w:rPr>
          <w:color w:val="000000"/>
        </w:rPr>
        <w:t xml:space="preserve"> en una discusión más profunda del principio de corresponsabilidad entre las instituciones que componen el Sistema de Protección Integral de Derechos.</w:t>
      </w:r>
    </w:p>
    <w:p w:rsidR="00135D13" w:rsidRPr="00AD4236" w:rsidRDefault="00480988">
      <w:pPr>
        <w:rPr>
          <w:rFonts w:ascii="Times New Roman" w:hAnsi="Times New Roman" w:cs="Times New Roman"/>
          <w:b/>
          <w:sz w:val="24"/>
          <w:szCs w:val="24"/>
        </w:rPr>
      </w:pPr>
      <w:r w:rsidRPr="00AD4236">
        <w:rPr>
          <w:rFonts w:ascii="Times New Roman" w:hAnsi="Times New Roman" w:cs="Times New Roman"/>
          <w:b/>
          <w:sz w:val="24"/>
          <w:szCs w:val="24"/>
        </w:rPr>
        <w:t>Referencias bibliográficas</w:t>
      </w:r>
    </w:p>
    <w:p w:rsidR="00971836" w:rsidRPr="001E5BF2" w:rsidRDefault="00971836"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Luciani Conde, L. (2017). Tesis de doctorado: “</w:t>
      </w:r>
      <w:hyperlink r:id="rId9" w:history="1">
        <w:r w:rsidRPr="001E5BF2">
          <w:rPr>
            <w:rStyle w:val="Hyperlink"/>
            <w:rFonts w:ascii="Times New Roman" w:hAnsi="Times New Roman" w:cs="Times New Roman"/>
            <w:color w:val="auto"/>
            <w:u w:val="none"/>
            <w:shd w:val="clear" w:color="auto" w:fill="FFFFFF"/>
          </w:rPr>
          <w:t>El mal menor: de la complicidad a la tolerancia como lógica en la protección social de la niñez. Estudio de caso de un Sistema de Protección de Derechos de Niñas, Niños y Adolescentes en un municipio del conurbano bonaerense.</w:t>
        </w:r>
      </w:hyperlink>
      <w:r w:rsidRPr="001E5BF2">
        <w:rPr>
          <w:rFonts w:ascii="Times New Roman" w:hAnsi="Times New Roman" w:cs="Times New Roman"/>
        </w:rPr>
        <w:t xml:space="preserve">” Disponible en: </w:t>
      </w:r>
      <w:hyperlink r:id="rId10" w:history="1">
        <w:r w:rsidRPr="001E5BF2">
          <w:rPr>
            <w:rStyle w:val="Hyperlink"/>
            <w:rFonts w:ascii="Times New Roman" w:hAnsi="Times New Roman" w:cs="Times New Roman"/>
            <w:color w:val="auto"/>
            <w:u w:val="none"/>
          </w:rPr>
          <w:t>https://uba.academia.edu/LeandroLucianiConde/Thesis-Chapters</w:t>
        </w:r>
      </w:hyperlink>
    </w:p>
    <w:p w:rsidR="001E5BF2" w:rsidRPr="001E5BF2" w:rsidRDefault="0097183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 xml:space="preserve">SENAF-UNICEF (2012). Situación de niños, niñas y adolescentes sin cuidados parentales en la República Argentina. Relevamiento Nacional y Propuestas para la promoción y el fortalecimiento del derecho a la convivencia familiar y comunitaria. Buenos Aires: UNICEF Recuperado de: </w:t>
      </w:r>
      <w:hyperlink r:id="rId11" w:history="1">
        <w:r w:rsidRPr="001E5BF2">
          <w:rPr>
            <w:rStyle w:val="Hyperlink"/>
            <w:rFonts w:ascii="Times New Roman" w:hAnsi="Times New Roman" w:cs="Times New Roman"/>
            <w:color w:val="auto"/>
          </w:rPr>
          <w:t>https://www.desarrollosocial.gob.ar/wp-content/uploads/2015/05/27-Situacion-de-ni--os-y-adolescentes1.pdf</w:t>
        </w:r>
      </w:hyperlink>
    </w:p>
    <w:p w:rsidR="00971836" w:rsidRPr="001E5BF2" w:rsidRDefault="0097183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Michalewicz, A. (2011): “Atención en salud mental de los niños, niñas y adolescentes alojados en `hogares´ (ONGs) en la Ciudad de Buenos Aires. Problemáticas complejas e intervenciones posibles a partir de la articulación intersectorial”. En: Diálogo Abierto Acerca del Estado de Implementación de la Ley nº 26.061, compilado por la Asesoría General Tutelar de la CABA. Editorial Eudeba. ISBN 978-950-23- 1885-1 pp.49-68</w:t>
      </w:r>
    </w:p>
    <w:p w:rsidR="00971836" w:rsidRPr="001E5BF2" w:rsidRDefault="0097183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Michalewicz, A., Varela, J. N. (2013). “Vulneración de derechos en la infancia: la “multi-institucionalización” como modalidad de abordaje.” En revista Salud mental y Comunidad Nº 3 - ISSN 2250-5768.</w:t>
      </w:r>
    </w:p>
    <w:p w:rsidR="00971836" w:rsidRPr="001E5BF2" w:rsidRDefault="00971836"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 xml:space="preserve">Villata, C. &amp; Llobet, V. (2015). Resignificando la protección. Los sistemas de protección de derechos de niños y niñas en Argentina. Revista Latinoamericana de Ciencias Sociales, Niñez y Juventud, 13 (1), pp. 167-180. </w:t>
      </w:r>
    </w:p>
    <w:p w:rsidR="00971836" w:rsidRPr="001E5BF2" w:rsidRDefault="0097183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Magistris, M. (2016). Tesis de Doctorado: EL GOBIERNO DE LA INFANCIA EN LA ERA DE LOS DERECHOS. Prácticas locales de “protección y restitución de derechos de Niños, Niñas y Adolescentes” en dos municipios del conurbano bonaerense.</w:t>
      </w:r>
    </w:p>
    <w:p w:rsidR="00971836" w:rsidRPr="001E5BF2" w:rsidRDefault="0097183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Korinfeld, K. (2017) “</w:t>
      </w:r>
      <w:r w:rsidRPr="001E5BF2">
        <w:rPr>
          <w:rFonts w:ascii="Times New Roman" w:hAnsi="Times New Roman" w:cs="Times New Roman"/>
          <w:bCs/>
        </w:rPr>
        <w:t xml:space="preserve">Urgencias subjetivas de niños y adolescentes: ¿estamos preparados? Un enfoque desde la salud mental comunitaria” </w:t>
      </w:r>
      <w:r w:rsidRPr="001E5BF2">
        <w:rPr>
          <w:rFonts w:ascii="Times New Roman" w:hAnsi="Times New Roman" w:cs="Times New Roman"/>
        </w:rPr>
        <w:t xml:space="preserve">en: Niños dispersos, aburridos, solos. Nuevos contextos. El rol adulto hoy. A. Kaplan, M, Sanmartín (comps.). Buenos Aires: Noveduc. </w:t>
      </w:r>
    </w:p>
    <w:p w:rsidR="007D0306" w:rsidRPr="001E5BF2" w:rsidRDefault="007D0306"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 xml:space="preserve">Barcala, A. (2014) “Sufrimiento psicosocial en la niñez: El desafío de las políticas en salud mental”. Recuperado de: </w:t>
      </w:r>
      <w:hyperlink r:id="rId12" w:history="1">
        <w:r w:rsidRPr="001E5BF2">
          <w:rPr>
            <w:rStyle w:val="Hyperlink"/>
            <w:rFonts w:ascii="Times New Roman" w:hAnsi="Times New Roman" w:cs="Times New Roman"/>
            <w:color w:val="auto"/>
          </w:rPr>
          <w:t>https://gruposaludmentalfts.files.wordpress.com/2014/02/barcala-sufrimiento_psicosocial_en_la_nic3b1ez.pdf</w:t>
        </w:r>
      </w:hyperlink>
    </w:p>
    <w:p w:rsidR="00971836" w:rsidRPr="001E5BF2" w:rsidRDefault="007D0306" w:rsidP="001E5BF2">
      <w:pPr>
        <w:pStyle w:val="ListParagraph"/>
        <w:numPr>
          <w:ilvl w:val="0"/>
          <w:numId w:val="2"/>
        </w:numPr>
        <w:spacing w:before="240"/>
        <w:ind w:left="0" w:firstLine="0"/>
        <w:rPr>
          <w:rFonts w:ascii="Times New Roman" w:hAnsi="Times New Roman" w:cs="Times New Roman"/>
        </w:rPr>
      </w:pPr>
      <w:r w:rsidRPr="001E5BF2">
        <w:rPr>
          <w:rFonts w:ascii="Times New Roman" w:hAnsi="Times New Roman" w:cs="Times New Roman"/>
        </w:rPr>
        <w:t xml:space="preserve">Vasilachis de Gialdino, I. (2006). </w:t>
      </w:r>
      <w:r w:rsidRPr="001E5BF2">
        <w:rPr>
          <w:rFonts w:ascii="Times New Roman" w:hAnsi="Times New Roman" w:cs="Times New Roman"/>
          <w:i/>
        </w:rPr>
        <w:t>Estrategias de investigación cualitativa.</w:t>
      </w:r>
      <w:r w:rsidRPr="001E5BF2">
        <w:rPr>
          <w:rFonts w:ascii="Times New Roman" w:hAnsi="Times New Roman" w:cs="Times New Roman"/>
        </w:rPr>
        <w:t xml:space="preserve"> Barcelona: Gedisa. </w:t>
      </w:r>
      <w:r w:rsidRPr="001E5BF2">
        <w:rPr>
          <w:rFonts w:ascii="Times New Roman" w:hAnsi="Times New Roman" w:cs="Times New Roman"/>
        </w:rPr>
        <w:tab/>
      </w:r>
    </w:p>
    <w:p w:rsidR="007D0306"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lastRenderedPageBreak/>
        <w:t xml:space="preserve">Grinberg, J. (2015). “Entre la pediatría, el psicoanálisis y el derecho: apuntes sobre la recepción, reelaboración y difusión del “maltrato infantil” en Argentina.”(2015). </w:t>
      </w:r>
    </w:p>
    <w:p w:rsidR="007D0306"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Llobet, V. (2011). Las políticas para la Infancia y el enfoque de Derechos en América Latina. Algunas reflexiones sobre su abordaje teórico. Fractal. Revista de Psicología, 23 (3) 447-460.</w:t>
      </w:r>
    </w:p>
    <w:p w:rsidR="007D0306" w:rsidRPr="001E5BF2" w:rsidRDefault="007D0306" w:rsidP="001E5BF2">
      <w:pPr>
        <w:pStyle w:val="ListParagraph"/>
        <w:numPr>
          <w:ilvl w:val="0"/>
          <w:numId w:val="2"/>
        </w:numPr>
        <w:autoSpaceDE w:val="0"/>
        <w:autoSpaceDN w:val="0"/>
        <w:adjustRightInd w:val="0"/>
        <w:spacing w:before="240"/>
        <w:ind w:left="0" w:firstLine="0"/>
        <w:rPr>
          <w:rFonts w:ascii="Times New Roman" w:hAnsi="Times New Roman" w:cs="Times New Roman"/>
        </w:rPr>
      </w:pPr>
      <w:r w:rsidRPr="001E5BF2">
        <w:rPr>
          <w:rFonts w:ascii="Times New Roman" w:hAnsi="Times New Roman" w:cs="Times New Roman"/>
        </w:rPr>
        <w:t>Bustelo Graffigna, E. (2005). Infancia en indefensión. En Salud Colectiva, Buenos Aires, 1(3): 253-284.</w:t>
      </w:r>
    </w:p>
    <w:p w:rsidR="007D0306"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Fonseca, C. (2007).</w:t>
      </w:r>
      <w:r w:rsidRPr="001E5BF2">
        <w:rPr>
          <w:rFonts w:ascii="Times New Roman" w:hAnsi="Times New Roman" w:cs="Times New Roman"/>
          <w:bCs/>
        </w:rPr>
        <w:t xml:space="preserve"> Desigualdades cerca y lejos: Adopción Internacional desde la perspectiva de las </w:t>
      </w:r>
      <w:r w:rsidRPr="001E5BF2">
        <w:rPr>
          <w:rFonts w:ascii="Times New Roman" w:hAnsi="Times New Roman" w:cs="Times New Roman"/>
          <w:bCs/>
          <w:iCs/>
        </w:rPr>
        <w:t>Favelas</w:t>
      </w:r>
      <w:r w:rsidRPr="001E5BF2">
        <w:rPr>
          <w:rFonts w:ascii="Times New Roman" w:hAnsi="Times New Roman" w:cs="Times New Roman"/>
          <w:bCs/>
          <w:i/>
          <w:iCs/>
        </w:rPr>
        <w:t xml:space="preserve"> </w:t>
      </w:r>
      <w:r w:rsidRPr="001E5BF2">
        <w:rPr>
          <w:rFonts w:ascii="Times New Roman" w:hAnsi="Times New Roman" w:cs="Times New Roman"/>
          <w:bCs/>
        </w:rPr>
        <w:t xml:space="preserve">Brasileñas. En </w:t>
      </w:r>
      <w:r w:rsidRPr="001E5BF2">
        <w:rPr>
          <w:rFonts w:ascii="Times New Roman" w:hAnsi="Times New Roman" w:cs="Times New Roman"/>
          <w:i/>
          <w:iCs/>
        </w:rPr>
        <w:t>Historia de la Infancia en América Latina</w:t>
      </w:r>
      <w:r w:rsidRPr="001E5BF2">
        <w:rPr>
          <w:rFonts w:ascii="Times New Roman" w:hAnsi="Times New Roman" w:cs="Times New Roman"/>
        </w:rPr>
        <w:t xml:space="preserve">. Bogotá. Org. por Pablo Rodríguez e Maria Emma Mannarelli. Bogota: Universidad Externado de Colombia. pp. 503-534. Publicado en inglés como: “Inequality near and far: adoption as seen from the Brazilian favelas”. </w:t>
      </w:r>
      <w:r w:rsidRPr="001E5BF2">
        <w:rPr>
          <w:rFonts w:ascii="Times New Roman" w:hAnsi="Times New Roman" w:cs="Times New Roman"/>
          <w:i/>
          <w:iCs/>
        </w:rPr>
        <w:t xml:space="preserve">Law &amp; Society Review </w:t>
      </w:r>
      <w:r w:rsidRPr="001E5BF2">
        <w:rPr>
          <w:rFonts w:ascii="Times New Roman" w:hAnsi="Times New Roman" w:cs="Times New Roman"/>
        </w:rPr>
        <w:t>36(2): 101-134.</w:t>
      </w:r>
    </w:p>
    <w:p w:rsidR="007D0306"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Foucault, M. (2005). Historia de la sexualidad (1). La voluntad de saber. Buenos Aires: Siglo XXI Editores</w:t>
      </w:r>
    </w:p>
    <w:p w:rsidR="007D0306"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Bianchi, E. (2019) “Ciencias sociales, salud mental y control social. Notas para una contribución a la investigación.”. Revista Salud mental y Comunidad N°7. ISSN 2250 5768.</w:t>
      </w:r>
    </w:p>
    <w:p w:rsidR="009D37A7" w:rsidRPr="001E5BF2" w:rsidRDefault="007D0306"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Grinberg, J. (2008). Transformaciones en el tratamiento de la niñez en riesgo. Reflexiones sobre un dispositivo de protección a la infancia en la Ciudad de Buenos Aires Cuadernos de Antropología Social, núm. 27, pp. 155-174.</w:t>
      </w:r>
    </w:p>
    <w:p w:rsidR="007D0306" w:rsidRPr="001E5BF2" w:rsidRDefault="007D0306"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 xml:space="preserve">UNICEF (2020). “Encuesta de Percepción y Actitudes de la Población. Impacto de la pandemia COVID-19 y las medidas adoptadas por el gobierno sobre la vida cotidiana”, abril de 2020, disponible en https://www.unicef.org/argentina/media/8051/file y “El impacto de la pandemia COVID-19 en las familias con niños, niñas y adolescentes. Segunda ola. Informe de resultados”, agosto de 2020, disponible en https://www.unicef.org/argentina/informes/encuesta-rapida-COVID-19-informe-de-resultados-0  </w:t>
      </w:r>
    </w:p>
    <w:p w:rsidR="00353794" w:rsidRPr="001E5BF2" w:rsidRDefault="00353794"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L</w:t>
      </w:r>
      <w:r w:rsidR="009D37A7" w:rsidRPr="001E5BF2">
        <w:rPr>
          <w:rFonts w:ascii="Times New Roman" w:hAnsi="Times New Roman" w:cs="Times New Roman"/>
        </w:rPr>
        <w:t>l</w:t>
      </w:r>
      <w:r w:rsidRPr="001E5BF2">
        <w:rPr>
          <w:rFonts w:ascii="Times New Roman" w:hAnsi="Times New Roman" w:cs="Times New Roman"/>
        </w:rPr>
        <w:t xml:space="preserve">obet, V. (2009). Las políticas sociales para la infancia, la psicología y el problema del reconocimiento. </w:t>
      </w:r>
      <w:r w:rsidRPr="001E5BF2">
        <w:rPr>
          <w:rFonts w:ascii="Times New Roman" w:hAnsi="Times New Roman" w:cs="Times New Roman"/>
          <w:i/>
          <w:iCs/>
        </w:rPr>
        <w:t xml:space="preserve">Investigaciones en Psicología. Revista del Instituto de Investigaciones de la Facultad de Psicología, 14 </w:t>
      </w:r>
      <w:r w:rsidRPr="001E5BF2">
        <w:rPr>
          <w:rFonts w:ascii="Times New Roman" w:hAnsi="Times New Roman" w:cs="Times New Roman"/>
        </w:rPr>
        <w:t>(2) 73-94.</w:t>
      </w:r>
    </w:p>
    <w:p w:rsidR="007D0306" w:rsidRPr="001E5BF2" w:rsidRDefault="00353794"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 xml:space="preserve">Grinberg, J. (2013). La gestión de las negligencias: interpretaciones y dilemas en los organismos de protección de la infancia. En Avá nro 22. Versión online. Recuperado de: </w:t>
      </w:r>
      <w:hyperlink r:id="rId13" w:history="1">
        <w:r w:rsidRPr="001E5BF2">
          <w:rPr>
            <w:rStyle w:val="Hyperlink"/>
            <w:rFonts w:ascii="Times New Roman" w:hAnsi="Times New Roman" w:cs="Times New Roman"/>
            <w:color w:val="auto"/>
          </w:rPr>
          <w:t>http://www.scielo.org.ar/pdf/ava/n22/n22a01.pdf</w:t>
        </w:r>
      </w:hyperlink>
    </w:p>
    <w:p w:rsidR="00353794" w:rsidRPr="001E5BF2" w:rsidRDefault="00353794" w:rsidP="001E5BF2">
      <w:pPr>
        <w:pStyle w:val="ListParagraph"/>
        <w:numPr>
          <w:ilvl w:val="0"/>
          <w:numId w:val="2"/>
        </w:numPr>
        <w:spacing w:before="240"/>
        <w:ind w:left="0" w:firstLine="0"/>
        <w:jc w:val="both"/>
        <w:rPr>
          <w:rFonts w:ascii="Times New Roman" w:hAnsi="Times New Roman" w:cs="Times New Roman"/>
        </w:rPr>
      </w:pPr>
      <w:r w:rsidRPr="001E5BF2">
        <w:rPr>
          <w:rFonts w:ascii="Times New Roman" w:hAnsi="Times New Roman" w:cs="Times New Roman"/>
        </w:rPr>
        <w:t>Stolkiner, A. (2009). “Niños y adolescentes e instituciones de Salud Mental”. En Calveyra, S. &amp; De Gemmis, V. (compiladores) Del Invento a la Herramienta, segunda edición. Buenos Aires: Polemos.</w:t>
      </w:r>
    </w:p>
    <w:p w:rsidR="00353794" w:rsidRPr="001E5BF2" w:rsidRDefault="00353794"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rPr>
      </w:pPr>
      <w:r w:rsidRPr="001E5BF2">
        <w:rPr>
          <w:rFonts w:ascii="Times New Roman" w:hAnsi="Times New Roman" w:cs="Times New Roman"/>
        </w:rPr>
        <w:t>Barcala A. (2019). “Discursos en salud mental: construcción de subjetividades en la niñez en la ciudad de Buenos Aires.” Revista Interface (Botucatu). 23: e180464 https://doi.org/10.1590/Interface.180464</w:t>
      </w:r>
    </w:p>
    <w:p w:rsidR="009D37A7" w:rsidRPr="001E5BF2" w:rsidRDefault="007D0306"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shd w:val="clear" w:color="auto" w:fill="FFFFFF"/>
        </w:rPr>
      </w:pPr>
      <w:r w:rsidRPr="001E5BF2">
        <w:rPr>
          <w:rStyle w:val="Emphasis"/>
          <w:rFonts w:ascii="Times New Roman" w:hAnsi="Times New Roman" w:cs="Times New Roman"/>
          <w:bCs/>
          <w:i w:val="0"/>
          <w:shd w:val="clear" w:color="auto" w:fill="FFFFFF"/>
        </w:rPr>
        <w:t>Fassin</w:t>
      </w:r>
      <w:r w:rsidRPr="001E5BF2">
        <w:rPr>
          <w:rFonts w:ascii="Times New Roman" w:hAnsi="Times New Roman" w:cs="Times New Roman"/>
          <w:shd w:val="clear" w:color="auto" w:fill="FFFFFF"/>
        </w:rPr>
        <w:t>, D. (2003). La </w:t>
      </w:r>
      <w:r w:rsidRPr="001E5BF2">
        <w:rPr>
          <w:rStyle w:val="Emphasis"/>
          <w:rFonts w:ascii="Times New Roman" w:hAnsi="Times New Roman" w:cs="Times New Roman"/>
          <w:bCs/>
          <w:shd w:val="clear" w:color="auto" w:fill="FFFFFF"/>
        </w:rPr>
        <w:t>patetización</w:t>
      </w:r>
      <w:r w:rsidRPr="001E5BF2">
        <w:rPr>
          <w:rFonts w:ascii="Times New Roman" w:hAnsi="Times New Roman" w:cs="Times New Roman"/>
          <w:shd w:val="clear" w:color="auto" w:fill="FFFFFF"/>
        </w:rPr>
        <w:t> del mundo. Ensayo de antropología política del sufrimiento.</w:t>
      </w:r>
    </w:p>
    <w:p w:rsidR="007D0306" w:rsidRPr="00480988" w:rsidRDefault="00353794" w:rsidP="001E5BF2">
      <w:pPr>
        <w:pStyle w:val="ListParagraph"/>
        <w:numPr>
          <w:ilvl w:val="0"/>
          <w:numId w:val="2"/>
        </w:numPr>
        <w:autoSpaceDE w:val="0"/>
        <w:autoSpaceDN w:val="0"/>
        <w:adjustRightInd w:val="0"/>
        <w:spacing w:before="240"/>
        <w:ind w:left="0" w:firstLine="0"/>
        <w:jc w:val="both"/>
        <w:rPr>
          <w:rFonts w:ascii="Times New Roman" w:hAnsi="Times New Roman" w:cs="Times New Roman"/>
          <w:sz w:val="20"/>
          <w:szCs w:val="20"/>
          <w:shd w:val="clear" w:color="auto" w:fill="FFFFFF"/>
        </w:rPr>
      </w:pPr>
      <w:r w:rsidRPr="001E5BF2">
        <w:rPr>
          <w:rFonts w:ascii="Times New Roman" w:hAnsi="Times New Roman" w:cs="Times New Roman"/>
        </w:rPr>
        <w:t xml:space="preserve">UNICEF (2016). Estado de la situación de la niñez y la adolescencia en Argentina. Recuperado de: </w:t>
      </w:r>
      <w:hyperlink r:id="rId14" w:history="1">
        <w:r w:rsidRPr="001E5BF2">
          <w:rPr>
            <w:rStyle w:val="Hyperlink"/>
            <w:rFonts w:ascii="Times New Roman" w:hAnsi="Times New Roman" w:cs="Times New Roman"/>
            <w:color w:val="auto"/>
          </w:rPr>
          <w:t>https://www.unicef.org/argentina/media/2211/file/SITAN.pdf</w:t>
        </w:r>
      </w:hyperlink>
    </w:p>
    <w:sectPr w:rsidR="007D0306" w:rsidRPr="00480988" w:rsidSect="00862B57">
      <w:footerReference w:type="default" r:id="rId1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D82" w:rsidRDefault="00B21D82" w:rsidP="002753EC">
      <w:pPr>
        <w:spacing w:after="0" w:line="240" w:lineRule="auto"/>
      </w:pPr>
      <w:r>
        <w:separator/>
      </w:r>
    </w:p>
  </w:endnote>
  <w:endnote w:type="continuationSeparator" w:id="1">
    <w:p w:rsidR="00B21D82" w:rsidRDefault="00B21D82" w:rsidP="002753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008980"/>
      <w:docPartObj>
        <w:docPartGallery w:val="Page Numbers (Bottom of Page)"/>
        <w:docPartUnique/>
      </w:docPartObj>
    </w:sdtPr>
    <w:sdtContent>
      <w:p w:rsidR="00E52B0D" w:rsidRDefault="00671873">
        <w:pPr>
          <w:pStyle w:val="Footer"/>
          <w:jc w:val="right"/>
        </w:pPr>
        <w:fldSimple w:instr=" PAGE   \* MERGEFORMAT ">
          <w:r w:rsidR="003C05CF">
            <w:rPr>
              <w:noProof/>
            </w:rPr>
            <w:t>3</w:t>
          </w:r>
        </w:fldSimple>
      </w:p>
    </w:sdtContent>
  </w:sdt>
  <w:p w:rsidR="00E52B0D" w:rsidRDefault="00E52B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D82" w:rsidRDefault="00B21D82" w:rsidP="002753EC">
      <w:pPr>
        <w:spacing w:after="0" w:line="240" w:lineRule="auto"/>
      </w:pPr>
      <w:r>
        <w:separator/>
      </w:r>
    </w:p>
  </w:footnote>
  <w:footnote w:type="continuationSeparator" w:id="1">
    <w:p w:rsidR="00B21D82" w:rsidRDefault="00B21D82" w:rsidP="002753EC">
      <w:pPr>
        <w:spacing w:after="0" w:line="240" w:lineRule="auto"/>
      </w:pPr>
      <w:r>
        <w:continuationSeparator/>
      </w:r>
    </w:p>
  </w:footnote>
  <w:footnote w:id="2">
    <w:p w:rsidR="00E52B0D" w:rsidRPr="00C40CE6" w:rsidRDefault="00E52B0D" w:rsidP="00C40CE6">
      <w:pPr>
        <w:pStyle w:val="FootnoteText"/>
        <w:jc w:val="both"/>
        <w:rPr>
          <w:rFonts w:ascii="Times New Roman" w:hAnsi="Times New Roman" w:cs="Times New Roman"/>
        </w:rPr>
      </w:pPr>
      <w:r w:rsidRPr="00C40CE6">
        <w:rPr>
          <w:rStyle w:val="FootnoteReference"/>
          <w:rFonts w:ascii="Times New Roman" w:hAnsi="Times New Roman" w:cs="Times New Roman"/>
        </w:rPr>
        <w:footnoteRef/>
      </w:r>
      <w:r w:rsidRPr="00C40CE6">
        <w:rPr>
          <w:rFonts w:ascii="Times New Roman" w:hAnsi="Times New Roman" w:cs="Times New Roman"/>
        </w:rPr>
        <w:t xml:space="preserve"> Título de Tesis: “El proceso de derivación a tratamiento psicológico de niños, niñas y adolescentes por el Sistema de Protección de Derechos, desde la perspectiva de profesionales de servicios locales, profesionales de salud mental y familias, en el municipio de Lanús, en el año 2021.”</w:t>
      </w:r>
    </w:p>
  </w:footnote>
  <w:footnote w:id="3">
    <w:p w:rsidR="00E52B0D" w:rsidRPr="00C40CE6" w:rsidRDefault="00E52B0D" w:rsidP="00C40CE6">
      <w:pPr>
        <w:pStyle w:val="Default"/>
        <w:jc w:val="both"/>
        <w:rPr>
          <w:bCs/>
          <w:sz w:val="20"/>
          <w:szCs w:val="20"/>
        </w:rPr>
      </w:pPr>
      <w:r w:rsidRPr="00C40CE6">
        <w:rPr>
          <w:rStyle w:val="FootnoteReference"/>
        </w:rPr>
        <w:footnoteRef/>
      </w:r>
      <w:r w:rsidRPr="00C40CE6">
        <w:t xml:space="preserve"> </w:t>
      </w:r>
      <w:r w:rsidRPr="00C40CE6">
        <w:rPr>
          <w:b/>
          <w:sz w:val="20"/>
          <w:szCs w:val="20"/>
        </w:rPr>
        <w:t>Ley Provincial N°14537 (modificatoria de Ley 13298),</w:t>
      </w:r>
      <w:r w:rsidRPr="00C40CE6">
        <w:rPr>
          <w:sz w:val="20"/>
          <w:szCs w:val="20"/>
        </w:rPr>
        <w:t xml:space="preserve"> </w:t>
      </w:r>
      <w:r w:rsidRPr="00C40CE6">
        <w:rPr>
          <w:b/>
          <w:bCs/>
          <w:sz w:val="20"/>
          <w:szCs w:val="20"/>
        </w:rPr>
        <w:t xml:space="preserve">ARTICULO 35.- </w:t>
      </w:r>
      <w:r w:rsidRPr="00C40CE6">
        <w:rPr>
          <w:bCs/>
          <w:sz w:val="20"/>
          <w:szCs w:val="20"/>
        </w:rPr>
        <w:t>Comprobada la amenaza o violación de derechos podrán adoptarse, entre otras, las medidas que a continuación se enuncian:</w:t>
      </w:r>
    </w:p>
    <w:p w:rsidR="00E52B0D" w:rsidRPr="00C40CE6" w:rsidRDefault="00E52B0D" w:rsidP="00C40CE6">
      <w:pPr>
        <w:pStyle w:val="Default"/>
        <w:jc w:val="both"/>
        <w:rPr>
          <w:bCs/>
          <w:sz w:val="20"/>
          <w:szCs w:val="20"/>
        </w:rPr>
      </w:pPr>
      <w:r w:rsidRPr="00C40CE6">
        <w:rPr>
          <w:bCs/>
          <w:sz w:val="20"/>
          <w:szCs w:val="20"/>
        </w:rPr>
        <w:t>a) Apoyo para que los niños permanezcan conviviendo con su grupo familiar.</w:t>
      </w:r>
    </w:p>
    <w:p w:rsidR="00E52B0D" w:rsidRPr="00C40CE6" w:rsidRDefault="00E52B0D" w:rsidP="00C40CE6">
      <w:pPr>
        <w:pStyle w:val="Default"/>
        <w:jc w:val="both"/>
        <w:rPr>
          <w:bCs/>
          <w:sz w:val="20"/>
          <w:szCs w:val="20"/>
        </w:rPr>
      </w:pPr>
      <w:r w:rsidRPr="00C40CE6">
        <w:rPr>
          <w:bCs/>
          <w:sz w:val="20"/>
          <w:szCs w:val="20"/>
        </w:rPr>
        <w:t>b) Orientación a los padres o responsables.</w:t>
      </w:r>
    </w:p>
    <w:p w:rsidR="00E52B0D" w:rsidRPr="00C40CE6" w:rsidRDefault="00E52B0D" w:rsidP="00C40CE6">
      <w:pPr>
        <w:pStyle w:val="Default"/>
        <w:jc w:val="both"/>
        <w:rPr>
          <w:bCs/>
          <w:sz w:val="20"/>
          <w:szCs w:val="20"/>
        </w:rPr>
      </w:pPr>
      <w:r w:rsidRPr="00C40CE6">
        <w:rPr>
          <w:bCs/>
          <w:sz w:val="20"/>
          <w:szCs w:val="20"/>
        </w:rPr>
        <w:t>c) Orientación, apoyo y seguimiento temporarios a la niña, niño, adolescente y/o su familia.</w:t>
      </w:r>
    </w:p>
    <w:p w:rsidR="00E52B0D" w:rsidRPr="00C40CE6" w:rsidRDefault="00E52B0D" w:rsidP="00C40CE6">
      <w:pPr>
        <w:pStyle w:val="Default"/>
        <w:jc w:val="both"/>
        <w:rPr>
          <w:bCs/>
          <w:sz w:val="20"/>
          <w:szCs w:val="20"/>
        </w:rPr>
      </w:pPr>
      <w:r w:rsidRPr="00C40CE6">
        <w:rPr>
          <w:bCs/>
          <w:sz w:val="20"/>
          <w:szCs w:val="20"/>
        </w:rPr>
        <w:t>d) Inscripción y asistencia obligatoria en establecimiento educativo.</w:t>
      </w:r>
    </w:p>
    <w:p w:rsidR="00E52B0D" w:rsidRPr="00C40CE6" w:rsidRDefault="00E52B0D" w:rsidP="00C40CE6">
      <w:pPr>
        <w:pStyle w:val="Default"/>
        <w:jc w:val="both"/>
        <w:rPr>
          <w:bCs/>
          <w:sz w:val="20"/>
          <w:szCs w:val="20"/>
        </w:rPr>
      </w:pPr>
      <w:r w:rsidRPr="00C40CE6">
        <w:rPr>
          <w:bCs/>
          <w:sz w:val="20"/>
          <w:szCs w:val="20"/>
        </w:rPr>
        <w:t>e) Solicitud de becas de estudio o para guardería y/o inclusión en programas de alfabetización o</w:t>
      </w:r>
    </w:p>
    <w:p w:rsidR="00E52B0D" w:rsidRPr="00C40CE6" w:rsidRDefault="00E52B0D" w:rsidP="00C40CE6">
      <w:pPr>
        <w:pStyle w:val="Default"/>
        <w:jc w:val="both"/>
        <w:rPr>
          <w:bCs/>
          <w:sz w:val="20"/>
          <w:szCs w:val="20"/>
        </w:rPr>
      </w:pPr>
      <w:r w:rsidRPr="00C40CE6">
        <w:rPr>
          <w:bCs/>
          <w:sz w:val="20"/>
          <w:szCs w:val="20"/>
        </w:rPr>
        <w:t>apoyo escolar.</w:t>
      </w:r>
    </w:p>
    <w:p w:rsidR="00E52B0D" w:rsidRPr="00C40CE6" w:rsidRDefault="00E52B0D" w:rsidP="00C40CE6">
      <w:pPr>
        <w:pStyle w:val="Default"/>
        <w:jc w:val="both"/>
        <w:rPr>
          <w:bCs/>
          <w:sz w:val="20"/>
          <w:szCs w:val="20"/>
        </w:rPr>
      </w:pPr>
      <w:r w:rsidRPr="00C40CE6">
        <w:rPr>
          <w:bCs/>
          <w:sz w:val="20"/>
          <w:szCs w:val="20"/>
        </w:rPr>
        <w:t>f) Asistencia integral a la embarazada.</w:t>
      </w:r>
    </w:p>
    <w:p w:rsidR="00E52B0D" w:rsidRPr="00C40CE6" w:rsidRDefault="00E52B0D" w:rsidP="00C40CE6">
      <w:pPr>
        <w:pStyle w:val="Default"/>
        <w:jc w:val="both"/>
        <w:rPr>
          <w:bCs/>
          <w:sz w:val="20"/>
          <w:szCs w:val="20"/>
        </w:rPr>
      </w:pPr>
      <w:r w:rsidRPr="00C40CE6">
        <w:rPr>
          <w:bCs/>
          <w:sz w:val="20"/>
          <w:szCs w:val="20"/>
        </w:rPr>
        <w:t>g) Inclusión del niño, niña o adolescente y la familia, en programas de asistencia familiar.</w:t>
      </w:r>
    </w:p>
    <w:p w:rsidR="00E52B0D" w:rsidRPr="00C40CE6" w:rsidRDefault="00E52B0D" w:rsidP="00C40CE6">
      <w:pPr>
        <w:pStyle w:val="Default"/>
        <w:jc w:val="both"/>
        <w:rPr>
          <w:bCs/>
          <w:sz w:val="20"/>
          <w:szCs w:val="20"/>
        </w:rPr>
      </w:pPr>
      <w:r w:rsidRPr="00C40CE6">
        <w:rPr>
          <w:bCs/>
          <w:sz w:val="20"/>
          <w:szCs w:val="20"/>
        </w:rPr>
        <w:t>h) Cuidado del niño, niña o adolescente en el propio hogar, orientado y apoyando a los padres,</w:t>
      </w:r>
    </w:p>
    <w:p w:rsidR="00E52B0D" w:rsidRPr="00C40CE6" w:rsidRDefault="00E52B0D" w:rsidP="00C40CE6">
      <w:pPr>
        <w:pStyle w:val="Default"/>
        <w:jc w:val="both"/>
        <w:rPr>
          <w:bCs/>
          <w:sz w:val="20"/>
          <w:szCs w:val="20"/>
        </w:rPr>
      </w:pPr>
      <w:r w:rsidRPr="00C40CE6">
        <w:rPr>
          <w:bCs/>
          <w:sz w:val="20"/>
          <w:szCs w:val="20"/>
        </w:rPr>
        <w:t>representantes o responsables en el cumplimiento de sus obligaciones, conjuntamente con el</w:t>
      </w:r>
    </w:p>
    <w:p w:rsidR="00E52B0D" w:rsidRPr="00C40CE6" w:rsidRDefault="00E52B0D" w:rsidP="00C40CE6">
      <w:pPr>
        <w:pStyle w:val="Default"/>
        <w:jc w:val="both"/>
        <w:rPr>
          <w:bCs/>
          <w:sz w:val="20"/>
          <w:szCs w:val="20"/>
        </w:rPr>
      </w:pPr>
      <w:r w:rsidRPr="00C40CE6">
        <w:rPr>
          <w:bCs/>
          <w:sz w:val="20"/>
          <w:szCs w:val="20"/>
        </w:rPr>
        <w:t>seguimiento temporal de la familia y del niño a través de un programa.</w:t>
      </w:r>
    </w:p>
    <w:p w:rsidR="00E52B0D" w:rsidRPr="00C40CE6" w:rsidRDefault="00E52B0D" w:rsidP="00C40CE6">
      <w:pPr>
        <w:pStyle w:val="Default"/>
        <w:jc w:val="both"/>
        <w:rPr>
          <w:bCs/>
          <w:sz w:val="20"/>
          <w:szCs w:val="20"/>
        </w:rPr>
      </w:pPr>
      <w:r w:rsidRPr="00C40CE6">
        <w:rPr>
          <w:bCs/>
          <w:sz w:val="20"/>
          <w:szCs w:val="20"/>
        </w:rPr>
        <w:t>i) Tratamiento médico, psicológico o psiquiátrico del niño, niña o adolescente o de alguno de sus</w:t>
      </w:r>
    </w:p>
    <w:p w:rsidR="00E52B0D" w:rsidRPr="00C40CE6" w:rsidRDefault="00E52B0D" w:rsidP="00C40CE6">
      <w:pPr>
        <w:pStyle w:val="Default"/>
        <w:jc w:val="both"/>
        <w:rPr>
          <w:bCs/>
          <w:sz w:val="20"/>
          <w:szCs w:val="20"/>
        </w:rPr>
      </w:pPr>
      <w:r w:rsidRPr="00C40CE6">
        <w:rPr>
          <w:bCs/>
          <w:sz w:val="20"/>
          <w:szCs w:val="20"/>
        </w:rPr>
        <w:t>padres, responsables o representantes.</w:t>
      </w:r>
    </w:p>
    <w:p w:rsidR="00E52B0D" w:rsidRPr="00C40CE6" w:rsidRDefault="00E52B0D" w:rsidP="00C40CE6">
      <w:pPr>
        <w:pStyle w:val="Default"/>
        <w:jc w:val="both"/>
        <w:rPr>
          <w:bCs/>
          <w:sz w:val="20"/>
          <w:szCs w:val="20"/>
        </w:rPr>
      </w:pPr>
      <w:r w:rsidRPr="00C40CE6">
        <w:rPr>
          <w:bCs/>
          <w:sz w:val="20"/>
          <w:szCs w:val="20"/>
        </w:rPr>
        <w:t>j) Inclusión en programa oficial o comunitario de atención, orientación y tratamiento en adicciones.</w:t>
      </w:r>
    </w:p>
    <w:p w:rsidR="00E52B0D" w:rsidRPr="00C40CE6" w:rsidRDefault="00E52B0D" w:rsidP="00C40CE6">
      <w:pPr>
        <w:pStyle w:val="Default"/>
        <w:jc w:val="both"/>
        <w:rPr>
          <w:bCs/>
          <w:sz w:val="20"/>
          <w:szCs w:val="20"/>
        </w:rPr>
      </w:pPr>
      <w:r w:rsidRPr="00C40CE6">
        <w:rPr>
          <w:bCs/>
          <w:sz w:val="20"/>
          <w:szCs w:val="20"/>
        </w:rPr>
        <w:t>k) Asistencia económica.</w:t>
      </w:r>
    </w:p>
    <w:p w:rsidR="00E52B0D" w:rsidRPr="00C40CE6" w:rsidRDefault="00E52B0D" w:rsidP="00C40CE6">
      <w:pPr>
        <w:pStyle w:val="Default"/>
        <w:jc w:val="both"/>
        <w:rPr>
          <w:bCs/>
          <w:sz w:val="20"/>
          <w:szCs w:val="20"/>
        </w:rPr>
      </w:pPr>
      <w:r w:rsidRPr="00C40CE6">
        <w:rPr>
          <w:bCs/>
          <w:sz w:val="20"/>
          <w:szCs w:val="20"/>
        </w:rPr>
        <w:t>l) Permanencia temporal, con carácter excepcional y provisional, en ámbitos familiares alternativos</w:t>
      </w:r>
    </w:p>
    <w:p w:rsidR="00E52B0D" w:rsidRPr="00C40CE6" w:rsidRDefault="00E52B0D" w:rsidP="00C40CE6">
      <w:pPr>
        <w:pStyle w:val="Default"/>
        <w:jc w:val="both"/>
        <w:rPr>
          <w:bCs/>
          <w:sz w:val="20"/>
          <w:szCs w:val="20"/>
        </w:rPr>
      </w:pPr>
      <w:r w:rsidRPr="00C40CE6">
        <w:rPr>
          <w:bCs/>
          <w:sz w:val="20"/>
          <w:szCs w:val="20"/>
        </w:rPr>
        <w:t>o entidades de atención social y/o de salud, de conformidad con lo establecido en el artículo</w:t>
      </w:r>
    </w:p>
    <w:p w:rsidR="00E52B0D" w:rsidRPr="00C40CE6" w:rsidRDefault="00E52B0D" w:rsidP="00C40CE6">
      <w:pPr>
        <w:pStyle w:val="Default"/>
        <w:jc w:val="both"/>
        <w:rPr>
          <w:bCs/>
          <w:sz w:val="20"/>
          <w:szCs w:val="20"/>
        </w:rPr>
      </w:pPr>
      <w:r w:rsidRPr="00C40CE6">
        <w:rPr>
          <w:bCs/>
          <w:sz w:val="20"/>
          <w:szCs w:val="20"/>
        </w:rPr>
        <w:t>siguiente.</w:t>
      </w:r>
    </w:p>
    <w:p w:rsidR="00E52B0D" w:rsidRPr="00C40CE6" w:rsidRDefault="00E52B0D" w:rsidP="00C40CE6">
      <w:pPr>
        <w:pStyle w:val="FootnoteText"/>
        <w:jc w:val="both"/>
        <w:rPr>
          <w:rFonts w:ascii="Times New Roman" w:hAnsi="Times New Roman"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B93"/>
    <w:multiLevelType w:val="hybridMultilevel"/>
    <w:tmpl w:val="A66C1F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689B4830"/>
    <w:multiLevelType w:val="hybridMultilevel"/>
    <w:tmpl w:val="6F2A2DE0"/>
    <w:lvl w:ilvl="0" w:tplc="0E146F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defaultTabStop w:val="708"/>
  <w:hyphenationZone w:val="425"/>
  <w:characterSpacingControl w:val="doNotCompress"/>
  <w:footnotePr>
    <w:footnote w:id="0"/>
    <w:footnote w:id="1"/>
  </w:footnotePr>
  <w:endnotePr>
    <w:endnote w:id="0"/>
    <w:endnote w:id="1"/>
  </w:endnotePr>
  <w:compat/>
  <w:rsids>
    <w:rsidRoot w:val="002753EC"/>
    <w:rsid w:val="000447BA"/>
    <w:rsid w:val="0006299E"/>
    <w:rsid w:val="00091BFA"/>
    <w:rsid w:val="000A46B3"/>
    <w:rsid w:val="000B12DE"/>
    <w:rsid w:val="000B2A66"/>
    <w:rsid w:val="000D2E73"/>
    <w:rsid w:val="000D68A2"/>
    <w:rsid w:val="000E0CF4"/>
    <w:rsid w:val="000F26B1"/>
    <w:rsid w:val="001120BF"/>
    <w:rsid w:val="00135D13"/>
    <w:rsid w:val="0014591E"/>
    <w:rsid w:val="00151D17"/>
    <w:rsid w:val="00192D89"/>
    <w:rsid w:val="001A3652"/>
    <w:rsid w:val="001B0107"/>
    <w:rsid w:val="001E5BF2"/>
    <w:rsid w:val="00214BA3"/>
    <w:rsid w:val="00215A3B"/>
    <w:rsid w:val="00222BA7"/>
    <w:rsid w:val="00232EB2"/>
    <w:rsid w:val="00254751"/>
    <w:rsid w:val="002753EC"/>
    <w:rsid w:val="00295123"/>
    <w:rsid w:val="002C2155"/>
    <w:rsid w:val="002E07D7"/>
    <w:rsid w:val="002F7A5D"/>
    <w:rsid w:val="00304C04"/>
    <w:rsid w:val="00325D32"/>
    <w:rsid w:val="00332EDE"/>
    <w:rsid w:val="00353794"/>
    <w:rsid w:val="00354632"/>
    <w:rsid w:val="00366CF8"/>
    <w:rsid w:val="00375921"/>
    <w:rsid w:val="003841C7"/>
    <w:rsid w:val="00396F9B"/>
    <w:rsid w:val="003A37A0"/>
    <w:rsid w:val="003A53EB"/>
    <w:rsid w:val="003B00D0"/>
    <w:rsid w:val="003C05CF"/>
    <w:rsid w:val="00401D45"/>
    <w:rsid w:val="00406C23"/>
    <w:rsid w:val="0040795C"/>
    <w:rsid w:val="0043503C"/>
    <w:rsid w:val="00440AF3"/>
    <w:rsid w:val="00454CFA"/>
    <w:rsid w:val="00473475"/>
    <w:rsid w:val="00480988"/>
    <w:rsid w:val="004818BA"/>
    <w:rsid w:val="00483B85"/>
    <w:rsid w:val="00494D52"/>
    <w:rsid w:val="004A44A0"/>
    <w:rsid w:val="004B390D"/>
    <w:rsid w:val="004B3EF7"/>
    <w:rsid w:val="004E5B3E"/>
    <w:rsid w:val="004F686D"/>
    <w:rsid w:val="00507A0B"/>
    <w:rsid w:val="00515699"/>
    <w:rsid w:val="005256C4"/>
    <w:rsid w:val="00531023"/>
    <w:rsid w:val="00534C1A"/>
    <w:rsid w:val="005423DA"/>
    <w:rsid w:val="00547A9D"/>
    <w:rsid w:val="00547BD2"/>
    <w:rsid w:val="00551020"/>
    <w:rsid w:val="00556497"/>
    <w:rsid w:val="005575C2"/>
    <w:rsid w:val="005637FD"/>
    <w:rsid w:val="00582196"/>
    <w:rsid w:val="005877EA"/>
    <w:rsid w:val="00595CBE"/>
    <w:rsid w:val="00595FA8"/>
    <w:rsid w:val="005C05C0"/>
    <w:rsid w:val="005E2766"/>
    <w:rsid w:val="0062559B"/>
    <w:rsid w:val="00633919"/>
    <w:rsid w:val="00650340"/>
    <w:rsid w:val="00664D3A"/>
    <w:rsid w:val="0067052A"/>
    <w:rsid w:val="00671873"/>
    <w:rsid w:val="006766A1"/>
    <w:rsid w:val="0068296B"/>
    <w:rsid w:val="006E1F19"/>
    <w:rsid w:val="006E3D05"/>
    <w:rsid w:val="006F0125"/>
    <w:rsid w:val="00720CB2"/>
    <w:rsid w:val="00724056"/>
    <w:rsid w:val="00733C88"/>
    <w:rsid w:val="0076144A"/>
    <w:rsid w:val="007815C9"/>
    <w:rsid w:val="007834FC"/>
    <w:rsid w:val="00794E2E"/>
    <w:rsid w:val="007A5140"/>
    <w:rsid w:val="007B074D"/>
    <w:rsid w:val="007B1970"/>
    <w:rsid w:val="007D0306"/>
    <w:rsid w:val="007E038B"/>
    <w:rsid w:val="007F3A3C"/>
    <w:rsid w:val="0080540F"/>
    <w:rsid w:val="00815961"/>
    <w:rsid w:val="008220C0"/>
    <w:rsid w:val="00862B57"/>
    <w:rsid w:val="0086571C"/>
    <w:rsid w:val="00871288"/>
    <w:rsid w:val="008758B1"/>
    <w:rsid w:val="00890060"/>
    <w:rsid w:val="00894E5D"/>
    <w:rsid w:val="008A055E"/>
    <w:rsid w:val="008A3AEE"/>
    <w:rsid w:val="008D0997"/>
    <w:rsid w:val="008E3A9E"/>
    <w:rsid w:val="008F0C19"/>
    <w:rsid w:val="008F25DB"/>
    <w:rsid w:val="009074D6"/>
    <w:rsid w:val="00907C69"/>
    <w:rsid w:val="00947206"/>
    <w:rsid w:val="009478BF"/>
    <w:rsid w:val="00956193"/>
    <w:rsid w:val="00971836"/>
    <w:rsid w:val="00976BC9"/>
    <w:rsid w:val="009775A9"/>
    <w:rsid w:val="009823C8"/>
    <w:rsid w:val="00990BBA"/>
    <w:rsid w:val="00991499"/>
    <w:rsid w:val="00994550"/>
    <w:rsid w:val="009960A1"/>
    <w:rsid w:val="009A2B6E"/>
    <w:rsid w:val="009D37A7"/>
    <w:rsid w:val="009D3C31"/>
    <w:rsid w:val="009D4E4A"/>
    <w:rsid w:val="009E4567"/>
    <w:rsid w:val="009F2D68"/>
    <w:rsid w:val="009F5C3F"/>
    <w:rsid w:val="00A1093F"/>
    <w:rsid w:val="00A20E8E"/>
    <w:rsid w:val="00A23275"/>
    <w:rsid w:val="00A31235"/>
    <w:rsid w:val="00A40759"/>
    <w:rsid w:val="00A501D2"/>
    <w:rsid w:val="00A50200"/>
    <w:rsid w:val="00A50C75"/>
    <w:rsid w:val="00A65AAB"/>
    <w:rsid w:val="00A82708"/>
    <w:rsid w:val="00A85DE1"/>
    <w:rsid w:val="00A97BFB"/>
    <w:rsid w:val="00AA7810"/>
    <w:rsid w:val="00AC2093"/>
    <w:rsid w:val="00AC4492"/>
    <w:rsid w:val="00AD4236"/>
    <w:rsid w:val="00AE09B3"/>
    <w:rsid w:val="00B21D82"/>
    <w:rsid w:val="00B424B5"/>
    <w:rsid w:val="00B42734"/>
    <w:rsid w:val="00B52C58"/>
    <w:rsid w:val="00B603E4"/>
    <w:rsid w:val="00B77A86"/>
    <w:rsid w:val="00BA29C0"/>
    <w:rsid w:val="00BA7639"/>
    <w:rsid w:val="00BB49C8"/>
    <w:rsid w:val="00BB79CD"/>
    <w:rsid w:val="00BC17EA"/>
    <w:rsid w:val="00BF214D"/>
    <w:rsid w:val="00BF3173"/>
    <w:rsid w:val="00C01074"/>
    <w:rsid w:val="00C04D30"/>
    <w:rsid w:val="00C10669"/>
    <w:rsid w:val="00C22A77"/>
    <w:rsid w:val="00C40CE6"/>
    <w:rsid w:val="00C45CB2"/>
    <w:rsid w:val="00C54282"/>
    <w:rsid w:val="00C60C90"/>
    <w:rsid w:val="00C635F2"/>
    <w:rsid w:val="00C763AD"/>
    <w:rsid w:val="00C97509"/>
    <w:rsid w:val="00CA02AA"/>
    <w:rsid w:val="00CA187B"/>
    <w:rsid w:val="00CC1847"/>
    <w:rsid w:val="00CC425F"/>
    <w:rsid w:val="00CD0B55"/>
    <w:rsid w:val="00CD19EC"/>
    <w:rsid w:val="00CF4E5D"/>
    <w:rsid w:val="00D254EC"/>
    <w:rsid w:val="00D2664E"/>
    <w:rsid w:val="00D32F8E"/>
    <w:rsid w:val="00D53F07"/>
    <w:rsid w:val="00D71679"/>
    <w:rsid w:val="00D76104"/>
    <w:rsid w:val="00D765BC"/>
    <w:rsid w:val="00D92D40"/>
    <w:rsid w:val="00D94C07"/>
    <w:rsid w:val="00DC56D0"/>
    <w:rsid w:val="00DC649D"/>
    <w:rsid w:val="00DE66D5"/>
    <w:rsid w:val="00DF0A85"/>
    <w:rsid w:val="00DF541D"/>
    <w:rsid w:val="00DF73DD"/>
    <w:rsid w:val="00E07523"/>
    <w:rsid w:val="00E10337"/>
    <w:rsid w:val="00E112F3"/>
    <w:rsid w:val="00E266CB"/>
    <w:rsid w:val="00E27C70"/>
    <w:rsid w:val="00E41C66"/>
    <w:rsid w:val="00E47936"/>
    <w:rsid w:val="00E52B0D"/>
    <w:rsid w:val="00E56AA6"/>
    <w:rsid w:val="00E6007E"/>
    <w:rsid w:val="00E65CEE"/>
    <w:rsid w:val="00E663AC"/>
    <w:rsid w:val="00EA203F"/>
    <w:rsid w:val="00EB4ACD"/>
    <w:rsid w:val="00EC15AC"/>
    <w:rsid w:val="00ED3425"/>
    <w:rsid w:val="00EE7110"/>
    <w:rsid w:val="00F0186A"/>
    <w:rsid w:val="00F10A01"/>
    <w:rsid w:val="00F159F0"/>
    <w:rsid w:val="00F70E90"/>
    <w:rsid w:val="00F950BB"/>
    <w:rsid w:val="00FA1478"/>
    <w:rsid w:val="00FD5893"/>
    <w:rsid w:val="00FE19F6"/>
    <w:rsid w:val="00FF3920"/>
    <w:rsid w:val="00FF5E9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53E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FootnoteText">
    <w:name w:val="footnote text"/>
    <w:basedOn w:val="Normal"/>
    <w:link w:val="FootnoteTextChar"/>
    <w:uiPriority w:val="99"/>
    <w:semiHidden/>
    <w:unhideWhenUsed/>
    <w:rsid w:val="002753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EC"/>
    <w:rPr>
      <w:sz w:val="20"/>
      <w:szCs w:val="20"/>
    </w:rPr>
  </w:style>
  <w:style w:type="character" w:styleId="FootnoteReference">
    <w:name w:val="footnote reference"/>
    <w:basedOn w:val="DefaultParagraphFont"/>
    <w:uiPriority w:val="99"/>
    <w:semiHidden/>
    <w:unhideWhenUsed/>
    <w:rsid w:val="002753EC"/>
    <w:rPr>
      <w:vertAlign w:val="superscript"/>
    </w:rPr>
  </w:style>
  <w:style w:type="paragraph" w:customStyle="1" w:styleId="Default">
    <w:name w:val="Default"/>
    <w:rsid w:val="002753E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9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14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499"/>
    <w:rPr>
      <w:rFonts w:ascii="Tahoma" w:hAnsi="Tahoma" w:cs="Tahoma"/>
      <w:sz w:val="16"/>
      <w:szCs w:val="16"/>
    </w:rPr>
  </w:style>
  <w:style w:type="character" w:styleId="Hyperlink">
    <w:name w:val="Hyperlink"/>
    <w:basedOn w:val="DefaultParagraphFont"/>
    <w:uiPriority w:val="99"/>
    <w:unhideWhenUsed/>
    <w:rsid w:val="001120BF"/>
    <w:rPr>
      <w:color w:val="0000FF" w:themeColor="hyperlink"/>
      <w:u w:val="single"/>
    </w:rPr>
  </w:style>
  <w:style w:type="paragraph" w:styleId="Header">
    <w:name w:val="header"/>
    <w:basedOn w:val="Normal"/>
    <w:link w:val="HeaderChar"/>
    <w:uiPriority w:val="99"/>
    <w:semiHidden/>
    <w:unhideWhenUsed/>
    <w:rsid w:val="00254751"/>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254751"/>
  </w:style>
  <w:style w:type="paragraph" w:styleId="Footer">
    <w:name w:val="footer"/>
    <w:basedOn w:val="Normal"/>
    <w:link w:val="FooterChar"/>
    <w:uiPriority w:val="99"/>
    <w:unhideWhenUsed/>
    <w:rsid w:val="00254751"/>
    <w:pPr>
      <w:tabs>
        <w:tab w:val="center" w:pos="4419"/>
        <w:tab w:val="right" w:pos="8838"/>
      </w:tabs>
      <w:spacing w:after="0" w:line="240" w:lineRule="auto"/>
    </w:pPr>
  </w:style>
  <w:style w:type="character" w:customStyle="1" w:styleId="FooterChar">
    <w:name w:val="Footer Char"/>
    <w:basedOn w:val="DefaultParagraphFont"/>
    <w:link w:val="Footer"/>
    <w:uiPriority w:val="99"/>
    <w:rsid w:val="00254751"/>
  </w:style>
  <w:style w:type="character" w:styleId="Emphasis">
    <w:name w:val="Emphasis"/>
    <w:basedOn w:val="DefaultParagraphFont"/>
    <w:uiPriority w:val="20"/>
    <w:qFormat/>
    <w:rsid w:val="007D0306"/>
    <w:rPr>
      <w:i/>
      <w:iCs/>
    </w:rPr>
  </w:style>
  <w:style w:type="paragraph" w:styleId="ListParagraph">
    <w:name w:val="List Paragraph"/>
    <w:basedOn w:val="Normal"/>
    <w:uiPriority w:val="34"/>
    <w:qFormat/>
    <w:rsid w:val="009D37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edad_pintos@hotmail.com" TargetMode="External"/><Relationship Id="rId13" Type="http://schemas.openxmlformats.org/officeDocument/2006/relationships/hyperlink" Target="http://www.scielo.org.ar/pdf/ava/n22/n22a0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uposaludmentalfts.files.wordpress.com/2014/02/barcala-sufrimiento_psicosocial_en_la_nic3b1ez.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arrollosocial.gob.ar/wp-content/uploads/2015/05/27-Situacion-de-ni--os-y-adolescentes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ba.academia.edu/LeandroLucianiConde/Thesis-Chapters" TargetMode="External"/><Relationship Id="rId4" Type="http://schemas.openxmlformats.org/officeDocument/2006/relationships/settings" Target="settings.xml"/><Relationship Id="rId9" Type="http://schemas.openxmlformats.org/officeDocument/2006/relationships/hyperlink" Target="https://www.academia.edu/40112285/TESIS_DOCTORAL_COMPLETA._El_mal_menor_de_la_complicidad_a_la_tolerancia_como_l%C3%B3gica_en_la_protecci%C3%B3n_social_de_la_ni%C3%B1ez._Estudio_de_caso_de_un_Sistema_de_Protecci%C3%B3n_de_Derechos_de_Ni%C3%B1as_Ni%C3%B1os_y_Adolescentes_en_un_municipio_del_conurbano_bonaerense" TargetMode="External"/><Relationship Id="rId14" Type="http://schemas.openxmlformats.org/officeDocument/2006/relationships/hyperlink" Target="https://www.unicef.org/argentina/media/2211/file/SIT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F2B03-F1DF-4FF8-842E-4ECA9A4E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11308</TotalTime>
  <Pages>20</Pages>
  <Words>6929</Words>
  <Characters>38113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Octavio</dc:creator>
  <cp:lastModifiedBy>Octavio</cp:lastModifiedBy>
  <cp:revision>171</cp:revision>
  <dcterms:created xsi:type="dcterms:W3CDTF">2022-08-08T15:30:00Z</dcterms:created>
  <dcterms:modified xsi:type="dcterms:W3CDTF">2022-09-20T18:01:00Z</dcterms:modified>
</cp:coreProperties>
</file>