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3EC7" w14:textId="77777777" w:rsidR="00415573" w:rsidRDefault="00415573" w:rsidP="00302DC0">
      <w:pPr>
        <w:spacing w:line="360" w:lineRule="auto"/>
        <w:jc w:val="both"/>
        <w:rPr>
          <w:rFonts w:ascii="Times New Roman" w:eastAsia="Calibri" w:hAnsi="Times New Roman" w:cs="Times New Roman"/>
          <w:sz w:val="28"/>
          <w:szCs w:val="28"/>
        </w:rPr>
      </w:pPr>
      <w:bookmarkStart w:id="0" w:name="_Toc107868454"/>
    </w:p>
    <w:p w14:paraId="33346B2A" w14:textId="768FCCF1" w:rsidR="00C96279" w:rsidRPr="00C96279" w:rsidRDefault="00C96279"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Título de la ponencia:</w:t>
      </w:r>
      <w:r w:rsidRPr="00C83BC5">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C83BC5">
        <w:rPr>
          <w:rFonts w:ascii="Times New Roman" w:eastAsia="Calibri" w:hAnsi="Times New Roman" w:cs="Times New Roman"/>
          <w:sz w:val="24"/>
          <w:szCs w:val="24"/>
        </w:rPr>
        <w:t xml:space="preserve">strategias familiares de vida </w:t>
      </w:r>
      <w:r>
        <w:rPr>
          <w:rFonts w:ascii="Times New Roman" w:eastAsia="Calibri" w:hAnsi="Times New Roman" w:cs="Times New Roman"/>
          <w:sz w:val="24"/>
          <w:szCs w:val="24"/>
        </w:rPr>
        <w:t>e</w:t>
      </w:r>
      <w:r w:rsidRPr="00C83BC5">
        <w:rPr>
          <w:rFonts w:ascii="Times New Roman" w:eastAsia="Calibri" w:hAnsi="Times New Roman" w:cs="Times New Roman"/>
          <w:sz w:val="24"/>
          <w:szCs w:val="24"/>
        </w:rPr>
        <w:t xml:space="preserve"> ingresos ante la crisis por el Covid-19</w:t>
      </w:r>
      <w:r>
        <w:rPr>
          <w:rFonts w:ascii="Times New Roman" w:eastAsia="Calibri" w:hAnsi="Times New Roman" w:cs="Times New Roman"/>
          <w:sz w:val="24"/>
          <w:szCs w:val="24"/>
        </w:rPr>
        <w:t xml:space="preserve"> (2019-2020-2021)</w:t>
      </w:r>
    </w:p>
    <w:p w14:paraId="7355B638" w14:textId="5D5254D4"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Nombre y Apellido:</w:t>
      </w:r>
      <w:r w:rsidRPr="00C83BC5">
        <w:rPr>
          <w:rFonts w:ascii="Times New Roman" w:eastAsia="Calibri" w:hAnsi="Times New Roman" w:cs="Times New Roman"/>
          <w:sz w:val="24"/>
          <w:szCs w:val="24"/>
        </w:rPr>
        <w:t xml:space="preserve"> Rodrigo Jara</w:t>
      </w:r>
      <w:r w:rsidR="009D5C65">
        <w:rPr>
          <w:rFonts w:ascii="Times New Roman" w:eastAsia="Calibri" w:hAnsi="Times New Roman" w:cs="Times New Roman"/>
          <w:sz w:val="24"/>
          <w:szCs w:val="24"/>
        </w:rPr>
        <w:t xml:space="preserve"> </w:t>
      </w:r>
      <w:proofErr w:type="spellStart"/>
      <w:r w:rsidR="009D5C65">
        <w:rPr>
          <w:rFonts w:ascii="Times New Roman" w:eastAsia="Calibri" w:hAnsi="Times New Roman" w:cs="Times New Roman"/>
          <w:sz w:val="24"/>
          <w:szCs w:val="24"/>
        </w:rPr>
        <w:t>Alvarez</w:t>
      </w:r>
      <w:proofErr w:type="spellEnd"/>
      <w:r>
        <w:rPr>
          <w:rStyle w:val="Refdenotaalpie"/>
          <w:rFonts w:ascii="Times New Roman" w:eastAsia="Calibri" w:hAnsi="Times New Roman" w:cs="Times New Roman"/>
          <w:sz w:val="24"/>
          <w:szCs w:val="24"/>
        </w:rPr>
        <w:footnoteReference w:id="1"/>
      </w:r>
      <w:r w:rsidRPr="00C83BC5">
        <w:rPr>
          <w:rFonts w:ascii="Times New Roman" w:eastAsia="Calibri" w:hAnsi="Times New Roman" w:cs="Times New Roman"/>
          <w:sz w:val="24"/>
          <w:szCs w:val="24"/>
        </w:rPr>
        <w:t xml:space="preserve"> </w:t>
      </w:r>
    </w:p>
    <w:p w14:paraId="3A3C816C" w14:textId="77777777"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Afiliación institucional:</w:t>
      </w:r>
      <w:r w:rsidRPr="00C83BC5">
        <w:rPr>
          <w:rFonts w:ascii="Times New Roman" w:eastAsia="Calibri" w:hAnsi="Times New Roman" w:cs="Times New Roman"/>
          <w:sz w:val="24"/>
          <w:szCs w:val="24"/>
        </w:rPr>
        <w:t xml:space="preserve"> Estudiante de la carrera de Sociología, Universidad de Buenos Aires (UBA)</w:t>
      </w:r>
    </w:p>
    <w:p w14:paraId="3E3DE879" w14:textId="77777777"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Correo electrónico:</w:t>
      </w:r>
      <w:r w:rsidRPr="00C83BC5">
        <w:rPr>
          <w:rFonts w:ascii="Times New Roman" w:eastAsia="Calibri" w:hAnsi="Times New Roman" w:cs="Times New Roman"/>
          <w:sz w:val="24"/>
          <w:szCs w:val="24"/>
        </w:rPr>
        <w:t xml:space="preserve"> rodrigotaiel1@gmail.com</w:t>
      </w:r>
    </w:p>
    <w:p w14:paraId="680C346F" w14:textId="77777777"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Máximo título alcanzado o formación académica en curso:</w:t>
      </w:r>
      <w:r w:rsidRPr="00C83BC5">
        <w:rPr>
          <w:rFonts w:ascii="Times New Roman" w:eastAsia="Calibri" w:hAnsi="Times New Roman" w:cs="Times New Roman"/>
          <w:sz w:val="24"/>
          <w:szCs w:val="24"/>
        </w:rPr>
        <w:t xml:space="preserve"> Estudiante de grado – Licenciatura en Sociología.</w:t>
      </w:r>
    </w:p>
    <w:p w14:paraId="3744754B" w14:textId="46CDBC05"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Eje problemático:</w:t>
      </w:r>
      <w:r w:rsidRPr="00C83BC5">
        <w:rPr>
          <w:rFonts w:ascii="Times New Roman" w:eastAsia="Calibri" w:hAnsi="Times New Roman" w:cs="Times New Roman"/>
          <w:sz w:val="24"/>
          <w:szCs w:val="24"/>
        </w:rPr>
        <w:t xml:space="preserve"> Eje 12 – Desigualdades y Estructura Social</w:t>
      </w:r>
    </w:p>
    <w:p w14:paraId="4069B505" w14:textId="77777777" w:rsidR="00302DC0" w:rsidRPr="00C83BC5" w:rsidRDefault="00302DC0" w:rsidP="00302DC0">
      <w:pPr>
        <w:spacing w:line="360" w:lineRule="auto"/>
        <w:jc w:val="both"/>
        <w:rPr>
          <w:rFonts w:ascii="Times New Roman" w:eastAsia="Calibri" w:hAnsi="Times New Roman" w:cs="Times New Roman"/>
          <w:sz w:val="24"/>
          <w:szCs w:val="24"/>
        </w:rPr>
      </w:pPr>
      <w:r w:rsidRPr="00C83BC5">
        <w:rPr>
          <w:rFonts w:ascii="Times New Roman" w:eastAsia="Calibri" w:hAnsi="Times New Roman" w:cs="Times New Roman"/>
          <w:b/>
          <w:bCs/>
          <w:sz w:val="24"/>
          <w:szCs w:val="24"/>
        </w:rPr>
        <w:t>Palabras clave:</w:t>
      </w:r>
      <w:r w:rsidRPr="00C83BC5">
        <w:rPr>
          <w:rFonts w:ascii="Times New Roman" w:eastAsia="Calibri" w:hAnsi="Times New Roman" w:cs="Times New Roman"/>
          <w:sz w:val="24"/>
          <w:szCs w:val="24"/>
        </w:rPr>
        <w:t xml:space="preserve"> Estrategias familiares, ingreso, Covid-19, desigualdad social</w:t>
      </w:r>
    </w:p>
    <w:p w14:paraId="3252459A" w14:textId="77777777" w:rsidR="00302DC0" w:rsidRDefault="00302DC0" w:rsidP="00302DC0">
      <w:pPr>
        <w:spacing w:line="360" w:lineRule="auto"/>
        <w:jc w:val="both"/>
        <w:rPr>
          <w:rFonts w:ascii="Times New Roman" w:eastAsia="Calibri" w:hAnsi="Times New Roman" w:cs="Times New Roman"/>
          <w:sz w:val="24"/>
          <w:szCs w:val="24"/>
        </w:rPr>
      </w:pPr>
    </w:p>
    <w:p w14:paraId="1944F50C" w14:textId="77777777" w:rsidR="00302DC0" w:rsidRDefault="00302DC0" w:rsidP="00302DC0">
      <w:pPr>
        <w:spacing w:line="360" w:lineRule="auto"/>
        <w:jc w:val="both"/>
        <w:rPr>
          <w:rFonts w:ascii="Times New Roman" w:eastAsia="Calibri" w:hAnsi="Times New Roman" w:cs="Times New Roman"/>
          <w:sz w:val="24"/>
          <w:szCs w:val="24"/>
        </w:rPr>
      </w:pPr>
    </w:p>
    <w:p w14:paraId="05798782" w14:textId="77777777" w:rsidR="00302DC0" w:rsidRDefault="00302DC0" w:rsidP="00302DC0">
      <w:pPr>
        <w:spacing w:line="360" w:lineRule="auto"/>
        <w:jc w:val="both"/>
        <w:rPr>
          <w:rFonts w:ascii="Times New Roman" w:eastAsia="Calibri" w:hAnsi="Times New Roman" w:cs="Times New Roman"/>
          <w:sz w:val="24"/>
          <w:szCs w:val="24"/>
        </w:rPr>
      </w:pPr>
    </w:p>
    <w:p w14:paraId="225037E8" w14:textId="77777777" w:rsidR="00302DC0" w:rsidRDefault="00302DC0" w:rsidP="00302DC0">
      <w:pPr>
        <w:spacing w:line="360" w:lineRule="auto"/>
        <w:jc w:val="both"/>
        <w:rPr>
          <w:rFonts w:ascii="Times New Roman" w:eastAsia="Calibri" w:hAnsi="Times New Roman" w:cs="Times New Roman"/>
          <w:sz w:val="24"/>
          <w:szCs w:val="24"/>
        </w:rPr>
      </w:pPr>
    </w:p>
    <w:p w14:paraId="7A7D832A" w14:textId="77777777" w:rsidR="00302DC0" w:rsidRDefault="00302DC0" w:rsidP="00302DC0">
      <w:pPr>
        <w:spacing w:line="360" w:lineRule="auto"/>
        <w:jc w:val="both"/>
        <w:rPr>
          <w:rFonts w:ascii="Times New Roman" w:eastAsia="Calibri" w:hAnsi="Times New Roman" w:cs="Times New Roman"/>
          <w:sz w:val="24"/>
          <w:szCs w:val="24"/>
        </w:rPr>
      </w:pPr>
    </w:p>
    <w:p w14:paraId="3C1DD1D4" w14:textId="77777777" w:rsidR="00302DC0" w:rsidRDefault="00302DC0" w:rsidP="00302DC0">
      <w:pPr>
        <w:spacing w:line="360" w:lineRule="auto"/>
        <w:jc w:val="both"/>
        <w:rPr>
          <w:rFonts w:ascii="Times New Roman" w:eastAsia="Calibri" w:hAnsi="Times New Roman" w:cs="Times New Roman"/>
          <w:sz w:val="24"/>
          <w:szCs w:val="24"/>
        </w:rPr>
      </w:pPr>
    </w:p>
    <w:p w14:paraId="5F077753" w14:textId="77777777" w:rsidR="00302DC0" w:rsidRDefault="00302DC0" w:rsidP="00302DC0">
      <w:pPr>
        <w:spacing w:line="360" w:lineRule="auto"/>
        <w:jc w:val="both"/>
        <w:rPr>
          <w:rFonts w:ascii="Times New Roman" w:eastAsia="Calibri" w:hAnsi="Times New Roman" w:cs="Times New Roman"/>
          <w:sz w:val="24"/>
          <w:szCs w:val="24"/>
        </w:rPr>
      </w:pPr>
    </w:p>
    <w:p w14:paraId="664B7060" w14:textId="77777777" w:rsidR="00302DC0" w:rsidRDefault="00302DC0" w:rsidP="00C239E4">
      <w:pPr>
        <w:pStyle w:val="Ttulo2"/>
      </w:pPr>
    </w:p>
    <w:p w14:paraId="153B737D" w14:textId="77777777" w:rsidR="00302DC0" w:rsidRDefault="00302DC0">
      <w:pPr>
        <w:rPr>
          <w:rFonts w:asciiTheme="majorHAnsi" w:eastAsiaTheme="majorEastAsia" w:hAnsiTheme="majorHAnsi" w:cstheme="majorBidi"/>
          <w:color w:val="2F5496" w:themeColor="accent1" w:themeShade="BF"/>
          <w:sz w:val="26"/>
          <w:szCs w:val="26"/>
        </w:rPr>
      </w:pPr>
      <w:r>
        <w:br w:type="page"/>
      </w:r>
    </w:p>
    <w:p w14:paraId="31442A2D" w14:textId="7723031D" w:rsidR="005D1CB4" w:rsidRPr="00DC6AF3" w:rsidRDefault="76E3AB01" w:rsidP="00C239E4">
      <w:pPr>
        <w:pStyle w:val="Ttulo2"/>
        <w:rPr>
          <w:rFonts w:ascii="Times New Roman" w:hAnsi="Times New Roman" w:cs="Times New Roman"/>
        </w:rPr>
      </w:pPr>
      <w:r w:rsidRPr="00DC6AF3">
        <w:rPr>
          <w:rFonts w:ascii="Times New Roman" w:hAnsi="Times New Roman" w:cs="Times New Roman"/>
        </w:rPr>
        <w:lastRenderedPageBreak/>
        <w:t>Introducción</w:t>
      </w:r>
      <w:bookmarkEnd w:id="0"/>
    </w:p>
    <w:p w14:paraId="10A234A7" w14:textId="33247A3F" w:rsidR="00D26E39" w:rsidRPr="00DC6AF3" w:rsidRDefault="569138D2" w:rsidP="76E3AB01">
      <w:pPr>
        <w:spacing w:line="360" w:lineRule="auto"/>
        <w:jc w:val="both"/>
        <w:rPr>
          <w:rFonts w:ascii="Times New Roman" w:eastAsia="Calibri" w:hAnsi="Times New Roman" w:cs="Times New Roman"/>
          <w:sz w:val="24"/>
          <w:szCs w:val="24"/>
        </w:rPr>
      </w:pPr>
      <w:bookmarkStart w:id="1" w:name="_Hlk107261281"/>
      <w:r w:rsidRPr="00DC6AF3">
        <w:rPr>
          <w:rFonts w:ascii="Times New Roman" w:eastAsia="Calibri" w:hAnsi="Times New Roman" w:cs="Times New Roman"/>
          <w:sz w:val="24"/>
          <w:szCs w:val="24"/>
        </w:rPr>
        <w:t xml:space="preserve">La crisis provocada por la irrupción de la pandemia del COVID-19, </w:t>
      </w:r>
      <w:r w:rsidR="00F07A1A" w:rsidRPr="00DC6AF3">
        <w:rPr>
          <w:rFonts w:ascii="Times New Roman" w:eastAsia="Calibri" w:hAnsi="Times New Roman" w:cs="Times New Roman"/>
          <w:sz w:val="24"/>
          <w:szCs w:val="24"/>
        </w:rPr>
        <w:t xml:space="preserve">ocasionó </w:t>
      </w:r>
      <w:r w:rsidRPr="00DC6AF3">
        <w:rPr>
          <w:rFonts w:ascii="Times New Roman" w:eastAsia="Calibri" w:hAnsi="Times New Roman" w:cs="Times New Roman"/>
          <w:sz w:val="24"/>
          <w:szCs w:val="24"/>
        </w:rPr>
        <w:t xml:space="preserve">cambios en la dinámica de la reproducción económica de los hogares urbanos en la Argentina, profundizando la crisis económica preexistente. En un contexto de recuperación económica es importante analizar los impactos de esta crisis y cómo se vio afectada la </w:t>
      </w:r>
      <w:r w:rsidR="00F07A1A" w:rsidRPr="00DC6AF3">
        <w:rPr>
          <w:rFonts w:ascii="Times New Roman" w:eastAsia="Calibri" w:hAnsi="Times New Roman" w:cs="Times New Roman"/>
          <w:sz w:val="24"/>
          <w:szCs w:val="24"/>
        </w:rPr>
        <w:t xml:space="preserve">participación de los hogares en la </w:t>
      </w:r>
      <w:r w:rsidRPr="00DC6AF3">
        <w:rPr>
          <w:rFonts w:ascii="Times New Roman" w:eastAsia="Calibri" w:hAnsi="Times New Roman" w:cs="Times New Roman"/>
          <w:sz w:val="24"/>
          <w:szCs w:val="24"/>
        </w:rPr>
        <w:t xml:space="preserve">estructura sociolaboral, tanto en el momento de recesión como en el momento de </w:t>
      </w:r>
      <w:r w:rsidR="00F07A1A" w:rsidRPr="00DC6AF3">
        <w:rPr>
          <w:rFonts w:ascii="Times New Roman" w:eastAsia="Calibri" w:hAnsi="Times New Roman" w:cs="Times New Roman"/>
          <w:sz w:val="24"/>
          <w:szCs w:val="24"/>
        </w:rPr>
        <w:t>incipiente reactivación tras el inicio de las campañas de vacunación</w:t>
      </w:r>
      <w:r w:rsidRPr="00DC6AF3">
        <w:rPr>
          <w:rFonts w:ascii="Times New Roman" w:eastAsia="Calibri" w:hAnsi="Times New Roman" w:cs="Times New Roman"/>
          <w:sz w:val="24"/>
          <w:szCs w:val="24"/>
        </w:rPr>
        <w:t xml:space="preserve">. Por lo tanto, el objetivo de este trabajo es describir y comparar los distintos mecanismos que explicaron los cambios en las capacidades de reproducción económica (evaluadas a partir de ingresos familiares) de los hogares de distintas posiciones socio-ocupacionales en la Argentina urbana entre los años 2019 y 2021. </w:t>
      </w:r>
    </w:p>
    <w:p w14:paraId="48666E53" w14:textId="102A1AD6" w:rsidR="009F362C" w:rsidRPr="00DC6AF3" w:rsidRDefault="569138D2" w:rsidP="76E3AB01">
      <w:pPr>
        <w:spacing w:line="360" w:lineRule="auto"/>
        <w:jc w:val="both"/>
        <w:rPr>
          <w:rFonts w:ascii="Times New Roman" w:eastAsia="Calibri" w:hAnsi="Times New Roman" w:cs="Times New Roman"/>
          <w:sz w:val="24"/>
          <w:szCs w:val="24"/>
        </w:rPr>
      </w:pPr>
      <w:r w:rsidRPr="00DC6AF3">
        <w:rPr>
          <w:rFonts w:ascii="Times New Roman" w:eastAsia="Calibri" w:hAnsi="Times New Roman" w:cs="Times New Roman"/>
          <w:sz w:val="24"/>
          <w:szCs w:val="24"/>
        </w:rPr>
        <w:t xml:space="preserve">La crisis del COVID-19 se caracterizó por el cierre </w:t>
      </w:r>
      <w:r w:rsidR="00D07C8A" w:rsidRPr="00DC6AF3">
        <w:rPr>
          <w:rFonts w:ascii="Times New Roman" w:eastAsia="Calibri" w:hAnsi="Times New Roman" w:cs="Times New Roman"/>
          <w:sz w:val="24"/>
          <w:szCs w:val="24"/>
        </w:rPr>
        <w:t xml:space="preserve">y la paralización </w:t>
      </w:r>
      <w:r w:rsidRPr="00DC6AF3">
        <w:rPr>
          <w:rFonts w:ascii="Times New Roman" w:eastAsia="Calibri" w:hAnsi="Times New Roman" w:cs="Times New Roman"/>
          <w:sz w:val="24"/>
          <w:szCs w:val="24"/>
        </w:rPr>
        <w:t>de determinadas actividades</w:t>
      </w:r>
      <w:r w:rsidR="00F07A1A" w:rsidRPr="00DC6AF3">
        <w:rPr>
          <w:rFonts w:ascii="Times New Roman" w:eastAsia="Calibri" w:hAnsi="Times New Roman" w:cs="Times New Roman"/>
          <w:sz w:val="24"/>
          <w:szCs w:val="24"/>
        </w:rPr>
        <w:t xml:space="preserve"> económicas</w:t>
      </w:r>
      <w:r w:rsidRPr="00DC6AF3">
        <w:rPr>
          <w:rFonts w:ascii="Times New Roman" w:eastAsia="Calibri" w:hAnsi="Times New Roman" w:cs="Times New Roman"/>
          <w:sz w:val="24"/>
          <w:szCs w:val="24"/>
        </w:rPr>
        <w:t xml:space="preserve"> </w:t>
      </w:r>
      <w:r w:rsidR="00F07A1A" w:rsidRPr="00DC6AF3">
        <w:rPr>
          <w:rFonts w:ascii="Times New Roman" w:eastAsia="Calibri" w:hAnsi="Times New Roman" w:cs="Times New Roman"/>
          <w:sz w:val="24"/>
          <w:szCs w:val="24"/>
        </w:rPr>
        <w:t xml:space="preserve">necesarias para asegurar </w:t>
      </w:r>
      <w:r w:rsidRPr="00DC6AF3">
        <w:rPr>
          <w:rFonts w:ascii="Times New Roman" w:eastAsia="Calibri" w:hAnsi="Times New Roman" w:cs="Times New Roman"/>
          <w:sz w:val="24"/>
          <w:szCs w:val="24"/>
        </w:rPr>
        <w:t xml:space="preserve">la reproducción </w:t>
      </w:r>
      <w:r w:rsidR="00F07A1A" w:rsidRPr="00DC6AF3">
        <w:rPr>
          <w:rFonts w:ascii="Times New Roman" w:eastAsia="Calibri" w:hAnsi="Times New Roman" w:cs="Times New Roman"/>
          <w:sz w:val="24"/>
          <w:szCs w:val="24"/>
        </w:rPr>
        <w:t xml:space="preserve">socioeconómica </w:t>
      </w:r>
      <w:r w:rsidRPr="00DC6AF3">
        <w:rPr>
          <w:rFonts w:ascii="Times New Roman" w:eastAsia="Calibri" w:hAnsi="Times New Roman" w:cs="Times New Roman"/>
          <w:sz w:val="24"/>
          <w:szCs w:val="24"/>
        </w:rPr>
        <w:t xml:space="preserve">de los hogares. </w:t>
      </w:r>
      <w:r w:rsidR="00D07C8A" w:rsidRPr="00DC6AF3">
        <w:rPr>
          <w:rFonts w:ascii="Times New Roman" w:eastAsia="Calibri" w:hAnsi="Times New Roman" w:cs="Times New Roman"/>
          <w:sz w:val="24"/>
          <w:szCs w:val="24"/>
        </w:rPr>
        <w:t xml:space="preserve">En ese sentido, </w:t>
      </w:r>
      <w:r w:rsidR="00DB65DE" w:rsidRPr="00DC6AF3">
        <w:rPr>
          <w:rFonts w:ascii="Times New Roman" w:eastAsia="Calibri" w:hAnsi="Times New Roman" w:cs="Times New Roman"/>
          <w:sz w:val="24"/>
          <w:szCs w:val="24"/>
        </w:rPr>
        <w:t xml:space="preserve">la perspectiva de la reproducción socioeconómica de </w:t>
      </w:r>
      <w:r w:rsidR="00AB1189" w:rsidRPr="00DC6AF3">
        <w:rPr>
          <w:rFonts w:ascii="Times New Roman" w:eastAsia="Calibri" w:hAnsi="Times New Roman" w:cs="Times New Roman"/>
          <w:sz w:val="24"/>
          <w:szCs w:val="24"/>
        </w:rPr>
        <w:t xml:space="preserve">es relevante </w:t>
      </w:r>
      <w:r w:rsidR="00D07C8A" w:rsidRPr="00DC6AF3">
        <w:rPr>
          <w:rFonts w:ascii="Times New Roman" w:eastAsia="Calibri" w:hAnsi="Times New Roman" w:cs="Times New Roman"/>
          <w:sz w:val="24"/>
          <w:szCs w:val="24"/>
        </w:rPr>
        <w:t xml:space="preserve">para poder entender </w:t>
      </w:r>
      <w:r w:rsidR="002F4C0D" w:rsidRPr="00DC6AF3">
        <w:rPr>
          <w:rFonts w:ascii="Times New Roman" w:eastAsia="Calibri" w:hAnsi="Times New Roman" w:cs="Times New Roman"/>
          <w:sz w:val="24"/>
          <w:szCs w:val="24"/>
        </w:rPr>
        <w:t xml:space="preserve">qué </w:t>
      </w:r>
      <w:r w:rsidR="00D07C8A" w:rsidRPr="00DC6AF3">
        <w:rPr>
          <w:rFonts w:ascii="Times New Roman" w:eastAsia="Calibri" w:hAnsi="Times New Roman" w:cs="Times New Roman"/>
          <w:sz w:val="24"/>
          <w:szCs w:val="24"/>
        </w:rPr>
        <w:t xml:space="preserve">cambios </w:t>
      </w:r>
      <w:r w:rsidR="005D727D" w:rsidRPr="00DC6AF3">
        <w:rPr>
          <w:rFonts w:ascii="Times New Roman" w:eastAsia="Calibri" w:hAnsi="Times New Roman" w:cs="Times New Roman"/>
          <w:sz w:val="24"/>
          <w:szCs w:val="24"/>
        </w:rPr>
        <w:t xml:space="preserve">supuso la pandemia tanto en la entrada como en la salida de </w:t>
      </w:r>
      <w:r w:rsidR="002F4C0D" w:rsidRPr="00DC6AF3">
        <w:rPr>
          <w:rFonts w:ascii="Times New Roman" w:eastAsia="Calibri" w:hAnsi="Times New Roman" w:cs="Times New Roman"/>
          <w:sz w:val="24"/>
          <w:szCs w:val="24"/>
        </w:rPr>
        <w:t>ésta</w:t>
      </w:r>
      <w:r w:rsidR="005D727D" w:rsidRPr="00DC6AF3">
        <w:rPr>
          <w:rFonts w:ascii="Times New Roman" w:eastAsia="Calibri" w:hAnsi="Times New Roman" w:cs="Times New Roman"/>
          <w:sz w:val="24"/>
          <w:szCs w:val="24"/>
        </w:rPr>
        <w:t xml:space="preserve">. </w:t>
      </w:r>
      <w:r w:rsidRPr="00DC6AF3">
        <w:rPr>
          <w:rFonts w:ascii="Times New Roman" w:eastAsia="Calibri" w:hAnsi="Times New Roman" w:cs="Times New Roman"/>
          <w:sz w:val="24"/>
          <w:szCs w:val="24"/>
        </w:rPr>
        <w:t xml:space="preserve">En paralelo, partiendo de la heterogeneidad estructural del sistema productivo actual y las diferencias al interior del mercado laboral argentino (Salvia, Vera y Poy, 2015), se puede conjeturar que la crisis económica </w:t>
      </w:r>
      <w:r w:rsidR="002F4C0D" w:rsidRPr="00DC6AF3">
        <w:rPr>
          <w:rFonts w:ascii="Times New Roman" w:eastAsia="Calibri" w:hAnsi="Times New Roman" w:cs="Times New Roman"/>
          <w:sz w:val="24"/>
          <w:szCs w:val="24"/>
        </w:rPr>
        <w:t xml:space="preserve">habría acrecentado </w:t>
      </w:r>
      <w:r w:rsidRPr="00DC6AF3">
        <w:rPr>
          <w:rFonts w:ascii="Times New Roman" w:eastAsia="Calibri" w:hAnsi="Times New Roman" w:cs="Times New Roman"/>
          <w:sz w:val="24"/>
          <w:szCs w:val="24"/>
        </w:rPr>
        <w:t xml:space="preserve">las desigualdades ya presentes en la estructura social actual. </w:t>
      </w:r>
      <w:r w:rsidR="002F4C0D" w:rsidRPr="00DC6AF3">
        <w:rPr>
          <w:rFonts w:ascii="Times New Roman" w:eastAsia="Calibri" w:hAnsi="Times New Roman" w:cs="Times New Roman"/>
          <w:sz w:val="24"/>
          <w:szCs w:val="24"/>
        </w:rPr>
        <w:t>Es decir</w:t>
      </w:r>
      <w:r w:rsidRPr="00DC6AF3">
        <w:rPr>
          <w:rFonts w:ascii="Times New Roman" w:eastAsia="Calibri" w:hAnsi="Times New Roman" w:cs="Times New Roman"/>
          <w:i/>
          <w:iCs/>
          <w:sz w:val="24"/>
          <w:szCs w:val="24"/>
        </w:rPr>
        <w:t xml:space="preserve">, se puede plantear como primera hipótesis que el COVID-19 </w:t>
      </w:r>
      <w:r w:rsidR="002F4C0D" w:rsidRPr="00DC6AF3">
        <w:rPr>
          <w:rFonts w:ascii="Times New Roman" w:eastAsia="Calibri" w:hAnsi="Times New Roman" w:cs="Times New Roman"/>
          <w:i/>
          <w:iCs/>
          <w:sz w:val="24"/>
          <w:szCs w:val="24"/>
        </w:rPr>
        <w:t xml:space="preserve">profundizó </w:t>
      </w:r>
      <w:r w:rsidRPr="00DC6AF3">
        <w:rPr>
          <w:rFonts w:ascii="Times New Roman" w:eastAsia="Calibri" w:hAnsi="Times New Roman" w:cs="Times New Roman"/>
          <w:i/>
          <w:iCs/>
          <w:sz w:val="24"/>
          <w:szCs w:val="24"/>
        </w:rPr>
        <w:t xml:space="preserve">las desigualdades preexistentes en las distintas formas de reproducción material de los hogares, </w:t>
      </w:r>
      <w:r w:rsidR="002F4C0D" w:rsidRPr="00DC6AF3">
        <w:rPr>
          <w:rFonts w:ascii="Times New Roman" w:eastAsia="Calibri" w:hAnsi="Times New Roman" w:cs="Times New Roman"/>
          <w:i/>
          <w:iCs/>
          <w:sz w:val="24"/>
          <w:szCs w:val="24"/>
        </w:rPr>
        <w:t xml:space="preserve">con consecuencias </w:t>
      </w:r>
      <w:r w:rsidRPr="00DC6AF3">
        <w:rPr>
          <w:rFonts w:ascii="Times New Roman" w:eastAsia="Calibri" w:hAnsi="Times New Roman" w:cs="Times New Roman"/>
          <w:i/>
          <w:iCs/>
          <w:sz w:val="24"/>
          <w:szCs w:val="24"/>
        </w:rPr>
        <w:t>especialmente</w:t>
      </w:r>
      <w:r w:rsidR="002F4C0D" w:rsidRPr="00DC6AF3">
        <w:rPr>
          <w:rFonts w:ascii="Times New Roman" w:eastAsia="Calibri" w:hAnsi="Times New Roman" w:cs="Times New Roman"/>
          <w:i/>
          <w:iCs/>
          <w:sz w:val="24"/>
          <w:szCs w:val="24"/>
        </w:rPr>
        <w:t xml:space="preserve"> regresivas</w:t>
      </w:r>
      <w:r w:rsidRPr="00DC6AF3">
        <w:rPr>
          <w:rFonts w:ascii="Times New Roman" w:eastAsia="Calibri" w:hAnsi="Times New Roman" w:cs="Times New Roman"/>
          <w:i/>
          <w:iCs/>
          <w:sz w:val="24"/>
          <w:szCs w:val="24"/>
        </w:rPr>
        <w:t xml:space="preserve"> </w:t>
      </w:r>
      <w:r w:rsidR="002F4C0D" w:rsidRPr="00DC6AF3">
        <w:rPr>
          <w:rFonts w:ascii="Times New Roman" w:eastAsia="Calibri" w:hAnsi="Times New Roman" w:cs="Times New Roman"/>
          <w:i/>
          <w:iCs/>
          <w:sz w:val="24"/>
          <w:szCs w:val="24"/>
        </w:rPr>
        <w:t xml:space="preserve">para </w:t>
      </w:r>
      <w:r w:rsidRPr="00DC6AF3">
        <w:rPr>
          <w:rFonts w:ascii="Times New Roman" w:eastAsia="Calibri" w:hAnsi="Times New Roman" w:cs="Times New Roman"/>
          <w:i/>
          <w:iCs/>
          <w:sz w:val="24"/>
          <w:szCs w:val="24"/>
        </w:rPr>
        <w:t>los hogares encabezados por trabajadores informales.</w:t>
      </w:r>
      <w:r w:rsidRPr="00DC6AF3">
        <w:rPr>
          <w:rFonts w:ascii="Times New Roman" w:eastAsia="Calibri" w:hAnsi="Times New Roman" w:cs="Times New Roman"/>
          <w:sz w:val="24"/>
          <w:szCs w:val="24"/>
        </w:rPr>
        <w:t xml:space="preserve"> Estos signos de deterioro se pueden ver especialmente en una profundización del déficit</w:t>
      </w:r>
      <w:r w:rsidR="002F4C0D" w:rsidRPr="00DC6AF3">
        <w:rPr>
          <w:rFonts w:ascii="Times New Roman" w:eastAsia="Calibri" w:hAnsi="Times New Roman" w:cs="Times New Roman"/>
          <w:sz w:val="24"/>
          <w:szCs w:val="24"/>
        </w:rPr>
        <w:t xml:space="preserve"> de capacidades de subsistencia</w:t>
      </w:r>
      <w:r w:rsidRPr="00DC6AF3">
        <w:rPr>
          <w:rFonts w:ascii="Times New Roman" w:eastAsia="Calibri" w:hAnsi="Times New Roman" w:cs="Times New Roman"/>
          <w:sz w:val="24"/>
          <w:szCs w:val="24"/>
        </w:rPr>
        <w:t xml:space="preserve"> y en una caída de los ingresos </w:t>
      </w:r>
      <w:r w:rsidR="002F4C0D" w:rsidRPr="00DC6AF3">
        <w:rPr>
          <w:rFonts w:ascii="Times New Roman" w:eastAsia="Calibri" w:hAnsi="Times New Roman" w:cs="Times New Roman"/>
          <w:sz w:val="24"/>
          <w:szCs w:val="24"/>
        </w:rPr>
        <w:t>familiares</w:t>
      </w:r>
      <w:r w:rsidRPr="00DC6AF3">
        <w:rPr>
          <w:rFonts w:ascii="Times New Roman" w:eastAsia="Calibri" w:hAnsi="Times New Roman" w:cs="Times New Roman"/>
          <w:sz w:val="24"/>
          <w:szCs w:val="24"/>
        </w:rPr>
        <w:t xml:space="preserve">. </w:t>
      </w:r>
    </w:p>
    <w:p w14:paraId="630ADCDC" w14:textId="79671147" w:rsidR="00BE5828" w:rsidRPr="00DC6AF3" w:rsidRDefault="002F4C0D" w:rsidP="76E3AB01">
      <w:pPr>
        <w:spacing w:line="360" w:lineRule="auto"/>
        <w:jc w:val="both"/>
        <w:rPr>
          <w:rFonts w:ascii="Times New Roman" w:eastAsia="Calibri" w:hAnsi="Times New Roman" w:cs="Times New Roman"/>
          <w:sz w:val="24"/>
          <w:szCs w:val="24"/>
        </w:rPr>
      </w:pPr>
      <w:r w:rsidRPr="00DC6AF3">
        <w:rPr>
          <w:rFonts w:ascii="Times New Roman" w:eastAsia="Calibri" w:hAnsi="Times New Roman" w:cs="Times New Roman"/>
          <w:sz w:val="24"/>
          <w:szCs w:val="24"/>
        </w:rPr>
        <w:t>L</w:t>
      </w:r>
      <w:r w:rsidR="00350C7E" w:rsidRPr="00DC6AF3">
        <w:rPr>
          <w:rFonts w:ascii="Times New Roman" w:eastAsia="Calibri" w:hAnsi="Times New Roman" w:cs="Times New Roman"/>
          <w:sz w:val="24"/>
          <w:szCs w:val="24"/>
        </w:rPr>
        <w:t>a</w:t>
      </w:r>
      <w:r w:rsidR="008B5B43" w:rsidRPr="00DC6AF3">
        <w:rPr>
          <w:rFonts w:ascii="Times New Roman" w:eastAsia="Calibri" w:hAnsi="Times New Roman" w:cs="Times New Roman"/>
          <w:sz w:val="24"/>
          <w:szCs w:val="24"/>
        </w:rPr>
        <w:t xml:space="preserve"> pandemia</w:t>
      </w:r>
      <w:r w:rsidRPr="00DC6AF3">
        <w:rPr>
          <w:rFonts w:ascii="Times New Roman" w:eastAsia="Calibri" w:hAnsi="Times New Roman" w:cs="Times New Roman"/>
          <w:sz w:val="24"/>
          <w:szCs w:val="24"/>
        </w:rPr>
        <w:t xml:space="preserve"> también</w:t>
      </w:r>
      <w:r w:rsidR="008B5B43" w:rsidRPr="00DC6AF3">
        <w:rPr>
          <w:rFonts w:ascii="Times New Roman" w:eastAsia="Calibri" w:hAnsi="Times New Roman" w:cs="Times New Roman"/>
          <w:sz w:val="24"/>
          <w:szCs w:val="24"/>
        </w:rPr>
        <w:t xml:space="preserve"> implic</w:t>
      </w:r>
      <w:r w:rsidR="00350C7E" w:rsidRPr="00DC6AF3">
        <w:rPr>
          <w:rFonts w:ascii="Times New Roman" w:eastAsia="Calibri" w:hAnsi="Times New Roman" w:cs="Times New Roman"/>
          <w:sz w:val="24"/>
          <w:szCs w:val="24"/>
        </w:rPr>
        <w:t>ó</w:t>
      </w:r>
      <w:r w:rsidR="008B5B43" w:rsidRPr="00DC6AF3">
        <w:rPr>
          <w:rFonts w:ascii="Times New Roman" w:eastAsia="Calibri" w:hAnsi="Times New Roman" w:cs="Times New Roman"/>
          <w:sz w:val="24"/>
          <w:szCs w:val="24"/>
        </w:rPr>
        <w:t xml:space="preserve"> cambios en las formas de intervención del </w:t>
      </w:r>
      <w:r w:rsidRPr="00DC6AF3">
        <w:rPr>
          <w:rFonts w:ascii="Times New Roman" w:eastAsia="Calibri" w:hAnsi="Times New Roman" w:cs="Times New Roman"/>
          <w:sz w:val="24"/>
          <w:szCs w:val="24"/>
        </w:rPr>
        <w:t xml:space="preserve">Estado </w:t>
      </w:r>
      <w:r w:rsidR="008B5B43" w:rsidRPr="00DC6AF3">
        <w:rPr>
          <w:rFonts w:ascii="Times New Roman" w:eastAsia="Calibri" w:hAnsi="Times New Roman" w:cs="Times New Roman"/>
          <w:sz w:val="24"/>
          <w:szCs w:val="24"/>
        </w:rPr>
        <w:t>sobre el funcionamiento de los hogares.</w:t>
      </w:r>
      <w:r w:rsidR="00BE5828" w:rsidRPr="00DC6AF3">
        <w:rPr>
          <w:rFonts w:ascii="Times New Roman" w:eastAsia="Calibri" w:hAnsi="Times New Roman" w:cs="Times New Roman"/>
          <w:sz w:val="24"/>
          <w:szCs w:val="24"/>
        </w:rPr>
        <w:t xml:space="preserve"> </w:t>
      </w:r>
      <w:r w:rsidR="00520C39" w:rsidRPr="00DC6AF3">
        <w:rPr>
          <w:rFonts w:ascii="Times New Roman" w:eastAsia="Calibri" w:hAnsi="Times New Roman" w:cs="Times New Roman"/>
          <w:sz w:val="24"/>
          <w:szCs w:val="24"/>
        </w:rPr>
        <w:t xml:space="preserve">El Estado </w:t>
      </w:r>
      <w:r w:rsidRPr="00DC6AF3">
        <w:rPr>
          <w:rFonts w:ascii="Times New Roman" w:eastAsia="Calibri" w:hAnsi="Times New Roman" w:cs="Times New Roman"/>
          <w:sz w:val="24"/>
          <w:szCs w:val="24"/>
        </w:rPr>
        <w:t xml:space="preserve">argentino declaró </w:t>
      </w:r>
      <w:r w:rsidR="00942612" w:rsidRPr="00DC6AF3">
        <w:rPr>
          <w:rFonts w:ascii="Times New Roman" w:eastAsia="Calibri" w:hAnsi="Times New Roman" w:cs="Times New Roman"/>
          <w:sz w:val="24"/>
          <w:szCs w:val="24"/>
        </w:rPr>
        <w:t>el 20 de marzo del 2020 el aislamiento social preventivo y obligatorio</w:t>
      </w:r>
      <w:r w:rsidR="003E210B" w:rsidRPr="00DC6AF3">
        <w:rPr>
          <w:rFonts w:ascii="Times New Roman" w:eastAsia="Calibri" w:hAnsi="Times New Roman" w:cs="Times New Roman"/>
          <w:sz w:val="24"/>
          <w:szCs w:val="24"/>
        </w:rPr>
        <w:t xml:space="preserve"> </w:t>
      </w:r>
      <w:r w:rsidR="00942612" w:rsidRPr="00DC6AF3">
        <w:rPr>
          <w:rFonts w:ascii="Times New Roman" w:eastAsia="Calibri" w:hAnsi="Times New Roman" w:cs="Times New Roman"/>
          <w:sz w:val="24"/>
          <w:szCs w:val="24"/>
        </w:rPr>
        <w:t>(ASPO) como forma d</w:t>
      </w:r>
      <w:r w:rsidR="000B0273" w:rsidRPr="00DC6AF3">
        <w:rPr>
          <w:rFonts w:ascii="Times New Roman" w:eastAsia="Calibri" w:hAnsi="Times New Roman" w:cs="Times New Roman"/>
          <w:sz w:val="24"/>
          <w:szCs w:val="24"/>
        </w:rPr>
        <w:t xml:space="preserve">e contrarrestar la emergencia sanitaria producida por el virus </w:t>
      </w:r>
      <w:r w:rsidR="003E210B" w:rsidRPr="00DC6AF3">
        <w:rPr>
          <w:rFonts w:ascii="Times New Roman" w:eastAsia="Calibri" w:hAnsi="Times New Roman" w:cs="Times New Roman"/>
          <w:sz w:val="24"/>
          <w:szCs w:val="24"/>
        </w:rPr>
        <w:t xml:space="preserve">Covid-19. La misma supuso la restricción </w:t>
      </w:r>
      <w:r w:rsidR="00E06BBD" w:rsidRPr="00DC6AF3">
        <w:rPr>
          <w:rFonts w:ascii="Times New Roman" w:eastAsia="Calibri" w:hAnsi="Times New Roman" w:cs="Times New Roman"/>
          <w:sz w:val="24"/>
          <w:szCs w:val="24"/>
        </w:rPr>
        <w:t xml:space="preserve">a la circulación y </w:t>
      </w:r>
      <w:r w:rsidR="003E210B" w:rsidRPr="00DC6AF3">
        <w:rPr>
          <w:rFonts w:ascii="Times New Roman" w:eastAsia="Calibri" w:hAnsi="Times New Roman" w:cs="Times New Roman"/>
          <w:sz w:val="24"/>
          <w:szCs w:val="24"/>
        </w:rPr>
        <w:t>a diversas actividades</w:t>
      </w:r>
      <w:r w:rsidR="00E06BBD" w:rsidRPr="00DC6AF3">
        <w:rPr>
          <w:rFonts w:ascii="Times New Roman" w:eastAsia="Calibri" w:hAnsi="Times New Roman" w:cs="Times New Roman"/>
          <w:sz w:val="24"/>
          <w:szCs w:val="24"/>
        </w:rPr>
        <w:t xml:space="preserve">, exceptuando algunas esenciales como </w:t>
      </w:r>
      <w:r w:rsidR="003675E3" w:rsidRPr="00DC6AF3">
        <w:rPr>
          <w:rFonts w:ascii="Times New Roman" w:eastAsia="Calibri" w:hAnsi="Times New Roman" w:cs="Times New Roman"/>
          <w:sz w:val="24"/>
          <w:szCs w:val="24"/>
        </w:rPr>
        <w:t>el personal de salud</w:t>
      </w:r>
      <w:r w:rsidR="003E210B" w:rsidRPr="00DC6AF3">
        <w:rPr>
          <w:rFonts w:ascii="Times New Roman" w:eastAsia="Calibri" w:hAnsi="Times New Roman" w:cs="Times New Roman"/>
          <w:sz w:val="24"/>
          <w:szCs w:val="24"/>
        </w:rPr>
        <w:t xml:space="preserve">. </w:t>
      </w:r>
      <w:r w:rsidR="006170A8" w:rsidRPr="00DC6AF3">
        <w:rPr>
          <w:rFonts w:ascii="Times New Roman" w:eastAsia="Calibri" w:hAnsi="Times New Roman" w:cs="Times New Roman"/>
          <w:sz w:val="24"/>
          <w:szCs w:val="24"/>
        </w:rPr>
        <w:t xml:space="preserve">Esta fase </w:t>
      </w:r>
      <w:r w:rsidR="00D1547E" w:rsidRPr="00DC6AF3">
        <w:rPr>
          <w:rFonts w:ascii="Times New Roman" w:eastAsia="Calibri" w:hAnsi="Times New Roman" w:cs="Times New Roman"/>
          <w:sz w:val="24"/>
          <w:szCs w:val="24"/>
        </w:rPr>
        <w:t>más</w:t>
      </w:r>
      <w:r w:rsidR="006170A8" w:rsidRPr="00DC6AF3">
        <w:rPr>
          <w:rFonts w:ascii="Times New Roman" w:eastAsia="Calibri" w:hAnsi="Times New Roman" w:cs="Times New Roman"/>
          <w:sz w:val="24"/>
          <w:szCs w:val="24"/>
        </w:rPr>
        <w:t xml:space="preserve"> estricta </w:t>
      </w:r>
      <w:r w:rsidR="00977F1D" w:rsidRPr="00DC6AF3">
        <w:rPr>
          <w:rFonts w:ascii="Times New Roman" w:eastAsia="Calibri" w:hAnsi="Times New Roman" w:cs="Times New Roman"/>
          <w:sz w:val="24"/>
          <w:szCs w:val="24"/>
        </w:rPr>
        <w:t xml:space="preserve">continuo hasta </w:t>
      </w:r>
      <w:r w:rsidR="00E02029" w:rsidRPr="00DC6AF3">
        <w:rPr>
          <w:rFonts w:ascii="Times New Roman" w:eastAsia="Calibri" w:hAnsi="Times New Roman" w:cs="Times New Roman"/>
          <w:sz w:val="24"/>
          <w:szCs w:val="24"/>
        </w:rPr>
        <w:t>mediados de</w:t>
      </w:r>
      <w:r w:rsidR="00977F1D" w:rsidRPr="00DC6AF3">
        <w:rPr>
          <w:rFonts w:ascii="Times New Roman" w:eastAsia="Calibri" w:hAnsi="Times New Roman" w:cs="Times New Roman"/>
          <w:sz w:val="24"/>
          <w:szCs w:val="24"/>
        </w:rPr>
        <w:t xml:space="preserve"> junio donde </w:t>
      </w:r>
      <w:r w:rsidR="00E02029" w:rsidRPr="00DC6AF3">
        <w:rPr>
          <w:rFonts w:ascii="Times New Roman" w:eastAsia="Calibri" w:hAnsi="Times New Roman" w:cs="Times New Roman"/>
          <w:sz w:val="24"/>
          <w:szCs w:val="24"/>
        </w:rPr>
        <w:t xml:space="preserve">se fueron liberando </w:t>
      </w:r>
      <w:r w:rsidR="00E06BBD" w:rsidRPr="00DC6AF3">
        <w:rPr>
          <w:rFonts w:ascii="Times New Roman" w:eastAsia="Calibri" w:hAnsi="Times New Roman" w:cs="Times New Roman"/>
          <w:sz w:val="24"/>
          <w:szCs w:val="24"/>
        </w:rPr>
        <w:t>algunas actividades</w:t>
      </w:r>
      <w:r w:rsidR="00684BEE" w:rsidRPr="00DC6AF3">
        <w:rPr>
          <w:rFonts w:ascii="Times New Roman" w:eastAsia="Calibri" w:hAnsi="Times New Roman" w:cs="Times New Roman"/>
          <w:sz w:val="24"/>
          <w:szCs w:val="24"/>
        </w:rPr>
        <w:t xml:space="preserve"> no esenciales. A pesar de esto las restricciones </w:t>
      </w:r>
      <w:r w:rsidR="00D1547E" w:rsidRPr="00DC6AF3">
        <w:rPr>
          <w:rFonts w:ascii="Times New Roman" w:eastAsia="Calibri" w:hAnsi="Times New Roman" w:cs="Times New Roman"/>
          <w:sz w:val="24"/>
          <w:szCs w:val="24"/>
        </w:rPr>
        <w:t>más</w:t>
      </w:r>
      <w:r w:rsidR="00684BEE" w:rsidRPr="00DC6AF3">
        <w:rPr>
          <w:rFonts w:ascii="Times New Roman" w:eastAsia="Calibri" w:hAnsi="Times New Roman" w:cs="Times New Roman"/>
          <w:sz w:val="24"/>
          <w:szCs w:val="24"/>
        </w:rPr>
        <w:t xml:space="preserve"> estrictas continuaron en el AMBA hasta </w:t>
      </w:r>
      <w:r w:rsidR="008A603E" w:rsidRPr="00DC6AF3">
        <w:rPr>
          <w:rFonts w:ascii="Times New Roman" w:eastAsia="Calibri" w:hAnsi="Times New Roman" w:cs="Times New Roman"/>
          <w:sz w:val="24"/>
          <w:szCs w:val="24"/>
        </w:rPr>
        <w:t xml:space="preserve">mediados de noviembre del 2020. </w:t>
      </w:r>
    </w:p>
    <w:p w14:paraId="74F907C6" w14:textId="42613F53" w:rsidR="00043B2F" w:rsidRPr="00DC6AF3" w:rsidRDefault="00523A8E" w:rsidP="76E3AB01">
      <w:pPr>
        <w:spacing w:line="360" w:lineRule="auto"/>
        <w:jc w:val="both"/>
        <w:rPr>
          <w:rFonts w:ascii="Times New Roman" w:hAnsi="Times New Roman" w:cs="Times New Roman"/>
          <w:sz w:val="24"/>
          <w:szCs w:val="24"/>
        </w:rPr>
      </w:pPr>
      <w:r w:rsidRPr="00DC6AF3">
        <w:rPr>
          <w:rFonts w:ascii="Times New Roman" w:eastAsia="Calibri" w:hAnsi="Times New Roman" w:cs="Times New Roman"/>
          <w:sz w:val="24"/>
          <w:szCs w:val="24"/>
        </w:rPr>
        <w:lastRenderedPageBreak/>
        <w:t xml:space="preserve">Para amortiguar los efectos de la crisis, se </w:t>
      </w:r>
      <w:r w:rsidR="002F4C0D" w:rsidRPr="00DC6AF3">
        <w:rPr>
          <w:rFonts w:ascii="Times New Roman" w:eastAsia="Calibri" w:hAnsi="Times New Roman" w:cs="Times New Roman"/>
          <w:sz w:val="24"/>
          <w:szCs w:val="24"/>
        </w:rPr>
        <w:t xml:space="preserve">implementaron </w:t>
      </w:r>
      <w:r w:rsidRPr="00DC6AF3">
        <w:rPr>
          <w:rFonts w:ascii="Times New Roman" w:eastAsia="Calibri" w:hAnsi="Times New Roman" w:cs="Times New Roman"/>
          <w:sz w:val="24"/>
          <w:szCs w:val="24"/>
        </w:rPr>
        <w:t>una serie de políticas sociales</w:t>
      </w:r>
      <w:r w:rsidR="002F4C0D" w:rsidRPr="00DC6AF3">
        <w:rPr>
          <w:rFonts w:ascii="Times New Roman" w:eastAsia="Calibri" w:hAnsi="Times New Roman" w:cs="Times New Roman"/>
          <w:sz w:val="24"/>
          <w:szCs w:val="24"/>
        </w:rPr>
        <w:t xml:space="preserve"> y laborales</w:t>
      </w:r>
      <w:r w:rsidRPr="00DC6AF3">
        <w:rPr>
          <w:rFonts w:ascii="Times New Roman" w:eastAsia="Calibri" w:hAnsi="Times New Roman" w:cs="Times New Roman"/>
          <w:sz w:val="24"/>
          <w:szCs w:val="24"/>
        </w:rPr>
        <w:t xml:space="preserve">. </w:t>
      </w:r>
      <w:r w:rsidR="00C00361" w:rsidRPr="00DC6AF3">
        <w:rPr>
          <w:rFonts w:ascii="Times New Roman" w:eastAsia="Calibri" w:hAnsi="Times New Roman" w:cs="Times New Roman"/>
          <w:sz w:val="24"/>
          <w:szCs w:val="24"/>
        </w:rPr>
        <w:t>Entre las múltiples se</w:t>
      </w:r>
      <w:r w:rsidR="00014013" w:rsidRPr="00DC6AF3">
        <w:rPr>
          <w:rFonts w:ascii="Times New Roman" w:eastAsia="Calibri" w:hAnsi="Times New Roman" w:cs="Times New Roman"/>
          <w:sz w:val="24"/>
          <w:szCs w:val="24"/>
        </w:rPr>
        <w:t xml:space="preserve"> encuentran bonos especiales para el personal de salud</w:t>
      </w:r>
      <w:r w:rsidR="00406A13" w:rsidRPr="00DC6AF3">
        <w:rPr>
          <w:rFonts w:ascii="Times New Roman" w:eastAsia="Calibri" w:hAnsi="Times New Roman" w:cs="Times New Roman"/>
          <w:sz w:val="24"/>
          <w:szCs w:val="24"/>
        </w:rPr>
        <w:t xml:space="preserve"> y</w:t>
      </w:r>
      <w:r w:rsidR="00014013" w:rsidRPr="00DC6AF3">
        <w:rPr>
          <w:rFonts w:ascii="Times New Roman" w:eastAsia="Calibri" w:hAnsi="Times New Roman" w:cs="Times New Roman"/>
          <w:sz w:val="24"/>
          <w:szCs w:val="24"/>
        </w:rPr>
        <w:t xml:space="preserve"> prohibición de despidos mediante decreto</w:t>
      </w:r>
      <w:r w:rsidR="003675E3" w:rsidRPr="00DC6AF3">
        <w:rPr>
          <w:rFonts w:ascii="Times New Roman" w:eastAsia="Calibri" w:hAnsi="Times New Roman" w:cs="Times New Roman"/>
          <w:sz w:val="24"/>
          <w:szCs w:val="24"/>
        </w:rPr>
        <w:t xml:space="preserve">. Pero los dos principales </w:t>
      </w:r>
      <w:r w:rsidR="00002E8C" w:rsidRPr="00DC6AF3">
        <w:rPr>
          <w:rFonts w:ascii="Times New Roman" w:eastAsia="Calibri" w:hAnsi="Times New Roman" w:cs="Times New Roman"/>
          <w:sz w:val="24"/>
          <w:szCs w:val="24"/>
        </w:rPr>
        <w:t>fuero</w:t>
      </w:r>
      <w:r w:rsidR="003675E3" w:rsidRPr="00DC6AF3">
        <w:rPr>
          <w:rFonts w:ascii="Times New Roman" w:eastAsia="Calibri" w:hAnsi="Times New Roman" w:cs="Times New Roman"/>
          <w:sz w:val="24"/>
          <w:szCs w:val="24"/>
        </w:rPr>
        <w:t xml:space="preserve">n </w:t>
      </w:r>
      <w:r w:rsidR="00002E8C" w:rsidRPr="00DC6AF3">
        <w:rPr>
          <w:rFonts w:ascii="Times New Roman" w:eastAsia="Calibri" w:hAnsi="Times New Roman" w:cs="Times New Roman"/>
          <w:sz w:val="24"/>
          <w:szCs w:val="24"/>
        </w:rPr>
        <w:t>el Ingreso Familiar de Emergencia</w:t>
      </w:r>
      <w:r w:rsidR="002F4C0D" w:rsidRPr="00DC6AF3">
        <w:rPr>
          <w:rFonts w:ascii="Times New Roman" w:eastAsia="Calibri" w:hAnsi="Times New Roman" w:cs="Times New Roman"/>
          <w:sz w:val="24"/>
          <w:szCs w:val="24"/>
        </w:rPr>
        <w:t xml:space="preserve"> (IFE)</w:t>
      </w:r>
      <w:r w:rsidR="00002E8C" w:rsidRPr="00DC6AF3">
        <w:rPr>
          <w:rFonts w:ascii="Times New Roman" w:eastAsia="Calibri" w:hAnsi="Times New Roman" w:cs="Times New Roman"/>
          <w:sz w:val="24"/>
          <w:szCs w:val="24"/>
        </w:rPr>
        <w:t xml:space="preserve"> y </w:t>
      </w:r>
      <w:r w:rsidR="00014013" w:rsidRPr="00DC6AF3">
        <w:rPr>
          <w:rFonts w:ascii="Times New Roman" w:eastAsia="Calibri" w:hAnsi="Times New Roman" w:cs="Times New Roman"/>
          <w:sz w:val="24"/>
          <w:szCs w:val="24"/>
        </w:rPr>
        <w:t xml:space="preserve">el pago de una asignación </w:t>
      </w:r>
      <w:r w:rsidR="003675E3" w:rsidRPr="00DC6AF3">
        <w:rPr>
          <w:rFonts w:ascii="Times New Roman" w:eastAsia="Calibri" w:hAnsi="Times New Roman" w:cs="Times New Roman"/>
          <w:sz w:val="24"/>
          <w:szCs w:val="24"/>
        </w:rPr>
        <w:t>complementaria</w:t>
      </w:r>
      <w:r w:rsidR="00014013" w:rsidRPr="00DC6AF3">
        <w:rPr>
          <w:rFonts w:ascii="Times New Roman" w:eastAsia="Calibri" w:hAnsi="Times New Roman" w:cs="Times New Roman"/>
          <w:sz w:val="24"/>
          <w:szCs w:val="24"/>
        </w:rPr>
        <w:t xml:space="preserve"> mediante el Programa Asistencia de Emergencia al Trabajo y la Producción</w:t>
      </w:r>
      <w:r w:rsidR="00B5489E" w:rsidRPr="00DC6AF3">
        <w:rPr>
          <w:rFonts w:ascii="Times New Roman" w:eastAsia="Calibri" w:hAnsi="Times New Roman" w:cs="Times New Roman"/>
          <w:sz w:val="24"/>
          <w:szCs w:val="24"/>
        </w:rPr>
        <w:t xml:space="preserve"> </w:t>
      </w:r>
      <w:r w:rsidR="00014013" w:rsidRPr="00DC6AF3">
        <w:rPr>
          <w:rFonts w:ascii="Times New Roman" w:eastAsia="Calibri" w:hAnsi="Times New Roman" w:cs="Times New Roman"/>
          <w:sz w:val="24"/>
          <w:szCs w:val="24"/>
        </w:rPr>
        <w:t>(ATP)</w:t>
      </w:r>
      <w:r w:rsidR="00C00361" w:rsidRPr="00DC6AF3">
        <w:rPr>
          <w:rFonts w:ascii="Times New Roman" w:eastAsia="Calibri" w:hAnsi="Times New Roman" w:cs="Times New Roman"/>
          <w:sz w:val="24"/>
          <w:szCs w:val="24"/>
        </w:rPr>
        <w:t xml:space="preserve">. </w:t>
      </w:r>
      <w:r w:rsidR="00002E8C" w:rsidRPr="00DC6AF3">
        <w:rPr>
          <w:rFonts w:ascii="Times New Roman" w:eastAsia="Calibri" w:hAnsi="Times New Roman" w:cs="Times New Roman"/>
          <w:sz w:val="24"/>
          <w:szCs w:val="24"/>
        </w:rPr>
        <w:t xml:space="preserve">El IFE consistió en </w:t>
      </w:r>
      <w:r w:rsidR="00C00361" w:rsidRPr="00DC6AF3">
        <w:rPr>
          <w:rFonts w:ascii="Times New Roman" w:eastAsia="Calibri" w:hAnsi="Times New Roman" w:cs="Times New Roman"/>
          <w:sz w:val="24"/>
          <w:szCs w:val="24"/>
        </w:rPr>
        <w:t xml:space="preserve">una transferencia </w:t>
      </w:r>
      <w:r w:rsidR="00002E8C" w:rsidRPr="00DC6AF3">
        <w:rPr>
          <w:rFonts w:ascii="Times New Roman" w:eastAsia="Calibri" w:hAnsi="Times New Roman" w:cs="Times New Roman"/>
          <w:sz w:val="24"/>
          <w:szCs w:val="24"/>
        </w:rPr>
        <w:t>directa de $10.000 apuntada</w:t>
      </w:r>
      <w:r w:rsidR="00C00361" w:rsidRPr="00DC6AF3">
        <w:rPr>
          <w:rFonts w:ascii="Times New Roman" w:eastAsia="Calibri" w:hAnsi="Times New Roman" w:cs="Times New Roman"/>
          <w:sz w:val="24"/>
          <w:szCs w:val="24"/>
        </w:rPr>
        <w:t xml:space="preserve"> a</w:t>
      </w:r>
      <w:r w:rsidR="00002E8C" w:rsidRPr="00DC6AF3">
        <w:rPr>
          <w:rFonts w:ascii="Times New Roman" w:eastAsia="Calibri" w:hAnsi="Times New Roman" w:cs="Times New Roman"/>
          <w:sz w:val="24"/>
          <w:szCs w:val="24"/>
        </w:rPr>
        <w:t xml:space="preserve"> los </w:t>
      </w:r>
      <w:r w:rsidR="00C00361" w:rsidRPr="00DC6AF3">
        <w:rPr>
          <w:rFonts w:ascii="Times New Roman" w:eastAsia="Calibri" w:hAnsi="Times New Roman" w:cs="Times New Roman"/>
          <w:sz w:val="24"/>
          <w:szCs w:val="24"/>
        </w:rPr>
        <w:t>trabajadores informales</w:t>
      </w:r>
      <w:r w:rsidR="00625E7A" w:rsidRPr="00DC6AF3">
        <w:rPr>
          <w:rFonts w:ascii="Times New Roman" w:eastAsia="Calibri" w:hAnsi="Times New Roman" w:cs="Times New Roman"/>
          <w:sz w:val="24"/>
          <w:szCs w:val="24"/>
        </w:rPr>
        <w:t xml:space="preserve"> y </w:t>
      </w:r>
      <w:r w:rsidR="00C00361" w:rsidRPr="00DC6AF3">
        <w:rPr>
          <w:rFonts w:ascii="Times New Roman" w:eastAsia="Calibri" w:hAnsi="Times New Roman" w:cs="Times New Roman"/>
          <w:sz w:val="24"/>
          <w:szCs w:val="24"/>
        </w:rPr>
        <w:t xml:space="preserve">desempleados. Durante el 2020 se realizaron tres transferencias. Este aparato de asistencia social prácticamente desapareció durante el 2021. Por lo </w:t>
      </w:r>
      <w:r w:rsidR="00350C7E" w:rsidRPr="00DC6AF3">
        <w:rPr>
          <w:rFonts w:ascii="Times New Roman" w:eastAsia="Calibri" w:hAnsi="Times New Roman" w:cs="Times New Roman"/>
          <w:sz w:val="24"/>
          <w:szCs w:val="24"/>
        </w:rPr>
        <w:t>tanto,</w:t>
      </w:r>
      <w:r w:rsidR="00C00361" w:rsidRPr="00DC6AF3">
        <w:rPr>
          <w:rFonts w:ascii="Times New Roman" w:eastAsia="Calibri" w:hAnsi="Times New Roman" w:cs="Times New Roman"/>
          <w:sz w:val="24"/>
          <w:szCs w:val="24"/>
        </w:rPr>
        <w:t xml:space="preserve"> </w:t>
      </w:r>
      <w:r w:rsidR="00C00361" w:rsidRPr="00DC6AF3">
        <w:rPr>
          <w:rFonts w:ascii="Times New Roman" w:eastAsia="Calibri" w:hAnsi="Times New Roman" w:cs="Times New Roman"/>
          <w:i/>
          <w:iCs/>
          <w:sz w:val="24"/>
          <w:szCs w:val="24"/>
        </w:rPr>
        <w:t>la segunda hipótesis</w:t>
      </w:r>
      <w:r w:rsidR="00350C7E" w:rsidRPr="00DC6AF3">
        <w:rPr>
          <w:rFonts w:ascii="Times New Roman" w:eastAsia="Calibri" w:hAnsi="Times New Roman" w:cs="Times New Roman"/>
          <w:i/>
          <w:iCs/>
          <w:sz w:val="24"/>
          <w:szCs w:val="24"/>
        </w:rPr>
        <w:t xml:space="preserve"> que </w:t>
      </w:r>
      <w:r w:rsidR="00466F77" w:rsidRPr="00DC6AF3">
        <w:rPr>
          <w:rFonts w:ascii="Times New Roman" w:eastAsia="Calibri" w:hAnsi="Times New Roman" w:cs="Times New Roman"/>
          <w:i/>
          <w:iCs/>
          <w:sz w:val="24"/>
          <w:szCs w:val="24"/>
        </w:rPr>
        <w:t xml:space="preserve">se </w:t>
      </w:r>
      <w:r w:rsidR="00350C7E" w:rsidRPr="00DC6AF3">
        <w:rPr>
          <w:rFonts w:ascii="Times New Roman" w:eastAsia="Calibri" w:hAnsi="Times New Roman" w:cs="Times New Roman"/>
          <w:i/>
          <w:iCs/>
          <w:sz w:val="24"/>
          <w:szCs w:val="24"/>
        </w:rPr>
        <w:t>plante</w:t>
      </w:r>
      <w:r w:rsidR="00466F77" w:rsidRPr="00DC6AF3">
        <w:rPr>
          <w:rFonts w:ascii="Times New Roman" w:eastAsia="Calibri" w:hAnsi="Times New Roman" w:cs="Times New Roman"/>
          <w:i/>
          <w:iCs/>
          <w:sz w:val="24"/>
          <w:szCs w:val="24"/>
        </w:rPr>
        <w:t>a</w:t>
      </w:r>
      <w:r w:rsidR="00350C7E" w:rsidRPr="00DC6AF3">
        <w:rPr>
          <w:rFonts w:ascii="Times New Roman" w:eastAsia="Calibri" w:hAnsi="Times New Roman" w:cs="Times New Roman"/>
          <w:i/>
          <w:iCs/>
          <w:sz w:val="24"/>
          <w:szCs w:val="24"/>
        </w:rPr>
        <w:t xml:space="preserve"> es que </w:t>
      </w:r>
      <w:bookmarkEnd w:id="1"/>
      <w:r w:rsidR="00350C7E" w:rsidRPr="00DC6AF3">
        <w:rPr>
          <w:rFonts w:ascii="Times New Roman" w:eastAsia="Calibri" w:hAnsi="Times New Roman" w:cs="Times New Roman"/>
          <w:i/>
          <w:iCs/>
          <w:sz w:val="24"/>
          <w:szCs w:val="24"/>
        </w:rPr>
        <w:t>e</w:t>
      </w:r>
      <w:r w:rsidR="76E3AB01" w:rsidRPr="00DC6AF3">
        <w:rPr>
          <w:rFonts w:ascii="Times New Roman" w:hAnsi="Times New Roman" w:cs="Times New Roman"/>
          <w:i/>
          <w:iCs/>
          <w:sz w:val="24"/>
          <w:szCs w:val="24"/>
        </w:rPr>
        <w:t xml:space="preserve">l aumento de los perceptores no laborales y de transferencias sociales </w:t>
      </w:r>
      <w:r w:rsidR="008D2999" w:rsidRPr="00DC6AF3">
        <w:rPr>
          <w:rFonts w:ascii="Times New Roman" w:hAnsi="Times New Roman" w:cs="Times New Roman"/>
          <w:i/>
          <w:iCs/>
          <w:sz w:val="24"/>
          <w:szCs w:val="24"/>
        </w:rPr>
        <w:t xml:space="preserve">funcionó </w:t>
      </w:r>
      <w:r w:rsidR="76E3AB01" w:rsidRPr="00DC6AF3">
        <w:rPr>
          <w:rFonts w:ascii="Times New Roman" w:hAnsi="Times New Roman" w:cs="Times New Roman"/>
          <w:i/>
          <w:iCs/>
          <w:sz w:val="24"/>
          <w:szCs w:val="24"/>
        </w:rPr>
        <w:t>como una estrategia alternativa para amortiguar los efectos negativos de la pandemia</w:t>
      </w:r>
      <w:r w:rsidR="00350C7E" w:rsidRPr="00DC6AF3">
        <w:rPr>
          <w:rFonts w:ascii="Times New Roman" w:hAnsi="Times New Roman" w:cs="Times New Roman"/>
          <w:i/>
          <w:iCs/>
          <w:sz w:val="24"/>
          <w:szCs w:val="24"/>
        </w:rPr>
        <w:t xml:space="preserve"> en la reproducción </w:t>
      </w:r>
      <w:r w:rsidR="00014013" w:rsidRPr="00DC6AF3">
        <w:rPr>
          <w:rFonts w:ascii="Times New Roman" w:hAnsi="Times New Roman" w:cs="Times New Roman"/>
          <w:i/>
          <w:iCs/>
          <w:sz w:val="24"/>
          <w:szCs w:val="24"/>
        </w:rPr>
        <w:t>material</w:t>
      </w:r>
      <w:r w:rsidR="00350C7E" w:rsidRPr="00DC6AF3">
        <w:rPr>
          <w:rFonts w:ascii="Times New Roman" w:hAnsi="Times New Roman" w:cs="Times New Roman"/>
          <w:i/>
          <w:iCs/>
          <w:sz w:val="24"/>
          <w:szCs w:val="24"/>
        </w:rPr>
        <w:t xml:space="preserve"> de los hogares</w:t>
      </w:r>
      <w:r w:rsidR="003675E3" w:rsidRPr="00DC6AF3">
        <w:rPr>
          <w:rFonts w:ascii="Times New Roman" w:hAnsi="Times New Roman" w:cs="Times New Roman"/>
          <w:sz w:val="24"/>
          <w:szCs w:val="24"/>
        </w:rPr>
        <w:t xml:space="preserve">, </w:t>
      </w:r>
      <w:r w:rsidR="76E3AB01" w:rsidRPr="00DC6AF3">
        <w:rPr>
          <w:rFonts w:ascii="Times New Roman" w:hAnsi="Times New Roman" w:cs="Times New Roman"/>
          <w:sz w:val="24"/>
          <w:szCs w:val="24"/>
        </w:rPr>
        <w:t>especialmente en</w:t>
      </w:r>
      <w:r w:rsidR="002F4C0D" w:rsidRPr="00DC6AF3">
        <w:rPr>
          <w:rFonts w:ascii="Times New Roman" w:hAnsi="Times New Roman" w:cs="Times New Roman"/>
          <w:sz w:val="24"/>
          <w:szCs w:val="24"/>
        </w:rPr>
        <w:t>tre</w:t>
      </w:r>
      <w:r w:rsidR="76E3AB01" w:rsidRPr="00DC6AF3">
        <w:rPr>
          <w:rFonts w:ascii="Times New Roman" w:hAnsi="Times New Roman" w:cs="Times New Roman"/>
          <w:sz w:val="24"/>
          <w:szCs w:val="24"/>
        </w:rPr>
        <w:t xml:space="preserve"> los hogares encabezados por un </w:t>
      </w:r>
      <w:r w:rsidR="00F353AF" w:rsidRPr="00DC6AF3">
        <w:rPr>
          <w:rFonts w:ascii="Times New Roman" w:hAnsi="Times New Roman" w:cs="Times New Roman"/>
          <w:sz w:val="24"/>
          <w:szCs w:val="24"/>
        </w:rPr>
        <w:t>trabajador</w:t>
      </w:r>
      <w:r w:rsidR="76E3AB01" w:rsidRPr="00DC6AF3">
        <w:rPr>
          <w:rFonts w:ascii="Times New Roman" w:hAnsi="Times New Roman" w:cs="Times New Roman"/>
          <w:sz w:val="24"/>
          <w:szCs w:val="24"/>
        </w:rPr>
        <w:t xml:space="preserve"> </w:t>
      </w:r>
      <w:r w:rsidR="003675E3" w:rsidRPr="00DC6AF3">
        <w:rPr>
          <w:rFonts w:ascii="Times New Roman" w:hAnsi="Times New Roman" w:cs="Times New Roman"/>
          <w:sz w:val="24"/>
          <w:szCs w:val="24"/>
        </w:rPr>
        <w:t>informal.</w:t>
      </w:r>
    </w:p>
    <w:p w14:paraId="1666FCDB" w14:textId="7573CBD8" w:rsidR="001F0787" w:rsidRDefault="4C001CDC"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La fuente de datos utilizada para responder este objetivo son las bases de la Encuesta Permanente de Hogares (EPH) provista por el INDEC.  Se seleccionaron los microdatos de tres periodos: el tercer trimestre del 2019 (“</w:t>
      </w:r>
      <w:proofErr w:type="spellStart"/>
      <w:r w:rsidRPr="00DC6AF3">
        <w:rPr>
          <w:rFonts w:ascii="Times New Roman" w:hAnsi="Times New Roman" w:cs="Times New Roman"/>
          <w:sz w:val="24"/>
          <w:szCs w:val="24"/>
        </w:rPr>
        <w:t>pre-pandemia</w:t>
      </w:r>
      <w:proofErr w:type="spellEnd"/>
      <w:r w:rsidRPr="00DC6AF3">
        <w:rPr>
          <w:rFonts w:ascii="Times New Roman" w:hAnsi="Times New Roman" w:cs="Times New Roman"/>
          <w:sz w:val="24"/>
          <w:szCs w:val="24"/>
        </w:rPr>
        <w:t xml:space="preserve"> del COVID-19”), el segundo trimestre de 2020 (“la pandemia y la paralización de las actividades”) y el tercer trimestre de 2021 (periodo “post pandemia o de recuperación”). Se trabajó con los hogares cuyo/a principal sostén era económicamente activo/a. </w:t>
      </w:r>
    </w:p>
    <w:p w14:paraId="588A7AC1" w14:textId="099F48D1" w:rsidR="00E667B1" w:rsidRDefault="00E667B1" w:rsidP="76E3AB01">
      <w:pPr>
        <w:spacing w:line="360" w:lineRule="auto"/>
        <w:jc w:val="both"/>
        <w:rPr>
          <w:rFonts w:ascii="Times New Roman" w:hAnsi="Times New Roman" w:cs="Times New Roman"/>
          <w:sz w:val="24"/>
          <w:szCs w:val="24"/>
        </w:rPr>
      </w:pPr>
      <w:r w:rsidRPr="00E667B1">
        <w:rPr>
          <w:rFonts w:ascii="Times New Roman" w:hAnsi="Times New Roman" w:cs="Times New Roman"/>
          <w:sz w:val="24"/>
          <w:szCs w:val="24"/>
        </w:rPr>
        <w:t>Esta ponencia se desarrolló en el marco del Proyecto de Reconocimiento Institucional “Desigualdad socio-ocupacional y persistencia de la pobreza. Un análisis centrado en la reproducción de los hogares”, de la Facultad de Ciencias Sociales de la Universidad de Buenos Aires (R20-61-FCS), dirigido por el Dr. Santiago Poy.</w:t>
      </w:r>
    </w:p>
    <w:p w14:paraId="4434A16C" w14:textId="61A617B0" w:rsidR="00C239E4" w:rsidRPr="00DC6AF3" w:rsidRDefault="76E3AB01" w:rsidP="00C239E4">
      <w:pPr>
        <w:pStyle w:val="Ttulo2"/>
        <w:rPr>
          <w:rFonts w:ascii="Times New Roman" w:hAnsi="Times New Roman" w:cs="Times New Roman"/>
        </w:rPr>
      </w:pPr>
      <w:bookmarkStart w:id="2" w:name="_Toc107868455"/>
      <w:r w:rsidRPr="00DC6AF3">
        <w:rPr>
          <w:rFonts w:ascii="Times New Roman" w:hAnsi="Times New Roman" w:cs="Times New Roman"/>
        </w:rPr>
        <w:t>Desarrollo conceptual y marco teórico</w:t>
      </w:r>
      <w:bookmarkEnd w:id="2"/>
    </w:p>
    <w:p w14:paraId="6B9297D2" w14:textId="674E356F" w:rsidR="76E3AB01" w:rsidRPr="00DC6AF3" w:rsidRDefault="76E3AB01" w:rsidP="00350C7E">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El interés por la reproducción de los hogares y las condiciones de vida constituye una tradición de la sociología latinoamericana (</w:t>
      </w:r>
      <w:proofErr w:type="spellStart"/>
      <w:r w:rsidRPr="00DC6AF3">
        <w:rPr>
          <w:rFonts w:ascii="Times New Roman" w:hAnsi="Times New Roman" w:cs="Times New Roman"/>
          <w:sz w:val="24"/>
          <w:szCs w:val="24"/>
        </w:rPr>
        <w:t>Borsotti</w:t>
      </w:r>
      <w:proofErr w:type="spellEnd"/>
      <w:r w:rsidRPr="00DC6AF3">
        <w:rPr>
          <w:rFonts w:ascii="Times New Roman" w:hAnsi="Times New Roman" w:cs="Times New Roman"/>
          <w:sz w:val="24"/>
          <w:szCs w:val="24"/>
        </w:rPr>
        <w:t>, 1981; Duque y Pastrana, 1973; Oliveira</w:t>
      </w:r>
      <w:r w:rsidR="0086608D" w:rsidRPr="00DC6AF3">
        <w:rPr>
          <w:rFonts w:ascii="Times New Roman" w:hAnsi="Times New Roman" w:cs="Times New Roman"/>
          <w:sz w:val="24"/>
          <w:szCs w:val="24"/>
        </w:rPr>
        <w:t xml:space="preserve"> y Salles, 2000; Torrado, </w:t>
      </w:r>
      <w:r w:rsidRPr="00DC6AF3">
        <w:rPr>
          <w:rFonts w:ascii="Times New Roman" w:hAnsi="Times New Roman" w:cs="Times New Roman"/>
          <w:sz w:val="24"/>
          <w:szCs w:val="24"/>
        </w:rPr>
        <w:t>1982). En esta tradición, se asocia la reproducción con la satisfacción de necesidades (Oliveira y Salles, 2000) y con la superposición de un ciclo cotidiano y otro generacional que la hace posible (</w:t>
      </w:r>
      <w:proofErr w:type="spellStart"/>
      <w:r w:rsidRPr="00DC6AF3">
        <w:rPr>
          <w:rFonts w:ascii="Times New Roman" w:hAnsi="Times New Roman" w:cs="Times New Roman"/>
          <w:sz w:val="24"/>
          <w:szCs w:val="24"/>
        </w:rPr>
        <w:t>Borsotti</w:t>
      </w:r>
      <w:proofErr w:type="spellEnd"/>
      <w:r w:rsidRPr="00DC6AF3">
        <w:rPr>
          <w:rFonts w:ascii="Times New Roman" w:hAnsi="Times New Roman" w:cs="Times New Roman"/>
          <w:sz w:val="24"/>
          <w:szCs w:val="24"/>
        </w:rPr>
        <w:t xml:space="preserve">, 1981). Se indaga en el comportamiento de las unidades domésticas y no en los individuos, entendiendo al hogar –atravesado por clivajes de género y generación– como espacio privilegiado para observar los modos en que se organiza la reproducción de sus integrantes (Torrado, 2006 [1982]).  </w:t>
      </w:r>
    </w:p>
    <w:p w14:paraId="5D91FD4F" w14:textId="40904B2A" w:rsidR="00E13219" w:rsidRPr="00DC6AF3" w:rsidRDefault="00E13219" w:rsidP="00350C7E">
      <w:pPr>
        <w:spacing w:line="360" w:lineRule="auto"/>
        <w:jc w:val="both"/>
        <w:rPr>
          <w:rFonts w:ascii="Times New Roman" w:hAnsi="Times New Roman" w:cs="Times New Roman"/>
          <w:sz w:val="24"/>
          <w:szCs w:val="24"/>
          <w:lang w:val="es-MX"/>
        </w:rPr>
      </w:pPr>
      <w:r w:rsidRPr="00DC6AF3">
        <w:rPr>
          <w:rFonts w:ascii="Times New Roman" w:hAnsi="Times New Roman" w:cs="Times New Roman"/>
          <w:sz w:val="24"/>
          <w:szCs w:val="24"/>
          <w:lang w:val="es-MX"/>
        </w:rPr>
        <w:lastRenderedPageBreak/>
        <w:t xml:space="preserve">La reproducción de los hogares remite al conjunto de procesos asociados a cubrir el desgaste físico y psicológico de los/as integrantes de la unidad y garantizar su reproducción generacional, a la vez que supone la recreación de elementos culturales, afectivos, ideológicos y las relaciones de poder entre géneros y generaciones (Oliveira y Salles, 1989). De este amplio conjunto de dimensiones imbricadas, nos enfocamos en la dimensión material o socioeconómica de la reproducción de los hogares, que se refiere al mantenimiento de la existencia de los miembros en un momento histórico determinado y, por lo tanto, se asocia con la satisfacción de necesidades (de alimentación, vivienda, transporte, salud, etc.) (Oliveira y Salles, 2000: 629; Poy, 2020). </w:t>
      </w:r>
    </w:p>
    <w:p w14:paraId="08F66D9D" w14:textId="6B5601DA" w:rsidR="00B012EB" w:rsidRPr="00DC6AF3" w:rsidRDefault="00E13219" w:rsidP="00350C7E">
      <w:pPr>
        <w:spacing w:line="360" w:lineRule="auto"/>
        <w:jc w:val="both"/>
        <w:rPr>
          <w:rFonts w:ascii="Times New Roman" w:hAnsi="Times New Roman" w:cs="Times New Roman"/>
          <w:sz w:val="24"/>
          <w:szCs w:val="24"/>
          <w:lang w:val="es-MX"/>
        </w:rPr>
      </w:pPr>
      <w:r w:rsidRPr="00DC6AF3">
        <w:rPr>
          <w:rFonts w:ascii="Times New Roman" w:hAnsi="Times New Roman" w:cs="Times New Roman"/>
          <w:sz w:val="24"/>
          <w:szCs w:val="24"/>
          <w:lang w:val="es-MX"/>
        </w:rPr>
        <w:t>Un elemento importante de esta perspectiva analítica remite a la noción de balance reproductivo entre las necesidades y los satisfactores, que apunta al grado en que los recursos disponibles garantizan la reproducción de los integrantes del hogar (Cuéllar, 1990; Salvia, 2012). Este balance puede ser positivo o negativo; en este último caso, implica una reproducción deficiente de los miembros del grupo doméstico en tanto los recursos no bastan para cubrir los satisfactores de necesidades requeridos por la unidad.</w:t>
      </w:r>
    </w:p>
    <w:p w14:paraId="5A59F53C" w14:textId="1483D6C0" w:rsidR="0071715F" w:rsidRPr="00DC6AF3" w:rsidRDefault="003C3E15"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lang w:val="es-MX"/>
        </w:rPr>
        <w:t>En sociedades de mercado, la disponibilidad de recursos económicos es crucial, en tanto posibilitan el acceso a satisfactores que se encuentran mercantilizados; es decir, la reproducción descansa en un “nexo monetario” [cash-</w:t>
      </w:r>
      <w:proofErr w:type="spellStart"/>
      <w:r w:rsidRPr="00DC6AF3">
        <w:rPr>
          <w:rFonts w:ascii="Times New Roman" w:hAnsi="Times New Roman" w:cs="Times New Roman"/>
          <w:sz w:val="24"/>
          <w:szCs w:val="24"/>
          <w:lang w:val="es-MX"/>
        </w:rPr>
        <w:t>nexus</w:t>
      </w:r>
      <w:proofErr w:type="spellEnd"/>
      <w:r w:rsidRPr="00DC6AF3">
        <w:rPr>
          <w:rFonts w:ascii="Times New Roman" w:hAnsi="Times New Roman" w:cs="Times New Roman"/>
          <w:sz w:val="24"/>
          <w:szCs w:val="24"/>
          <w:lang w:val="es-MX"/>
        </w:rPr>
        <w:t>] (Esping-Andersen, 1999). Por consiguiente, las capacidades de reproducción económica pueden estudiarse a partir de los recursos materiales de los que disponen los hogares para sufragar los satisfactores de necesidades que requieren de acuerdo con su composición y ciclo vital. Asimismo, desde este enfoque se considera clave la capacidad de los integrantes de las unidades domésticas para optimizar sus condiciones de vida, de manera que el estudio de la reproducción económica involucra el análisis de tales comportamientos (Oliveira y Salles, 2000; Torrado, 2006 [1982]).</w:t>
      </w:r>
      <w:r w:rsidRPr="00DC6AF3">
        <w:rPr>
          <w:rFonts w:ascii="Times New Roman" w:hAnsi="Times New Roman" w:cs="Times New Roman"/>
          <w:iCs/>
        </w:rPr>
        <w:t xml:space="preserve"> </w:t>
      </w:r>
      <w:r w:rsidR="76E3AB01" w:rsidRPr="00DC6AF3">
        <w:rPr>
          <w:rFonts w:ascii="Times New Roman" w:hAnsi="Times New Roman" w:cs="Times New Roman"/>
          <w:sz w:val="24"/>
          <w:szCs w:val="24"/>
        </w:rPr>
        <w:t>Este</w:t>
      </w:r>
      <w:r w:rsidRPr="00DC6AF3">
        <w:rPr>
          <w:rFonts w:ascii="Times New Roman" w:hAnsi="Times New Roman" w:cs="Times New Roman"/>
          <w:sz w:val="24"/>
          <w:szCs w:val="24"/>
        </w:rPr>
        <w:t xml:space="preserve"> enfoque</w:t>
      </w:r>
      <w:r w:rsidR="0086608D" w:rsidRPr="00DC6AF3">
        <w:rPr>
          <w:rFonts w:ascii="Times New Roman" w:hAnsi="Times New Roman" w:cs="Times New Roman"/>
          <w:sz w:val="24"/>
          <w:szCs w:val="24"/>
        </w:rPr>
        <w:t xml:space="preserve"> es </w:t>
      </w:r>
      <w:r w:rsidR="76E3AB01" w:rsidRPr="00DC6AF3">
        <w:rPr>
          <w:rFonts w:ascii="Times New Roman" w:hAnsi="Times New Roman" w:cs="Times New Roman"/>
          <w:sz w:val="24"/>
          <w:szCs w:val="24"/>
        </w:rPr>
        <w:t>interesante para anal</w:t>
      </w:r>
      <w:r w:rsidR="0086608D" w:rsidRPr="00DC6AF3">
        <w:rPr>
          <w:rFonts w:ascii="Times New Roman" w:hAnsi="Times New Roman" w:cs="Times New Roman"/>
          <w:sz w:val="24"/>
          <w:szCs w:val="24"/>
        </w:rPr>
        <w:t xml:space="preserve">izar los efectos de la pandemia, </w:t>
      </w:r>
      <w:r w:rsidR="76E3AB01" w:rsidRPr="00DC6AF3">
        <w:rPr>
          <w:rFonts w:ascii="Times New Roman" w:hAnsi="Times New Roman" w:cs="Times New Roman"/>
          <w:sz w:val="24"/>
          <w:szCs w:val="24"/>
        </w:rPr>
        <w:t>tanto en un periodo de</w:t>
      </w:r>
      <w:r w:rsidR="0086608D" w:rsidRPr="00DC6AF3">
        <w:rPr>
          <w:rFonts w:ascii="Times New Roman" w:hAnsi="Times New Roman" w:cs="Times New Roman"/>
          <w:sz w:val="24"/>
          <w:szCs w:val="24"/>
        </w:rPr>
        <w:t xml:space="preserve"> crisis como de recuperación, </w:t>
      </w:r>
      <w:r w:rsidR="76E3AB01" w:rsidRPr="00DC6AF3">
        <w:rPr>
          <w:rFonts w:ascii="Times New Roman" w:hAnsi="Times New Roman" w:cs="Times New Roman"/>
          <w:sz w:val="24"/>
          <w:szCs w:val="24"/>
        </w:rPr>
        <w:t xml:space="preserve">porque no solo </w:t>
      </w:r>
      <w:r w:rsidR="0086608D" w:rsidRPr="00DC6AF3">
        <w:rPr>
          <w:rFonts w:ascii="Times New Roman" w:hAnsi="Times New Roman" w:cs="Times New Roman"/>
          <w:sz w:val="24"/>
          <w:szCs w:val="24"/>
        </w:rPr>
        <w:t xml:space="preserve">nos permite ver </w:t>
      </w:r>
      <w:r w:rsidR="76E3AB01" w:rsidRPr="00DC6AF3">
        <w:rPr>
          <w:rFonts w:ascii="Times New Roman" w:hAnsi="Times New Roman" w:cs="Times New Roman"/>
          <w:sz w:val="24"/>
          <w:szCs w:val="24"/>
        </w:rPr>
        <w:t xml:space="preserve">las prácticas de los agentes sociales para la constitución y reproducción de las unidades familiares, sino que tiene en cuenta en cuenta las estrategias de desarrollo, como entorno macrosocial de condicionamiento. </w:t>
      </w:r>
    </w:p>
    <w:p w14:paraId="221975D1" w14:textId="355A9BA6" w:rsidR="00DF28BF" w:rsidRDefault="569138D2"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Una parte importante de la literatura sobre la reproducción económica y las condiciones de vida familiares en América Latina se ha dedicado a estudiar las alteraciones de estos procesos en </w:t>
      </w:r>
      <w:r w:rsidRPr="00DC6AF3">
        <w:rPr>
          <w:rFonts w:ascii="Times New Roman" w:hAnsi="Times New Roman" w:cs="Times New Roman"/>
          <w:sz w:val="24"/>
          <w:szCs w:val="24"/>
        </w:rPr>
        <w:lastRenderedPageBreak/>
        <w:t xml:space="preserve">contextos de crisis (Cortés y Rubalcava, 1991; Cuéllar, 1990; </w:t>
      </w:r>
      <w:proofErr w:type="spellStart"/>
      <w:r w:rsidRPr="00DC6AF3">
        <w:rPr>
          <w:rFonts w:ascii="Times New Roman" w:hAnsi="Times New Roman" w:cs="Times New Roman"/>
          <w:sz w:val="24"/>
          <w:szCs w:val="24"/>
        </w:rPr>
        <w:t>Feijoó</w:t>
      </w:r>
      <w:proofErr w:type="spellEnd"/>
      <w:r w:rsidRPr="00DC6AF3">
        <w:rPr>
          <w:rFonts w:ascii="Times New Roman" w:hAnsi="Times New Roman" w:cs="Times New Roman"/>
          <w:sz w:val="24"/>
          <w:szCs w:val="24"/>
        </w:rPr>
        <w:t xml:space="preserve">, 2001; </w:t>
      </w:r>
      <w:proofErr w:type="spellStart"/>
      <w:r w:rsidRPr="00DC6AF3">
        <w:rPr>
          <w:rFonts w:ascii="Times New Roman" w:hAnsi="Times New Roman" w:cs="Times New Roman"/>
          <w:sz w:val="24"/>
          <w:szCs w:val="24"/>
        </w:rPr>
        <w:t>Geldstein</w:t>
      </w:r>
      <w:proofErr w:type="spellEnd"/>
      <w:r w:rsidRPr="00DC6AF3">
        <w:rPr>
          <w:rFonts w:ascii="Times New Roman" w:hAnsi="Times New Roman" w:cs="Times New Roman"/>
          <w:sz w:val="24"/>
          <w:szCs w:val="24"/>
        </w:rPr>
        <w:t xml:space="preserve">, 1994; </w:t>
      </w:r>
      <w:proofErr w:type="spellStart"/>
      <w:r w:rsidRPr="00DC6AF3">
        <w:rPr>
          <w:rFonts w:ascii="Times New Roman" w:hAnsi="Times New Roman" w:cs="Times New Roman"/>
          <w:sz w:val="24"/>
          <w:szCs w:val="24"/>
        </w:rPr>
        <w:t>Hintze</w:t>
      </w:r>
      <w:proofErr w:type="spellEnd"/>
      <w:r w:rsidRPr="00DC6AF3">
        <w:rPr>
          <w:rFonts w:ascii="Times New Roman" w:hAnsi="Times New Roman" w:cs="Times New Roman"/>
          <w:sz w:val="24"/>
          <w:szCs w:val="24"/>
        </w:rPr>
        <w:t xml:space="preserve">, 1989; Montoya García, 2017; Salvia, 2012). </w:t>
      </w:r>
      <w:r w:rsidR="009E223F" w:rsidRPr="00DC6AF3">
        <w:rPr>
          <w:rFonts w:ascii="Times New Roman" w:hAnsi="Times New Roman" w:cs="Times New Roman"/>
          <w:sz w:val="24"/>
          <w:szCs w:val="24"/>
        </w:rPr>
        <w:t>Según la teoría de las estrategias familiares, ante un contexto recesivo los hogares procurarán intensificar la explotación de su fuerza de trabajo para tratar de moderar la caída de los ingresos familiares (Cortés y Rubalcava, 1991). En ausencia de mecanismos extendidos que garanticen niveles mínimos de ingresos, los hogares pueden tratar de incrementar la participación de sus miembros en el mercado de trabajo (ya sea volcando nuevos integrantes o incrementando su número de horas trabajadas), o bien pueden procurarse ingresos provenientes de transferencias de política social</w:t>
      </w:r>
      <w:r w:rsidR="00B47433" w:rsidRPr="00DC6AF3">
        <w:rPr>
          <w:rFonts w:ascii="Times New Roman" w:hAnsi="Times New Roman" w:cs="Times New Roman"/>
          <w:sz w:val="24"/>
          <w:szCs w:val="24"/>
        </w:rPr>
        <w:t xml:space="preserve">. </w:t>
      </w:r>
    </w:p>
    <w:tbl>
      <w:tblPr>
        <w:tblW w:w="9356" w:type="dxa"/>
        <w:tblInd w:w="-5" w:type="dxa"/>
        <w:tblLook w:val="04A0" w:firstRow="1" w:lastRow="0" w:firstColumn="1" w:lastColumn="0" w:noHBand="0" w:noVBand="1"/>
      </w:tblPr>
      <w:tblGrid>
        <w:gridCol w:w="2268"/>
        <w:gridCol w:w="3235"/>
        <w:gridCol w:w="3853"/>
      </w:tblGrid>
      <w:tr w:rsidR="00850776" w:rsidRPr="00DC6AF3" w14:paraId="180ED5CE" w14:textId="77777777" w:rsidTr="006B7103">
        <w:trPr>
          <w:trHeight w:val="329"/>
        </w:trPr>
        <w:tc>
          <w:tcPr>
            <w:tcW w:w="9356" w:type="dxa"/>
            <w:gridSpan w:val="3"/>
            <w:tcBorders>
              <w:bottom w:val="single" w:sz="4" w:space="0" w:color="auto"/>
            </w:tcBorders>
            <w:shd w:val="clear" w:color="auto" w:fill="FFFFFF" w:themeFill="background1"/>
          </w:tcPr>
          <w:p w14:paraId="73DD9E4D" w14:textId="616D6A51"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rPr>
              <w:t xml:space="preserve">Cuadro </w:t>
            </w:r>
            <w:r w:rsidR="002F2CE7">
              <w:rPr>
                <w:rFonts w:ascii="Times New Roman" w:hAnsi="Times New Roman" w:cs="Times New Roman"/>
                <w:b/>
                <w:bCs/>
              </w:rPr>
              <w:t>0</w:t>
            </w:r>
            <w:r w:rsidRPr="00DC6AF3">
              <w:rPr>
                <w:rFonts w:ascii="Times New Roman" w:hAnsi="Times New Roman" w:cs="Times New Roman"/>
                <w:b/>
                <w:bCs/>
              </w:rPr>
              <w:t xml:space="preserve">1. Dimensiones e indicadores de la </w:t>
            </w:r>
            <w:proofErr w:type="spellStart"/>
            <w:r w:rsidRPr="00DC6AF3">
              <w:rPr>
                <w:rFonts w:ascii="Times New Roman" w:hAnsi="Times New Roman" w:cs="Times New Roman"/>
                <w:b/>
                <w:bCs/>
              </w:rPr>
              <w:t>reproducci</w:t>
            </w:r>
            <w:r w:rsidRPr="00DC6AF3">
              <w:rPr>
                <w:rFonts w:ascii="Times New Roman" w:hAnsi="Times New Roman" w:cs="Times New Roman"/>
                <w:b/>
                <w:bCs/>
                <w:lang w:val="es-MX"/>
              </w:rPr>
              <w:t>ón</w:t>
            </w:r>
            <w:proofErr w:type="spellEnd"/>
            <w:r w:rsidRPr="00DC6AF3">
              <w:rPr>
                <w:rFonts w:ascii="Times New Roman" w:hAnsi="Times New Roman" w:cs="Times New Roman"/>
                <w:b/>
                <w:bCs/>
                <w:lang w:val="es-MX"/>
              </w:rPr>
              <w:t xml:space="preserve"> material de los hogares</w:t>
            </w:r>
          </w:p>
        </w:tc>
      </w:tr>
      <w:tr w:rsidR="00850776" w:rsidRPr="00DC6AF3" w14:paraId="016CACC2" w14:textId="77777777" w:rsidTr="006B7103">
        <w:trPr>
          <w:trHeight w:val="567"/>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CED9F" w14:textId="77777777"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sz w:val="20"/>
                <w:szCs w:val="20"/>
              </w:rPr>
              <w:t>Dimensiones</w:t>
            </w:r>
          </w:p>
        </w:tc>
        <w:tc>
          <w:tcPr>
            <w:tcW w:w="3235" w:type="dxa"/>
            <w:tcBorders>
              <w:top w:val="single" w:sz="4" w:space="0" w:color="auto"/>
              <w:left w:val="nil"/>
              <w:bottom w:val="single" w:sz="4" w:space="0" w:color="auto"/>
              <w:right w:val="single" w:sz="4" w:space="0" w:color="auto"/>
            </w:tcBorders>
            <w:shd w:val="clear" w:color="auto" w:fill="auto"/>
            <w:noWrap/>
            <w:hideMark/>
          </w:tcPr>
          <w:p w14:paraId="32A49F90" w14:textId="77777777"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sz w:val="20"/>
                <w:szCs w:val="20"/>
              </w:rPr>
              <w:t>Indicadores</w:t>
            </w:r>
          </w:p>
        </w:tc>
        <w:tc>
          <w:tcPr>
            <w:tcW w:w="3853" w:type="dxa"/>
            <w:tcBorders>
              <w:top w:val="single" w:sz="4" w:space="0" w:color="auto"/>
              <w:left w:val="nil"/>
              <w:bottom w:val="single" w:sz="4" w:space="0" w:color="auto"/>
              <w:right w:val="single" w:sz="4" w:space="0" w:color="auto"/>
            </w:tcBorders>
            <w:shd w:val="clear" w:color="auto" w:fill="auto"/>
            <w:noWrap/>
            <w:hideMark/>
          </w:tcPr>
          <w:p w14:paraId="708A36FE" w14:textId="77777777"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sz w:val="20"/>
                <w:szCs w:val="20"/>
              </w:rPr>
              <w:t>Definición</w:t>
            </w:r>
          </w:p>
        </w:tc>
      </w:tr>
      <w:tr w:rsidR="00850776" w:rsidRPr="00DC6AF3" w14:paraId="69C64906" w14:textId="77777777" w:rsidTr="006B7103">
        <w:trPr>
          <w:trHeight w:val="567"/>
        </w:trPr>
        <w:tc>
          <w:tcPr>
            <w:tcW w:w="2268" w:type="dxa"/>
            <w:vMerge w:val="restart"/>
            <w:tcBorders>
              <w:top w:val="single" w:sz="4" w:space="0" w:color="auto"/>
              <w:left w:val="single" w:sz="4" w:space="0" w:color="auto"/>
              <w:right w:val="single" w:sz="4" w:space="0" w:color="auto"/>
            </w:tcBorders>
            <w:shd w:val="clear" w:color="auto" w:fill="FFFFFF" w:themeFill="background1"/>
            <w:hideMark/>
          </w:tcPr>
          <w:p w14:paraId="412C32F8" w14:textId="77777777"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sz w:val="20"/>
                <w:szCs w:val="20"/>
              </w:rPr>
              <w:t>Comportamientos laborales y no laborales</w:t>
            </w:r>
          </w:p>
        </w:tc>
        <w:tc>
          <w:tcPr>
            <w:tcW w:w="3235" w:type="dxa"/>
            <w:tcBorders>
              <w:top w:val="nil"/>
              <w:left w:val="nil"/>
              <w:bottom w:val="single" w:sz="4" w:space="0" w:color="auto"/>
              <w:right w:val="single" w:sz="4" w:space="0" w:color="auto"/>
            </w:tcBorders>
            <w:shd w:val="clear" w:color="auto" w:fill="auto"/>
            <w:noWrap/>
            <w:hideMark/>
          </w:tcPr>
          <w:p w14:paraId="57AC192D"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Ocupados/as por hogar</w:t>
            </w:r>
          </w:p>
        </w:tc>
        <w:tc>
          <w:tcPr>
            <w:tcW w:w="3853" w:type="dxa"/>
            <w:tcBorders>
              <w:top w:val="nil"/>
              <w:left w:val="nil"/>
              <w:bottom w:val="single" w:sz="4" w:space="0" w:color="auto"/>
              <w:right w:val="single" w:sz="4" w:space="0" w:color="auto"/>
            </w:tcBorders>
            <w:shd w:val="clear" w:color="auto" w:fill="auto"/>
            <w:noWrap/>
            <w:hideMark/>
          </w:tcPr>
          <w:p w14:paraId="004ECACA"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Es el número de ocupados en el hogar</w:t>
            </w:r>
          </w:p>
        </w:tc>
      </w:tr>
      <w:tr w:rsidR="00850776" w:rsidRPr="00DC6AF3" w14:paraId="3E9D115D" w14:textId="77777777" w:rsidTr="006B7103">
        <w:trPr>
          <w:trHeight w:val="567"/>
        </w:trPr>
        <w:tc>
          <w:tcPr>
            <w:tcW w:w="2268" w:type="dxa"/>
            <w:vMerge/>
            <w:tcBorders>
              <w:left w:val="single" w:sz="4" w:space="0" w:color="auto"/>
              <w:right w:val="single" w:sz="4" w:space="0" w:color="auto"/>
            </w:tcBorders>
          </w:tcPr>
          <w:p w14:paraId="76EC5A5F"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hideMark/>
          </w:tcPr>
          <w:p w14:paraId="6453EC04" w14:textId="773FF554" w:rsidR="00850776" w:rsidRPr="00DC6AF3" w:rsidRDefault="000C184E" w:rsidP="00FE0062">
            <w:pPr>
              <w:spacing w:after="0" w:line="360" w:lineRule="auto"/>
              <w:jc w:val="both"/>
              <w:rPr>
                <w:rFonts w:ascii="Times New Roman" w:hAnsi="Times New Roman" w:cs="Times New Roman"/>
                <w:sz w:val="20"/>
                <w:szCs w:val="20"/>
              </w:rPr>
            </w:pPr>
            <w:r w:rsidRPr="00965BB5">
              <w:rPr>
                <w:rFonts w:ascii="Times New Roman" w:hAnsi="Times New Roman" w:cs="Times New Roman"/>
                <w:sz w:val="18"/>
                <w:szCs w:val="18"/>
              </w:rPr>
              <w:t>Horas trabajadas en todas sus ocupaciones en la semana del principal sostén</w:t>
            </w:r>
          </w:p>
        </w:tc>
        <w:tc>
          <w:tcPr>
            <w:tcW w:w="3853" w:type="dxa"/>
            <w:tcBorders>
              <w:top w:val="nil"/>
              <w:left w:val="nil"/>
              <w:bottom w:val="single" w:sz="4" w:space="0" w:color="auto"/>
              <w:right w:val="single" w:sz="4" w:space="0" w:color="auto"/>
            </w:tcBorders>
            <w:shd w:val="clear" w:color="auto" w:fill="auto"/>
            <w:noWrap/>
            <w:hideMark/>
          </w:tcPr>
          <w:p w14:paraId="029238E3" w14:textId="7F5F60CC" w:rsidR="00850776" w:rsidRPr="00DC6AF3" w:rsidRDefault="00203D12" w:rsidP="00FE006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Promedio del nú</w:t>
            </w:r>
            <w:r w:rsidR="00965BB5">
              <w:rPr>
                <w:rFonts w:ascii="Times New Roman" w:hAnsi="Times New Roman" w:cs="Times New Roman"/>
                <w:sz w:val="20"/>
                <w:szCs w:val="20"/>
              </w:rPr>
              <w:t xml:space="preserve">mero de horas trabajadas por el </w:t>
            </w:r>
            <w:r>
              <w:rPr>
                <w:rFonts w:ascii="Times New Roman" w:hAnsi="Times New Roman" w:cs="Times New Roman"/>
                <w:sz w:val="20"/>
                <w:szCs w:val="20"/>
              </w:rPr>
              <w:t xml:space="preserve">principal sostén del hogar </w:t>
            </w:r>
          </w:p>
        </w:tc>
      </w:tr>
      <w:tr w:rsidR="00850776" w:rsidRPr="00DC6AF3" w14:paraId="3AF941E6" w14:textId="77777777" w:rsidTr="006B7103">
        <w:trPr>
          <w:trHeight w:val="567"/>
        </w:trPr>
        <w:tc>
          <w:tcPr>
            <w:tcW w:w="2268" w:type="dxa"/>
            <w:vMerge/>
            <w:tcBorders>
              <w:left w:val="single" w:sz="4" w:space="0" w:color="auto"/>
              <w:right w:val="single" w:sz="4" w:space="0" w:color="auto"/>
            </w:tcBorders>
          </w:tcPr>
          <w:p w14:paraId="2AAFFFC5"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hideMark/>
          </w:tcPr>
          <w:p w14:paraId="3CF3F106"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Perceptores laborales por hogar</w:t>
            </w:r>
          </w:p>
        </w:tc>
        <w:tc>
          <w:tcPr>
            <w:tcW w:w="3853" w:type="dxa"/>
            <w:tcBorders>
              <w:top w:val="nil"/>
              <w:left w:val="nil"/>
              <w:bottom w:val="single" w:sz="4" w:space="0" w:color="auto"/>
              <w:right w:val="single" w:sz="4" w:space="0" w:color="auto"/>
            </w:tcBorders>
            <w:shd w:val="clear" w:color="auto" w:fill="auto"/>
            <w:noWrap/>
            <w:hideMark/>
          </w:tcPr>
          <w:p w14:paraId="75723F74"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Es el número de personas que perciben un ingreso laboral en el hogar</w:t>
            </w:r>
          </w:p>
        </w:tc>
      </w:tr>
      <w:tr w:rsidR="00850776" w:rsidRPr="00DC6AF3" w14:paraId="7A21F0C4" w14:textId="77777777" w:rsidTr="006B7103">
        <w:trPr>
          <w:trHeight w:val="567"/>
        </w:trPr>
        <w:tc>
          <w:tcPr>
            <w:tcW w:w="2268" w:type="dxa"/>
            <w:vMerge/>
            <w:tcBorders>
              <w:left w:val="single" w:sz="4" w:space="0" w:color="auto"/>
            </w:tcBorders>
          </w:tcPr>
          <w:p w14:paraId="0761D8AB"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hideMark/>
          </w:tcPr>
          <w:p w14:paraId="4FC1CFDE"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Perceptores no laborales</w:t>
            </w:r>
          </w:p>
        </w:tc>
        <w:tc>
          <w:tcPr>
            <w:tcW w:w="3853" w:type="dxa"/>
            <w:tcBorders>
              <w:top w:val="single" w:sz="4" w:space="0" w:color="auto"/>
              <w:left w:val="nil"/>
              <w:bottom w:val="single" w:sz="4" w:space="0" w:color="auto"/>
              <w:right w:val="single" w:sz="4" w:space="0" w:color="auto"/>
            </w:tcBorders>
            <w:shd w:val="clear" w:color="auto" w:fill="auto"/>
            <w:noWrap/>
            <w:hideMark/>
          </w:tcPr>
          <w:p w14:paraId="595056E2"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Es el número de personas que perciben un ingreso laboral en el hogar</w:t>
            </w:r>
          </w:p>
        </w:tc>
      </w:tr>
      <w:tr w:rsidR="00850776" w:rsidRPr="00DC6AF3" w14:paraId="738E83E2" w14:textId="77777777" w:rsidTr="006B7103">
        <w:trPr>
          <w:trHeight w:val="567"/>
        </w:trPr>
        <w:tc>
          <w:tcPr>
            <w:tcW w:w="2268" w:type="dxa"/>
            <w:vMerge w:val="restart"/>
            <w:tcBorders>
              <w:top w:val="single" w:sz="4" w:space="0" w:color="auto"/>
              <w:left w:val="single" w:sz="4" w:space="0" w:color="auto"/>
              <w:right w:val="single" w:sz="4" w:space="0" w:color="auto"/>
            </w:tcBorders>
            <w:shd w:val="clear" w:color="auto" w:fill="FFFFFF" w:themeFill="background1"/>
          </w:tcPr>
          <w:p w14:paraId="031E9926" w14:textId="77777777" w:rsidR="00850776" w:rsidRPr="00DC6AF3" w:rsidRDefault="00850776" w:rsidP="00FE0062">
            <w:pPr>
              <w:spacing w:after="0" w:line="360" w:lineRule="auto"/>
              <w:jc w:val="both"/>
              <w:rPr>
                <w:rFonts w:ascii="Times New Roman" w:hAnsi="Times New Roman" w:cs="Times New Roman"/>
                <w:b/>
                <w:bCs/>
                <w:sz w:val="20"/>
                <w:szCs w:val="20"/>
              </w:rPr>
            </w:pPr>
            <w:r w:rsidRPr="00DC6AF3">
              <w:rPr>
                <w:rFonts w:ascii="Times New Roman" w:hAnsi="Times New Roman" w:cs="Times New Roman"/>
                <w:b/>
                <w:bCs/>
                <w:sz w:val="20"/>
                <w:szCs w:val="20"/>
              </w:rPr>
              <w:t>Capacidades de subsistencia</w:t>
            </w:r>
          </w:p>
        </w:tc>
        <w:tc>
          <w:tcPr>
            <w:tcW w:w="3235" w:type="dxa"/>
            <w:tcBorders>
              <w:top w:val="single" w:sz="4" w:space="0" w:color="auto"/>
              <w:left w:val="single" w:sz="4" w:space="0" w:color="auto"/>
              <w:bottom w:val="single" w:sz="4" w:space="0" w:color="auto"/>
              <w:right w:val="single" w:sz="4" w:space="0" w:color="auto"/>
            </w:tcBorders>
            <w:shd w:val="clear" w:color="auto" w:fill="auto"/>
            <w:noWrap/>
          </w:tcPr>
          <w:p w14:paraId="47E609B7"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Ingreso per cápita familiar</w:t>
            </w:r>
          </w:p>
        </w:tc>
        <w:tc>
          <w:tcPr>
            <w:tcW w:w="3853" w:type="dxa"/>
            <w:tcBorders>
              <w:top w:val="single" w:sz="4" w:space="0" w:color="auto"/>
              <w:left w:val="nil"/>
              <w:bottom w:val="single" w:sz="4" w:space="0" w:color="auto"/>
              <w:right w:val="single" w:sz="4" w:space="0" w:color="auto"/>
            </w:tcBorders>
            <w:shd w:val="clear" w:color="auto" w:fill="auto"/>
            <w:noWrap/>
          </w:tcPr>
          <w:p w14:paraId="5F0F9330"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Cociente entre el número de ingreso familiar total y el número de miembros del hogar</w:t>
            </w:r>
          </w:p>
        </w:tc>
      </w:tr>
      <w:tr w:rsidR="00850776" w:rsidRPr="00DC6AF3" w14:paraId="5FE64944" w14:textId="77777777" w:rsidTr="006B7103">
        <w:trPr>
          <w:trHeight w:val="567"/>
        </w:trPr>
        <w:tc>
          <w:tcPr>
            <w:tcW w:w="2268" w:type="dxa"/>
            <w:vMerge/>
            <w:tcBorders>
              <w:left w:val="single" w:sz="4" w:space="0" w:color="auto"/>
            </w:tcBorders>
            <w:vAlign w:val="center"/>
          </w:tcPr>
          <w:p w14:paraId="3D666113"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tcPr>
          <w:p w14:paraId="1BA6E601"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Déficit de capacidades de subsistencia</w:t>
            </w:r>
          </w:p>
        </w:tc>
        <w:tc>
          <w:tcPr>
            <w:tcW w:w="3853" w:type="dxa"/>
            <w:tcBorders>
              <w:top w:val="single" w:sz="4" w:space="0" w:color="auto"/>
              <w:left w:val="nil"/>
              <w:bottom w:val="single" w:sz="4" w:space="0" w:color="auto"/>
              <w:right w:val="single" w:sz="4" w:space="0" w:color="auto"/>
            </w:tcBorders>
            <w:shd w:val="clear" w:color="auto" w:fill="auto"/>
            <w:noWrap/>
          </w:tcPr>
          <w:p w14:paraId="6CD26E81"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Grado en el que los ingresos familiares alcanzan para cubrir una canasta básica de bienes y servicios para los adultos equivalentes del hogar</w:t>
            </w:r>
          </w:p>
        </w:tc>
      </w:tr>
      <w:tr w:rsidR="00850776" w:rsidRPr="00DC6AF3" w14:paraId="7A638DEC" w14:textId="77777777" w:rsidTr="006B7103">
        <w:trPr>
          <w:trHeight w:val="58"/>
        </w:trPr>
        <w:tc>
          <w:tcPr>
            <w:tcW w:w="2268" w:type="dxa"/>
            <w:tcBorders>
              <w:left w:val="single" w:sz="4" w:space="0" w:color="auto"/>
              <w:right w:val="single" w:sz="4" w:space="0" w:color="auto"/>
            </w:tcBorders>
            <w:shd w:val="clear" w:color="auto" w:fill="FFFFFF" w:themeFill="background1"/>
            <w:vAlign w:val="center"/>
          </w:tcPr>
          <w:p w14:paraId="2095A007"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tcPr>
          <w:p w14:paraId="2728FCB8"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Ingreso Total familiar</w:t>
            </w:r>
          </w:p>
        </w:tc>
        <w:tc>
          <w:tcPr>
            <w:tcW w:w="3853" w:type="dxa"/>
            <w:tcBorders>
              <w:top w:val="single" w:sz="4" w:space="0" w:color="auto"/>
              <w:left w:val="nil"/>
              <w:bottom w:val="single" w:sz="4" w:space="0" w:color="auto"/>
              <w:right w:val="single" w:sz="4" w:space="0" w:color="auto"/>
            </w:tcBorders>
            <w:shd w:val="clear" w:color="auto" w:fill="auto"/>
            <w:noWrap/>
          </w:tcPr>
          <w:p w14:paraId="6A73DFF4"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Suma de los ingresos laborales y no laborales del hogar</w:t>
            </w:r>
          </w:p>
        </w:tc>
      </w:tr>
      <w:tr w:rsidR="00850776" w:rsidRPr="00DC6AF3" w14:paraId="25BFDDEF" w14:textId="77777777" w:rsidTr="006B7103">
        <w:trPr>
          <w:trHeight w:val="567"/>
        </w:trPr>
        <w:tc>
          <w:tcPr>
            <w:tcW w:w="2268" w:type="dxa"/>
            <w:tcBorders>
              <w:left w:val="single" w:sz="4" w:space="0" w:color="auto"/>
              <w:right w:val="single" w:sz="4" w:space="0" w:color="auto"/>
            </w:tcBorders>
            <w:shd w:val="clear" w:color="auto" w:fill="FFFFFF" w:themeFill="background1"/>
            <w:vAlign w:val="center"/>
          </w:tcPr>
          <w:p w14:paraId="5848815B" w14:textId="77777777" w:rsidR="00850776" w:rsidRPr="00DC6AF3" w:rsidRDefault="00850776" w:rsidP="00FE0062">
            <w:pPr>
              <w:spacing w:after="0" w:line="360" w:lineRule="auto"/>
              <w:jc w:val="both"/>
              <w:rPr>
                <w:rFonts w:ascii="Times New Roman" w:hAnsi="Times New Roman" w:cs="Times New Roman"/>
                <w:b/>
                <w:bCs/>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tcPr>
          <w:p w14:paraId="70976C2D"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 xml:space="preserve">Ingreso laboral per </w:t>
            </w:r>
            <w:proofErr w:type="spellStart"/>
            <w:r w:rsidRPr="00DC6AF3">
              <w:rPr>
                <w:rFonts w:ascii="Times New Roman" w:hAnsi="Times New Roman" w:cs="Times New Roman"/>
                <w:sz w:val="20"/>
                <w:szCs w:val="20"/>
              </w:rPr>
              <w:t>capita</w:t>
            </w:r>
            <w:proofErr w:type="spellEnd"/>
          </w:p>
        </w:tc>
        <w:tc>
          <w:tcPr>
            <w:tcW w:w="3853" w:type="dxa"/>
            <w:tcBorders>
              <w:top w:val="single" w:sz="4" w:space="0" w:color="auto"/>
              <w:left w:val="nil"/>
              <w:bottom w:val="single" w:sz="4" w:space="0" w:color="auto"/>
              <w:right w:val="single" w:sz="4" w:space="0" w:color="auto"/>
            </w:tcBorders>
            <w:shd w:val="clear" w:color="auto" w:fill="auto"/>
            <w:noWrap/>
          </w:tcPr>
          <w:p w14:paraId="7C1DFEAB" w14:textId="77777777" w:rsidR="00850776" w:rsidRPr="00DC6AF3" w:rsidRDefault="00850776"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Cociente entre el número del ingreso laboral del hogar y el número de miembros del hogar</w:t>
            </w:r>
          </w:p>
        </w:tc>
      </w:tr>
      <w:tr w:rsidR="006B7103" w:rsidRPr="00DC6AF3" w14:paraId="0078D457" w14:textId="77777777" w:rsidTr="006B7103">
        <w:trPr>
          <w:trHeight w:val="567"/>
        </w:trPr>
        <w:tc>
          <w:tcPr>
            <w:tcW w:w="2268" w:type="dxa"/>
            <w:tcBorders>
              <w:left w:val="single" w:sz="4" w:space="0" w:color="auto"/>
              <w:bottom w:val="single" w:sz="4" w:space="0" w:color="auto"/>
              <w:right w:val="single" w:sz="4" w:space="0" w:color="auto"/>
            </w:tcBorders>
            <w:shd w:val="clear" w:color="auto" w:fill="FFFFFF" w:themeFill="background1"/>
            <w:vAlign w:val="center"/>
          </w:tcPr>
          <w:p w14:paraId="4CB1DE62" w14:textId="77777777" w:rsidR="006B7103" w:rsidRPr="00DC6AF3" w:rsidRDefault="006B7103" w:rsidP="00FE0062">
            <w:pPr>
              <w:spacing w:after="0" w:line="360" w:lineRule="auto"/>
              <w:jc w:val="both"/>
              <w:rPr>
                <w:rFonts w:ascii="Times New Roman" w:hAnsi="Times New Roman" w:cs="Times New Roman"/>
                <w:sz w:val="20"/>
                <w:szCs w:val="20"/>
              </w:rPr>
            </w:pPr>
          </w:p>
        </w:tc>
        <w:tc>
          <w:tcPr>
            <w:tcW w:w="3235" w:type="dxa"/>
            <w:tcBorders>
              <w:top w:val="single" w:sz="4" w:space="0" w:color="auto"/>
              <w:left w:val="single" w:sz="4" w:space="0" w:color="auto"/>
              <w:bottom w:val="single" w:sz="4" w:space="0" w:color="auto"/>
              <w:right w:val="single" w:sz="4" w:space="0" w:color="auto"/>
            </w:tcBorders>
            <w:shd w:val="clear" w:color="auto" w:fill="auto"/>
            <w:noWrap/>
          </w:tcPr>
          <w:p w14:paraId="5EAD3728" w14:textId="344DEB7C" w:rsidR="006B7103" w:rsidRPr="00DC6AF3" w:rsidRDefault="006B7103"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Porcentaje de ingreso por ayuda social sobre el ITF</w:t>
            </w:r>
          </w:p>
        </w:tc>
        <w:tc>
          <w:tcPr>
            <w:tcW w:w="3853" w:type="dxa"/>
            <w:tcBorders>
              <w:top w:val="single" w:sz="4" w:space="0" w:color="auto"/>
              <w:left w:val="nil"/>
              <w:bottom w:val="single" w:sz="4" w:space="0" w:color="auto"/>
              <w:right w:val="single" w:sz="4" w:space="0" w:color="auto"/>
            </w:tcBorders>
            <w:shd w:val="clear" w:color="auto" w:fill="auto"/>
            <w:noWrap/>
          </w:tcPr>
          <w:p w14:paraId="3629E667" w14:textId="0CC56D33" w:rsidR="006B7103" w:rsidRPr="00DC6AF3" w:rsidRDefault="006B7103" w:rsidP="00FE0062">
            <w:pPr>
              <w:spacing w:after="0" w:line="360" w:lineRule="auto"/>
              <w:jc w:val="both"/>
              <w:rPr>
                <w:rFonts w:ascii="Times New Roman" w:hAnsi="Times New Roman" w:cs="Times New Roman"/>
                <w:sz w:val="20"/>
                <w:szCs w:val="20"/>
              </w:rPr>
            </w:pPr>
            <w:r w:rsidRPr="00DC6AF3">
              <w:rPr>
                <w:rFonts w:ascii="Times New Roman" w:hAnsi="Times New Roman" w:cs="Times New Roman"/>
                <w:sz w:val="20"/>
                <w:szCs w:val="20"/>
              </w:rPr>
              <w:t>Cociente entre el ingreso por ayuda social por el ingreso total familiar expresado en porcentaje</w:t>
            </w:r>
          </w:p>
        </w:tc>
      </w:tr>
    </w:tbl>
    <w:p w14:paraId="1CA73D5E" w14:textId="77777777" w:rsidR="00850776" w:rsidRPr="00DC6AF3" w:rsidRDefault="00850776" w:rsidP="76E3AB01">
      <w:pPr>
        <w:spacing w:line="360" w:lineRule="auto"/>
        <w:jc w:val="both"/>
        <w:rPr>
          <w:rFonts w:ascii="Times New Roman" w:hAnsi="Times New Roman" w:cs="Times New Roman"/>
          <w:sz w:val="24"/>
          <w:szCs w:val="24"/>
        </w:rPr>
      </w:pPr>
    </w:p>
    <w:p w14:paraId="1BAE58A6" w14:textId="26758FDC" w:rsidR="002E7A16" w:rsidRPr="00DC6AF3" w:rsidRDefault="00E14498" w:rsidP="003C2C64">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lastRenderedPageBreak/>
        <w:t xml:space="preserve">En términos operativos, este trabajo se va a centrar en una de las dimensiones de la reproducción socioeconómica de los hogares. </w:t>
      </w:r>
      <w:r w:rsidR="00635476" w:rsidRPr="00DC6AF3">
        <w:rPr>
          <w:rFonts w:ascii="Times New Roman" w:hAnsi="Times New Roman" w:cs="Times New Roman"/>
          <w:sz w:val="24"/>
          <w:szCs w:val="24"/>
        </w:rPr>
        <w:t>La cuestión de la</w:t>
      </w:r>
      <w:r w:rsidRPr="00DC6AF3">
        <w:rPr>
          <w:rFonts w:ascii="Times New Roman" w:hAnsi="Times New Roman" w:cs="Times New Roman"/>
          <w:sz w:val="24"/>
          <w:szCs w:val="24"/>
        </w:rPr>
        <w:t xml:space="preserve"> reproducción material de los hogares</w:t>
      </w:r>
      <w:r w:rsidR="003C2C64" w:rsidRPr="00DC6AF3">
        <w:rPr>
          <w:rFonts w:ascii="Times New Roman" w:hAnsi="Times New Roman" w:cs="Times New Roman"/>
          <w:sz w:val="24"/>
          <w:szCs w:val="24"/>
        </w:rPr>
        <w:t xml:space="preserve"> hace referencia los recursos materiales de los que disponen los hogares para sufragar las necesidades de sus integrantes</w:t>
      </w:r>
      <w:r w:rsidR="006916E0" w:rsidRPr="00DC6AF3">
        <w:rPr>
          <w:rFonts w:ascii="Times New Roman" w:hAnsi="Times New Roman" w:cs="Times New Roman"/>
          <w:sz w:val="24"/>
          <w:szCs w:val="24"/>
        </w:rPr>
        <w:t xml:space="preserve"> </w:t>
      </w:r>
      <w:r w:rsidR="003C2C64" w:rsidRPr="00DC6AF3">
        <w:rPr>
          <w:rFonts w:ascii="Times New Roman" w:hAnsi="Times New Roman" w:cs="Times New Roman"/>
          <w:sz w:val="24"/>
          <w:szCs w:val="24"/>
        </w:rPr>
        <w:t>(</w:t>
      </w:r>
      <w:r w:rsidR="004D04C2" w:rsidRPr="00DC6AF3">
        <w:rPr>
          <w:rFonts w:ascii="Times New Roman" w:hAnsi="Times New Roman" w:cs="Times New Roman"/>
          <w:sz w:val="24"/>
          <w:szCs w:val="24"/>
        </w:rPr>
        <w:t>Poy et al, 2021)</w:t>
      </w:r>
    </w:p>
    <w:p w14:paraId="15293C4B" w14:textId="75145241" w:rsidR="0071715F" w:rsidRPr="00DC6AF3" w:rsidRDefault="00AA0390" w:rsidP="003267DB">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Asimismo,</w:t>
      </w:r>
      <w:r w:rsidR="003267DB" w:rsidRPr="00DC6AF3">
        <w:rPr>
          <w:rFonts w:ascii="Times New Roman" w:hAnsi="Times New Roman" w:cs="Times New Roman"/>
          <w:sz w:val="24"/>
          <w:szCs w:val="24"/>
        </w:rPr>
        <w:t xml:space="preserve"> la reproducción de los hogares se ve condiciona por </w:t>
      </w:r>
      <w:r w:rsidR="00170BDE" w:rsidRPr="00DC6AF3">
        <w:rPr>
          <w:rFonts w:ascii="Times New Roman" w:hAnsi="Times New Roman" w:cs="Times New Roman"/>
          <w:sz w:val="24"/>
          <w:szCs w:val="24"/>
        </w:rPr>
        <w:t xml:space="preserve">el desarrollo desigual del capitalismo y </w:t>
      </w:r>
      <w:r w:rsidR="00F840DC" w:rsidRPr="00DC6AF3">
        <w:rPr>
          <w:rFonts w:ascii="Times New Roman" w:hAnsi="Times New Roman" w:cs="Times New Roman"/>
          <w:sz w:val="24"/>
          <w:szCs w:val="24"/>
        </w:rPr>
        <w:t xml:space="preserve">la heterogeneidad del mercado laboral actual (Oliveira y Salles, 2000). </w:t>
      </w:r>
      <w:r w:rsidR="00463AE4" w:rsidRPr="00DC6AF3">
        <w:rPr>
          <w:rFonts w:ascii="Times New Roman" w:hAnsi="Times New Roman" w:cs="Times New Roman"/>
          <w:sz w:val="24"/>
          <w:szCs w:val="24"/>
        </w:rPr>
        <w:t>Por lo tanto</w:t>
      </w:r>
      <w:r w:rsidR="00F840DC" w:rsidRPr="00DC6AF3">
        <w:rPr>
          <w:rFonts w:ascii="Times New Roman" w:hAnsi="Times New Roman" w:cs="Times New Roman"/>
          <w:sz w:val="24"/>
          <w:szCs w:val="24"/>
        </w:rPr>
        <w:t xml:space="preserve">, las estrategias </w:t>
      </w:r>
      <w:r w:rsidR="00170BDE" w:rsidRPr="00DC6AF3">
        <w:rPr>
          <w:rFonts w:ascii="Times New Roman" w:hAnsi="Times New Roman" w:cs="Times New Roman"/>
          <w:sz w:val="24"/>
          <w:szCs w:val="24"/>
        </w:rPr>
        <w:t>familiares se encuentran condicionadas por el lugar en la estructura social que ocupe el hogar</w:t>
      </w:r>
      <w:r w:rsidR="00315537" w:rsidRPr="00DC6AF3">
        <w:rPr>
          <w:rFonts w:ascii="Times New Roman" w:hAnsi="Times New Roman" w:cs="Times New Roman"/>
          <w:sz w:val="24"/>
          <w:szCs w:val="24"/>
        </w:rPr>
        <w:t xml:space="preserve"> (Torrado, 1982)</w:t>
      </w:r>
      <w:r w:rsidR="00170BDE" w:rsidRPr="00DC6AF3">
        <w:rPr>
          <w:rFonts w:ascii="Times New Roman" w:hAnsi="Times New Roman" w:cs="Times New Roman"/>
          <w:sz w:val="24"/>
          <w:szCs w:val="24"/>
        </w:rPr>
        <w:t xml:space="preserve">. </w:t>
      </w:r>
      <w:r w:rsidR="00315537" w:rsidRPr="00DC6AF3">
        <w:rPr>
          <w:rFonts w:ascii="Times New Roman" w:hAnsi="Times New Roman" w:cs="Times New Roman"/>
          <w:sz w:val="24"/>
          <w:szCs w:val="24"/>
        </w:rPr>
        <w:t>Teniendo estos aspectos en cuenta el</w:t>
      </w:r>
      <w:r w:rsidR="003267DB" w:rsidRPr="00DC6AF3">
        <w:rPr>
          <w:rFonts w:ascii="Times New Roman" w:hAnsi="Times New Roman" w:cs="Times New Roman"/>
          <w:sz w:val="24"/>
          <w:szCs w:val="24"/>
        </w:rPr>
        <w:t xml:space="preserve"> análisis de las distintas dimensiones de la reproducción socioeconómica de los hogares se realizó tomando en cuenta a las desigualdades socio-ocupacionales como principal variable independiente y de clasificación. En este sentido, se considera a la informalidad laboral como un rasgo fundamental de la estructura ocupacional argentina y latinoamericana (Salvia, 2012; Poy, 2020; Salvia, Vera y Poy, 2015). Se asignó al hogar a una posición socio-ocupacional tomando en cuenta la posición del Principal Sostén del Hogar Activo (PSHA), es decir, el miembro del hogar económicamente activo que aporta el mayor monto de ingresos laborales.</w:t>
      </w:r>
      <w:r w:rsidR="00926EF9">
        <w:rPr>
          <w:rFonts w:ascii="Times New Roman" w:hAnsi="Times New Roman" w:cs="Times New Roman"/>
          <w:sz w:val="24"/>
          <w:szCs w:val="24"/>
        </w:rPr>
        <w:t xml:space="preserve"> En el caso de los PSH que se encuentran desocupados</w:t>
      </w:r>
      <w:r w:rsidR="00607206">
        <w:rPr>
          <w:rFonts w:ascii="Times New Roman" w:hAnsi="Times New Roman" w:cs="Times New Roman"/>
          <w:sz w:val="24"/>
          <w:szCs w:val="24"/>
        </w:rPr>
        <w:t xml:space="preserve"> se los clasifica en función de la ocupación anterior. </w:t>
      </w:r>
    </w:p>
    <w:p w14:paraId="65DC742A" w14:textId="69CDF5B5" w:rsidR="00170BDE" w:rsidRPr="00DC6AF3" w:rsidRDefault="00170BDE" w:rsidP="00170BDE">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Para clasificar a los hogares se utilizó una tipología con las siguientes posiciones socio-ocupacionales: 1) </w:t>
      </w:r>
      <w:r w:rsidRPr="00DC6AF3">
        <w:rPr>
          <w:rFonts w:ascii="Times New Roman" w:hAnsi="Times New Roman" w:cs="Times New Roman"/>
          <w:i/>
          <w:iCs/>
          <w:sz w:val="24"/>
          <w:szCs w:val="24"/>
        </w:rPr>
        <w:t>empleadores formales y trabajadores por cuenta propia (TCP) profesionales</w:t>
      </w:r>
      <w:r w:rsidRPr="00DC6AF3">
        <w:rPr>
          <w:rFonts w:ascii="Times New Roman" w:hAnsi="Times New Roman" w:cs="Times New Roman"/>
          <w:sz w:val="24"/>
          <w:szCs w:val="24"/>
        </w:rPr>
        <w:t xml:space="preserve">: operativamente, son los empleadores en establecimientos de más de 5 ocupados y trabajadores por cuenta propia de calificación profesional; 2) </w:t>
      </w:r>
      <w:r w:rsidRPr="00DC6AF3">
        <w:rPr>
          <w:rFonts w:ascii="Times New Roman" w:hAnsi="Times New Roman" w:cs="Times New Roman"/>
          <w:i/>
          <w:iCs/>
          <w:sz w:val="24"/>
          <w:szCs w:val="24"/>
        </w:rPr>
        <w:t>asalariados formales</w:t>
      </w:r>
      <w:r w:rsidRPr="00DC6AF3">
        <w:rPr>
          <w:rFonts w:ascii="Times New Roman" w:hAnsi="Times New Roman" w:cs="Times New Roman"/>
          <w:sz w:val="24"/>
          <w:szCs w:val="24"/>
        </w:rPr>
        <w:t xml:space="preserve">: asalariados a los que les realizan descuento jubilatorio; 3) </w:t>
      </w:r>
      <w:r w:rsidRPr="00DC6AF3">
        <w:rPr>
          <w:rFonts w:ascii="Times New Roman" w:hAnsi="Times New Roman" w:cs="Times New Roman"/>
          <w:i/>
          <w:iCs/>
          <w:sz w:val="24"/>
          <w:szCs w:val="24"/>
        </w:rPr>
        <w:t>microempresarios y TCP informales</w:t>
      </w:r>
      <w:r w:rsidRPr="00DC6AF3">
        <w:rPr>
          <w:rFonts w:ascii="Times New Roman" w:hAnsi="Times New Roman" w:cs="Times New Roman"/>
          <w:sz w:val="24"/>
          <w:szCs w:val="24"/>
        </w:rPr>
        <w:t xml:space="preserve">: empleadores en establecimientos de hasta 5 ocupados y trabajadores por cuenta propia sin calificación profesional; 4) </w:t>
      </w:r>
      <w:r w:rsidRPr="00DC6AF3">
        <w:rPr>
          <w:rFonts w:ascii="Times New Roman" w:hAnsi="Times New Roman" w:cs="Times New Roman"/>
          <w:i/>
          <w:iCs/>
          <w:sz w:val="24"/>
          <w:szCs w:val="24"/>
        </w:rPr>
        <w:t>asalariados informales</w:t>
      </w:r>
      <w:r w:rsidRPr="00DC6AF3">
        <w:rPr>
          <w:rFonts w:ascii="Times New Roman" w:hAnsi="Times New Roman" w:cs="Times New Roman"/>
          <w:sz w:val="24"/>
          <w:szCs w:val="24"/>
        </w:rPr>
        <w:t>: asalariados a los que no se les realiza descuento jubilatorio</w:t>
      </w:r>
      <w:r w:rsidR="00D64429" w:rsidRPr="00DC6AF3">
        <w:rPr>
          <w:rFonts w:ascii="Times New Roman" w:hAnsi="Times New Roman" w:cs="Times New Roman"/>
          <w:sz w:val="24"/>
          <w:szCs w:val="24"/>
          <w:lang w:val="es-ES"/>
        </w:rPr>
        <w:t xml:space="preserve">; </w:t>
      </w:r>
      <w:r w:rsidR="00D64429" w:rsidRPr="00DC6AF3">
        <w:rPr>
          <w:rFonts w:ascii="Times New Roman" w:hAnsi="Times New Roman" w:cs="Times New Roman"/>
          <w:sz w:val="24"/>
          <w:szCs w:val="24"/>
        </w:rPr>
        <w:t>5)</w:t>
      </w:r>
      <w:r w:rsidR="00EE46A1" w:rsidRPr="00DC6AF3">
        <w:rPr>
          <w:rFonts w:ascii="Times New Roman" w:hAnsi="Times New Roman" w:cs="Times New Roman"/>
          <w:sz w:val="24"/>
          <w:szCs w:val="24"/>
        </w:rPr>
        <w:t xml:space="preserve"> </w:t>
      </w:r>
      <w:r w:rsidR="00EE46A1" w:rsidRPr="00DC6AF3">
        <w:rPr>
          <w:rFonts w:ascii="Times New Roman" w:hAnsi="Times New Roman" w:cs="Times New Roman"/>
          <w:i/>
          <w:iCs/>
          <w:sz w:val="24"/>
          <w:szCs w:val="24"/>
        </w:rPr>
        <w:t xml:space="preserve">Desocupados sin ocupación anterior e </w:t>
      </w:r>
      <w:r w:rsidR="00967BB6">
        <w:rPr>
          <w:rFonts w:ascii="Times New Roman" w:hAnsi="Times New Roman" w:cs="Times New Roman"/>
          <w:i/>
          <w:iCs/>
          <w:sz w:val="24"/>
          <w:szCs w:val="24"/>
        </w:rPr>
        <w:t>i</w:t>
      </w:r>
      <w:r w:rsidR="004965A8" w:rsidRPr="00DC6AF3">
        <w:rPr>
          <w:rFonts w:ascii="Times New Roman" w:hAnsi="Times New Roman" w:cs="Times New Roman"/>
          <w:i/>
          <w:iCs/>
          <w:sz w:val="24"/>
          <w:szCs w:val="24"/>
        </w:rPr>
        <w:t>nactivos no jubilados ni pensionados</w:t>
      </w:r>
      <w:r w:rsidR="00FF0ADC">
        <w:rPr>
          <w:rFonts w:ascii="Times New Roman" w:hAnsi="Times New Roman" w:cs="Times New Roman"/>
          <w:sz w:val="24"/>
          <w:szCs w:val="24"/>
          <w:lang w:val="es-MX"/>
        </w:rPr>
        <w:t xml:space="preserve">. </w:t>
      </w:r>
      <w:r w:rsidRPr="00DC6AF3">
        <w:rPr>
          <w:rFonts w:ascii="Times New Roman" w:hAnsi="Times New Roman" w:cs="Times New Roman"/>
          <w:sz w:val="24"/>
          <w:szCs w:val="24"/>
        </w:rPr>
        <w:t>Esta tipología es una versión simplificada de la empleada actualmente por la OIT (</w:t>
      </w:r>
      <w:proofErr w:type="spellStart"/>
      <w:r w:rsidRPr="00DC6AF3">
        <w:rPr>
          <w:rFonts w:ascii="Times New Roman" w:hAnsi="Times New Roman" w:cs="Times New Roman"/>
          <w:sz w:val="24"/>
          <w:szCs w:val="24"/>
        </w:rPr>
        <w:t>Hussmanns</w:t>
      </w:r>
      <w:proofErr w:type="spellEnd"/>
      <w:r w:rsidRPr="00DC6AF3">
        <w:rPr>
          <w:rFonts w:ascii="Times New Roman" w:hAnsi="Times New Roman" w:cs="Times New Roman"/>
          <w:sz w:val="24"/>
          <w:szCs w:val="24"/>
        </w:rPr>
        <w:t xml:space="preserve">, 2004) y la utilizamos por su capacidad para ordenar adecuadamente a los hogares en términos socioeconómicos (Poy et al., 2021). </w:t>
      </w:r>
    </w:p>
    <w:p w14:paraId="389169CA" w14:textId="2C78229B" w:rsidR="00F54248" w:rsidRPr="00DC6AF3" w:rsidRDefault="76E3AB01" w:rsidP="00C239E4">
      <w:pPr>
        <w:pStyle w:val="Ttulo2"/>
        <w:rPr>
          <w:rFonts w:ascii="Times New Roman" w:hAnsi="Times New Roman" w:cs="Times New Roman"/>
        </w:rPr>
      </w:pPr>
      <w:bookmarkStart w:id="3" w:name="_Toc107868456"/>
      <w:r w:rsidRPr="00DC6AF3">
        <w:rPr>
          <w:rFonts w:ascii="Times New Roman" w:hAnsi="Times New Roman" w:cs="Times New Roman"/>
        </w:rPr>
        <w:t>Resultados y análisis</w:t>
      </w:r>
      <w:bookmarkEnd w:id="3"/>
    </w:p>
    <w:p w14:paraId="2439E55C" w14:textId="3155CBA3" w:rsidR="00DF41AE" w:rsidRDefault="4C001CDC" w:rsidP="00244029">
      <w:pPr>
        <w:spacing w:line="360" w:lineRule="auto"/>
        <w:jc w:val="both"/>
        <w:rPr>
          <w:rFonts w:ascii="Times New Roman" w:eastAsia="Calibri" w:hAnsi="Times New Roman" w:cs="Times New Roman"/>
          <w:sz w:val="24"/>
          <w:szCs w:val="24"/>
        </w:rPr>
      </w:pPr>
      <w:r w:rsidRPr="00DC6AF3">
        <w:rPr>
          <w:rFonts w:ascii="Times New Roman" w:eastAsia="Calibri" w:hAnsi="Times New Roman" w:cs="Times New Roman"/>
          <w:sz w:val="24"/>
          <w:szCs w:val="24"/>
        </w:rPr>
        <w:t xml:space="preserve">El cuadro 2 exhibe cómo se comportaron los principales indicadores, tanto demográficos como de ingresos, entre el 2019 y el 2021. En términos generales podemos notar que el número de </w:t>
      </w:r>
      <w:r w:rsidRPr="00DC6AF3">
        <w:rPr>
          <w:rFonts w:ascii="Times New Roman" w:eastAsia="Calibri" w:hAnsi="Times New Roman" w:cs="Times New Roman"/>
          <w:sz w:val="24"/>
          <w:szCs w:val="24"/>
        </w:rPr>
        <w:lastRenderedPageBreak/>
        <w:t>componentes no vio afectado su ritmo normal de crecimiento. Entre el 2019 y el 2020 hubo una disminución del ingreso per cápita familiar de un 16,7% a nivel general de todos los hogares. Esta caída se puede explicar en parte por la reducción del número de ocupados por hogar y del número de perceptores laborales</w:t>
      </w:r>
      <w:r w:rsidR="008F14A6">
        <w:rPr>
          <w:rFonts w:ascii="Times New Roman" w:eastAsia="Calibri" w:hAnsi="Times New Roman" w:cs="Times New Roman"/>
          <w:sz w:val="24"/>
          <w:szCs w:val="24"/>
        </w:rPr>
        <w:t xml:space="preserve"> los cuales</w:t>
      </w:r>
      <w:r w:rsidRPr="00DC6AF3">
        <w:rPr>
          <w:rFonts w:ascii="Times New Roman" w:eastAsia="Calibri" w:hAnsi="Times New Roman" w:cs="Times New Roman"/>
          <w:sz w:val="24"/>
          <w:szCs w:val="24"/>
        </w:rPr>
        <w:t xml:space="preserve"> son dos de los principales factores explicativos a la hora de analizar los ingresos del hogar. Asimismo, el número de perceptores no laborales aumento de 1,24 a 1,32 entre el año 2019 y </w:t>
      </w:r>
      <w:r w:rsidR="001026B7">
        <w:rPr>
          <w:rFonts w:ascii="Times New Roman" w:eastAsia="Calibri" w:hAnsi="Times New Roman" w:cs="Times New Roman"/>
          <w:sz w:val="24"/>
          <w:szCs w:val="24"/>
        </w:rPr>
        <w:t xml:space="preserve">el </w:t>
      </w:r>
      <w:r w:rsidRPr="00DC6AF3">
        <w:rPr>
          <w:rFonts w:ascii="Times New Roman" w:eastAsia="Calibri" w:hAnsi="Times New Roman" w:cs="Times New Roman"/>
          <w:sz w:val="24"/>
          <w:szCs w:val="24"/>
        </w:rPr>
        <w:t xml:space="preserve">2020. Esto puede explicarse por las políticas sociales de transferencia que tuvieron lugar en </w:t>
      </w:r>
      <w:r w:rsidR="001026B7">
        <w:rPr>
          <w:rFonts w:ascii="Times New Roman" w:eastAsia="Calibri" w:hAnsi="Times New Roman" w:cs="Times New Roman"/>
          <w:sz w:val="24"/>
          <w:szCs w:val="24"/>
        </w:rPr>
        <w:t>ese último año</w:t>
      </w:r>
      <w:r w:rsidRPr="00DC6AF3">
        <w:rPr>
          <w:rFonts w:ascii="Times New Roman" w:eastAsia="Calibri" w:hAnsi="Times New Roman" w:cs="Times New Roman"/>
          <w:sz w:val="24"/>
          <w:szCs w:val="24"/>
        </w:rPr>
        <w:t xml:space="preserve">, como el IFE. Otro de los efectos paralelos fue la caída en las horas trabajadas </w:t>
      </w:r>
      <w:r w:rsidR="002B6897">
        <w:rPr>
          <w:rFonts w:ascii="Times New Roman" w:eastAsia="Calibri" w:hAnsi="Times New Roman" w:cs="Times New Roman"/>
          <w:sz w:val="24"/>
          <w:szCs w:val="24"/>
        </w:rPr>
        <w:t xml:space="preserve">por el principal sostén </w:t>
      </w:r>
      <w:r w:rsidRPr="00DC6AF3">
        <w:rPr>
          <w:rFonts w:ascii="Times New Roman" w:eastAsia="Calibri" w:hAnsi="Times New Roman" w:cs="Times New Roman"/>
          <w:sz w:val="24"/>
          <w:szCs w:val="24"/>
        </w:rPr>
        <w:t>por hogar, cayendo casi 10 horas</w:t>
      </w:r>
      <w:r w:rsidR="002B6897">
        <w:rPr>
          <w:rFonts w:ascii="Times New Roman" w:eastAsia="Calibri" w:hAnsi="Times New Roman" w:cs="Times New Roman"/>
          <w:sz w:val="24"/>
          <w:szCs w:val="24"/>
        </w:rPr>
        <w:t xml:space="preserve"> en promedio</w:t>
      </w:r>
      <w:r w:rsidRPr="00DC6AF3">
        <w:rPr>
          <w:rFonts w:ascii="Times New Roman" w:eastAsia="Calibri" w:hAnsi="Times New Roman" w:cs="Times New Roman"/>
          <w:sz w:val="24"/>
          <w:szCs w:val="24"/>
        </w:rPr>
        <w:t xml:space="preserve">. Asimismo, uno de los principales efectos de la crisis provocada por el Covid-19 fue el aumento del déficit de capacidades de subsistencia de los hogares, el cual tuvo un incremento de 7 </w:t>
      </w:r>
      <w:proofErr w:type="spellStart"/>
      <w:r w:rsidRPr="00DC6AF3">
        <w:rPr>
          <w:rFonts w:ascii="Times New Roman" w:eastAsia="Calibri" w:hAnsi="Times New Roman" w:cs="Times New Roman"/>
          <w:sz w:val="24"/>
          <w:szCs w:val="24"/>
        </w:rPr>
        <w:t>pp</w:t>
      </w:r>
      <w:proofErr w:type="spellEnd"/>
      <w:r w:rsidRPr="00DC6AF3">
        <w:rPr>
          <w:rFonts w:ascii="Times New Roman" w:eastAsia="Calibri" w:hAnsi="Times New Roman" w:cs="Times New Roman"/>
          <w:sz w:val="24"/>
          <w:szCs w:val="24"/>
        </w:rPr>
        <w:t xml:space="preserve"> entre el 2019 y el 2021. </w:t>
      </w:r>
    </w:p>
    <w:tbl>
      <w:tblPr>
        <w:tblW w:w="9741" w:type="dxa"/>
        <w:tblLook w:val="04A0" w:firstRow="1" w:lastRow="0" w:firstColumn="1" w:lastColumn="0" w:noHBand="0" w:noVBand="1"/>
      </w:tblPr>
      <w:tblGrid>
        <w:gridCol w:w="2643"/>
        <w:gridCol w:w="2366"/>
        <w:gridCol w:w="2366"/>
        <w:gridCol w:w="2366"/>
      </w:tblGrid>
      <w:tr w:rsidR="00E61414" w:rsidRPr="00DC6AF3" w14:paraId="60A90A1D" w14:textId="77777777" w:rsidTr="00662E4A">
        <w:trPr>
          <w:trHeight w:val="325"/>
        </w:trPr>
        <w:tc>
          <w:tcPr>
            <w:tcW w:w="9741" w:type="dxa"/>
            <w:gridSpan w:val="4"/>
            <w:tcBorders>
              <w:bottom w:val="single" w:sz="4" w:space="0" w:color="auto"/>
            </w:tcBorders>
            <w:shd w:val="clear" w:color="auto" w:fill="auto"/>
            <w:vAlign w:val="bottom"/>
          </w:tcPr>
          <w:p w14:paraId="02ADCD49" w14:textId="3D949BD0" w:rsidR="00E61414" w:rsidRPr="00DC6AF3" w:rsidRDefault="00E61414" w:rsidP="00FE0062">
            <w:pPr>
              <w:keepNext/>
              <w:spacing w:before="120" w:after="120" w:line="240" w:lineRule="auto"/>
              <w:jc w:val="both"/>
              <w:rPr>
                <w:rFonts w:ascii="Times New Roman" w:hAnsi="Times New Roman" w:cs="Times New Roman"/>
                <w:i/>
                <w:iCs/>
                <w:lang w:val="es-ES"/>
              </w:rPr>
            </w:pPr>
            <w:r w:rsidRPr="00DC6AF3">
              <w:rPr>
                <w:rFonts w:ascii="Times New Roman" w:hAnsi="Times New Roman" w:cs="Times New Roman"/>
                <w:b/>
                <w:bCs/>
              </w:rPr>
              <w:t xml:space="preserve">Cuadro </w:t>
            </w:r>
            <w:r w:rsidR="002F2CE7">
              <w:rPr>
                <w:rFonts w:ascii="Times New Roman" w:hAnsi="Times New Roman" w:cs="Times New Roman"/>
                <w:b/>
                <w:bCs/>
              </w:rPr>
              <w:t>0</w:t>
            </w:r>
            <w:r w:rsidRPr="00DC6AF3">
              <w:rPr>
                <w:rFonts w:ascii="Times New Roman" w:hAnsi="Times New Roman" w:cs="Times New Roman"/>
                <w:b/>
                <w:bCs/>
              </w:rPr>
              <w:t>2. Estadísticas descriptivas de las capacidades de reproducción económica de los hogares</w:t>
            </w:r>
            <w:r w:rsidRPr="00DC6AF3">
              <w:rPr>
                <w:rFonts w:ascii="Times New Roman" w:hAnsi="Times New Roman" w:cs="Times New Roman"/>
                <w:i/>
                <w:iCs/>
              </w:rPr>
              <w:t xml:space="preserve">. </w:t>
            </w:r>
          </w:p>
        </w:tc>
      </w:tr>
      <w:tr w:rsidR="00E61414" w:rsidRPr="00DC6AF3" w14:paraId="2F63630E" w14:textId="77777777" w:rsidTr="00662E4A">
        <w:trPr>
          <w:trHeight w:val="325"/>
        </w:trPr>
        <w:tc>
          <w:tcPr>
            <w:tcW w:w="2643" w:type="dxa"/>
            <w:tcBorders>
              <w:top w:val="single" w:sz="4" w:space="0" w:color="auto"/>
              <w:left w:val="single" w:sz="4" w:space="0" w:color="auto"/>
              <w:bottom w:val="single" w:sz="4" w:space="0" w:color="auto"/>
            </w:tcBorders>
            <w:shd w:val="clear" w:color="auto" w:fill="auto"/>
            <w:vAlign w:val="bottom"/>
            <w:hideMark/>
          </w:tcPr>
          <w:p w14:paraId="4FF5D4E6" w14:textId="77777777" w:rsidR="00E61414" w:rsidRPr="00DC6AF3" w:rsidRDefault="00E61414" w:rsidP="00FE0062">
            <w:pPr>
              <w:spacing w:after="0" w:line="240" w:lineRule="auto"/>
              <w:jc w:val="both"/>
              <w:rPr>
                <w:rFonts w:ascii="Times New Roman" w:eastAsia="Times New Roman" w:hAnsi="Times New Roman" w:cs="Times New Roman"/>
                <w:color w:val="993300"/>
                <w:sz w:val="18"/>
                <w:szCs w:val="18"/>
              </w:rPr>
            </w:pPr>
            <w:r w:rsidRPr="00DC6AF3">
              <w:rPr>
                <w:rFonts w:ascii="Times New Roman" w:eastAsia="Times New Roman" w:hAnsi="Times New Roman" w:cs="Times New Roman"/>
                <w:color w:val="993300"/>
                <w:sz w:val="18"/>
                <w:szCs w:val="18"/>
              </w:rPr>
              <w:t> </w:t>
            </w:r>
          </w:p>
        </w:tc>
        <w:tc>
          <w:tcPr>
            <w:tcW w:w="2366" w:type="dxa"/>
            <w:tcBorders>
              <w:top w:val="single" w:sz="4" w:space="0" w:color="auto"/>
              <w:bottom w:val="single" w:sz="4" w:space="0" w:color="auto"/>
            </w:tcBorders>
            <w:shd w:val="clear" w:color="auto" w:fill="auto"/>
            <w:vAlign w:val="bottom"/>
            <w:hideMark/>
          </w:tcPr>
          <w:p w14:paraId="24F56EA6"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2019 IIIT</w:t>
            </w:r>
          </w:p>
        </w:tc>
        <w:tc>
          <w:tcPr>
            <w:tcW w:w="2366" w:type="dxa"/>
            <w:tcBorders>
              <w:top w:val="single" w:sz="4" w:space="0" w:color="auto"/>
              <w:bottom w:val="single" w:sz="4" w:space="0" w:color="auto"/>
            </w:tcBorders>
            <w:shd w:val="clear" w:color="auto" w:fill="auto"/>
            <w:vAlign w:val="bottom"/>
            <w:hideMark/>
          </w:tcPr>
          <w:p w14:paraId="76A289C7"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2020 IIIT</w:t>
            </w:r>
          </w:p>
        </w:tc>
        <w:tc>
          <w:tcPr>
            <w:tcW w:w="2366" w:type="dxa"/>
            <w:tcBorders>
              <w:top w:val="single" w:sz="4" w:space="0" w:color="auto"/>
              <w:bottom w:val="single" w:sz="4" w:space="0" w:color="auto"/>
              <w:right w:val="single" w:sz="4" w:space="0" w:color="auto"/>
            </w:tcBorders>
            <w:shd w:val="clear" w:color="auto" w:fill="auto"/>
            <w:vAlign w:val="bottom"/>
            <w:hideMark/>
          </w:tcPr>
          <w:p w14:paraId="548C8F54"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2021 IIIT</w:t>
            </w:r>
          </w:p>
        </w:tc>
      </w:tr>
      <w:tr w:rsidR="00E61414" w:rsidRPr="00DC6AF3" w14:paraId="3A96B8A0" w14:textId="77777777" w:rsidTr="00662E4A">
        <w:trPr>
          <w:trHeight w:val="567"/>
        </w:trPr>
        <w:tc>
          <w:tcPr>
            <w:tcW w:w="2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DBEC40"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Número de componentes por hogar</w:t>
            </w:r>
          </w:p>
        </w:tc>
        <w:tc>
          <w:tcPr>
            <w:tcW w:w="2366" w:type="dxa"/>
            <w:tcBorders>
              <w:top w:val="single" w:sz="4" w:space="0" w:color="auto"/>
              <w:left w:val="nil"/>
              <w:bottom w:val="single" w:sz="4" w:space="0" w:color="auto"/>
              <w:right w:val="single" w:sz="4" w:space="0" w:color="auto"/>
            </w:tcBorders>
            <w:shd w:val="clear" w:color="auto" w:fill="auto"/>
            <w:noWrap/>
            <w:hideMark/>
          </w:tcPr>
          <w:p w14:paraId="1A0316C3"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3.26</w:t>
            </w:r>
          </w:p>
        </w:tc>
        <w:tc>
          <w:tcPr>
            <w:tcW w:w="2366" w:type="dxa"/>
            <w:tcBorders>
              <w:top w:val="single" w:sz="4" w:space="0" w:color="auto"/>
              <w:left w:val="nil"/>
              <w:bottom w:val="single" w:sz="4" w:space="0" w:color="auto"/>
              <w:right w:val="single" w:sz="4" w:space="0" w:color="auto"/>
            </w:tcBorders>
            <w:shd w:val="clear" w:color="auto" w:fill="auto"/>
            <w:noWrap/>
            <w:hideMark/>
          </w:tcPr>
          <w:p w14:paraId="038D0392"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3.34</w:t>
            </w:r>
          </w:p>
        </w:tc>
        <w:tc>
          <w:tcPr>
            <w:tcW w:w="2366" w:type="dxa"/>
            <w:tcBorders>
              <w:top w:val="single" w:sz="4" w:space="0" w:color="auto"/>
              <w:left w:val="nil"/>
              <w:bottom w:val="single" w:sz="4" w:space="0" w:color="auto"/>
              <w:right w:val="single" w:sz="4" w:space="0" w:color="auto"/>
            </w:tcBorders>
            <w:shd w:val="clear" w:color="auto" w:fill="auto"/>
            <w:noWrap/>
            <w:hideMark/>
          </w:tcPr>
          <w:p w14:paraId="53CEAB84"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3.34</w:t>
            </w:r>
          </w:p>
        </w:tc>
      </w:tr>
      <w:tr w:rsidR="00E61414" w:rsidRPr="00DC6AF3" w14:paraId="11F3E803" w14:textId="77777777" w:rsidTr="00662E4A">
        <w:trPr>
          <w:trHeight w:val="567"/>
        </w:trPr>
        <w:tc>
          <w:tcPr>
            <w:tcW w:w="2643" w:type="dxa"/>
            <w:tcBorders>
              <w:top w:val="nil"/>
              <w:left w:val="single" w:sz="4" w:space="0" w:color="auto"/>
              <w:bottom w:val="single" w:sz="4" w:space="0" w:color="auto"/>
              <w:right w:val="single" w:sz="4" w:space="0" w:color="auto"/>
            </w:tcBorders>
            <w:shd w:val="clear" w:color="auto" w:fill="FFFFFF" w:themeFill="background1"/>
            <w:hideMark/>
          </w:tcPr>
          <w:p w14:paraId="4335AB84"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Ingreso per cápita familiar (en pesos del 2021)</w:t>
            </w:r>
          </w:p>
        </w:tc>
        <w:tc>
          <w:tcPr>
            <w:tcW w:w="2366" w:type="dxa"/>
            <w:tcBorders>
              <w:top w:val="nil"/>
              <w:left w:val="nil"/>
              <w:bottom w:val="single" w:sz="4" w:space="0" w:color="auto"/>
              <w:right w:val="single" w:sz="4" w:space="0" w:color="auto"/>
            </w:tcBorders>
            <w:shd w:val="clear" w:color="auto" w:fill="auto"/>
            <w:noWrap/>
            <w:hideMark/>
          </w:tcPr>
          <w:p w14:paraId="7D01B52D"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35963.79</w:t>
            </w:r>
          </w:p>
        </w:tc>
        <w:tc>
          <w:tcPr>
            <w:tcW w:w="2366" w:type="dxa"/>
            <w:tcBorders>
              <w:top w:val="nil"/>
              <w:left w:val="nil"/>
              <w:bottom w:val="single" w:sz="4" w:space="0" w:color="auto"/>
              <w:right w:val="single" w:sz="4" w:space="0" w:color="auto"/>
            </w:tcBorders>
            <w:shd w:val="clear" w:color="auto" w:fill="auto"/>
            <w:noWrap/>
            <w:hideMark/>
          </w:tcPr>
          <w:p w14:paraId="45907177"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29954.52</w:t>
            </w:r>
          </w:p>
        </w:tc>
        <w:tc>
          <w:tcPr>
            <w:tcW w:w="2366" w:type="dxa"/>
            <w:tcBorders>
              <w:top w:val="nil"/>
              <w:left w:val="nil"/>
              <w:bottom w:val="single" w:sz="4" w:space="0" w:color="auto"/>
              <w:right w:val="single" w:sz="4" w:space="0" w:color="auto"/>
            </w:tcBorders>
            <w:shd w:val="clear" w:color="auto" w:fill="auto"/>
            <w:noWrap/>
            <w:hideMark/>
          </w:tcPr>
          <w:p w14:paraId="515DAE48"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30835.13</w:t>
            </w:r>
          </w:p>
        </w:tc>
      </w:tr>
      <w:tr w:rsidR="00E61414" w:rsidRPr="00DC6AF3" w14:paraId="5D38E995" w14:textId="77777777" w:rsidTr="00662E4A">
        <w:trPr>
          <w:trHeight w:val="567"/>
        </w:trPr>
        <w:tc>
          <w:tcPr>
            <w:tcW w:w="2643" w:type="dxa"/>
            <w:tcBorders>
              <w:top w:val="nil"/>
              <w:left w:val="single" w:sz="4" w:space="0" w:color="auto"/>
              <w:bottom w:val="single" w:sz="4" w:space="0" w:color="auto"/>
              <w:right w:val="single" w:sz="4" w:space="0" w:color="auto"/>
            </w:tcBorders>
            <w:shd w:val="clear" w:color="auto" w:fill="FFFFFF" w:themeFill="background1"/>
            <w:hideMark/>
          </w:tcPr>
          <w:p w14:paraId="55186520"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Número de ocupados por hogar</w:t>
            </w:r>
          </w:p>
        </w:tc>
        <w:tc>
          <w:tcPr>
            <w:tcW w:w="2366" w:type="dxa"/>
            <w:tcBorders>
              <w:top w:val="nil"/>
              <w:left w:val="nil"/>
              <w:bottom w:val="single" w:sz="4" w:space="0" w:color="auto"/>
              <w:right w:val="single" w:sz="4" w:space="0" w:color="auto"/>
            </w:tcBorders>
            <w:shd w:val="clear" w:color="auto" w:fill="auto"/>
            <w:noWrap/>
            <w:hideMark/>
          </w:tcPr>
          <w:p w14:paraId="23EC52A5"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1.56</w:t>
            </w:r>
          </w:p>
        </w:tc>
        <w:tc>
          <w:tcPr>
            <w:tcW w:w="2366" w:type="dxa"/>
            <w:tcBorders>
              <w:top w:val="nil"/>
              <w:left w:val="nil"/>
              <w:bottom w:val="single" w:sz="4" w:space="0" w:color="auto"/>
              <w:right w:val="single" w:sz="4" w:space="0" w:color="auto"/>
            </w:tcBorders>
            <w:shd w:val="clear" w:color="auto" w:fill="auto"/>
            <w:noWrap/>
            <w:hideMark/>
          </w:tcPr>
          <w:p w14:paraId="3C2B4B80"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1.41</w:t>
            </w:r>
          </w:p>
        </w:tc>
        <w:tc>
          <w:tcPr>
            <w:tcW w:w="2366" w:type="dxa"/>
            <w:tcBorders>
              <w:top w:val="nil"/>
              <w:left w:val="nil"/>
              <w:bottom w:val="single" w:sz="4" w:space="0" w:color="auto"/>
              <w:right w:val="single" w:sz="4" w:space="0" w:color="auto"/>
            </w:tcBorders>
            <w:shd w:val="clear" w:color="auto" w:fill="auto"/>
            <w:noWrap/>
            <w:hideMark/>
          </w:tcPr>
          <w:p w14:paraId="63FC32E2"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1.59</w:t>
            </w:r>
          </w:p>
        </w:tc>
      </w:tr>
      <w:tr w:rsidR="00E61414" w:rsidRPr="00DC6AF3" w14:paraId="7AC52F9D" w14:textId="77777777" w:rsidTr="00662E4A">
        <w:trPr>
          <w:trHeight w:val="567"/>
        </w:trPr>
        <w:tc>
          <w:tcPr>
            <w:tcW w:w="2643" w:type="dxa"/>
            <w:tcBorders>
              <w:top w:val="nil"/>
              <w:left w:val="single" w:sz="4" w:space="0" w:color="auto"/>
              <w:bottom w:val="single" w:sz="4" w:space="0" w:color="auto"/>
              <w:right w:val="single" w:sz="4" w:space="0" w:color="auto"/>
            </w:tcBorders>
            <w:shd w:val="clear" w:color="auto" w:fill="FFFFFF" w:themeFill="background1"/>
            <w:hideMark/>
          </w:tcPr>
          <w:p w14:paraId="6B65DF07"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Número de perceptores laborales por hogar</w:t>
            </w:r>
          </w:p>
        </w:tc>
        <w:tc>
          <w:tcPr>
            <w:tcW w:w="2366" w:type="dxa"/>
            <w:tcBorders>
              <w:top w:val="nil"/>
              <w:left w:val="nil"/>
              <w:bottom w:val="single" w:sz="4" w:space="0" w:color="auto"/>
              <w:right w:val="single" w:sz="4" w:space="0" w:color="auto"/>
            </w:tcBorders>
            <w:shd w:val="clear" w:color="auto" w:fill="auto"/>
            <w:noWrap/>
            <w:hideMark/>
          </w:tcPr>
          <w:p w14:paraId="3E2A10F2"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1.55</w:t>
            </w:r>
          </w:p>
        </w:tc>
        <w:tc>
          <w:tcPr>
            <w:tcW w:w="2366" w:type="dxa"/>
            <w:tcBorders>
              <w:top w:val="nil"/>
              <w:left w:val="nil"/>
              <w:bottom w:val="single" w:sz="4" w:space="0" w:color="auto"/>
              <w:right w:val="single" w:sz="4" w:space="0" w:color="auto"/>
            </w:tcBorders>
            <w:shd w:val="clear" w:color="auto" w:fill="auto"/>
            <w:noWrap/>
            <w:hideMark/>
          </w:tcPr>
          <w:p w14:paraId="6ED8E210"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1.39</w:t>
            </w:r>
          </w:p>
        </w:tc>
        <w:tc>
          <w:tcPr>
            <w:tcW w:w="2366" w:type="dxa"/>
            <w:tcBorders>
              <w:top w:val="nil"/>
              <w:left w:val="nil"/>
              <w:bottom w:val="single" w:sz="4" w:space="0" w:color="auto"/>
              <w:right w:val="single" w:sz="4" w:space="0" w:color="auto"/>
            </w:tcBorders>
            <w:shd w:val="clear" w:color="auto" w:fill="auto"/>
            <w:noWrap/>
            <w:hideMark/>
          </w:tcPr>
          <w:p w14:paraId="11656AF7"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1.56</w:t>
            </w:r>
          </w:p>
        </w:tc>
      </w:tr>
      <w:tr w:rsidR="00E61414" w:rsidRPr="00DC6AF3" w14:paraId="74B86D57" w14:textId="77777777" w:rsidTr="00662E4A">
        <w:trPr>
          <w:trHeight w:val="567"/>
        </w:trPr>
        <w:tc>
          <w:tcPr>
            <w:tcW w:w="26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C0887A"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Número de perceptores no laborales por hogar</w:t>
            </w:r>
          </w:p>
        </w:tc>
        <w:tc>
          <w:tcPr>
            <w:tcW w:w="2366" w:type="dxa"/>
            <w:tcBorders>
              <w:top w:val="single" w:sz="4" w:space="0" w:color="auto"/>
              <w:left w:val="single" w:sz="4" w:space="0" w:color="auto"/>
              <w:bottom w:val="single" w:sz="4" w:space="0" w:color="auto"/>
              <w:right w:val="single" w:sz="4" w:space="0" w:color="auto"/>
            </w:tcBorders>
            <w:shd w:val="clear" w:color="auto" w:fill="auto"/>
            <w:noWrap/>
            <w:hideMark/>
          </w:tcPr>
          <w:p w14:paraId="6A40A6A1" w14:textId="77777777" w:rsidR="00E61414" w:rsidRPr="00DC6AF3" w:rsidRDefault="00E61414" w:rsidP="00FE0062">
            <w:pPr>
              <w:spacing w:after="0" w:line="240" w:lineRule="auto"/>
              <w:jc w:val="both"/>
              <w:rPr>
                <w:rFonts w:ascii="Times New Roman" w:hAnsi="Times New Roman" w:cs="Times New Roman"/>
              </w:rPr>
            </w:pPr>
            <w:r w:rsidRPr="00DC6AF3">
              <w:rPr>
                <w:rFonts w:ascii="Times New Roman" w:hAnsi="Times New Roman" w:cs="Times New Roman"/>
              </w:rPr>
              <w:t>1.24</w:t>
            </w:r>
          </w:p>
        </w:tc>
        <w:tc>
          <w:tcPr>
            <w:tcW w:w="2366" w:type="dxa"/>
            <w:tcBorders>
              <w:top w:val="single" w:sz="4" w:space="0" w:color="auto"/>
              <w:left w:val="nil"/>
              <w:bottom w:val="single" w:sz="4" w:space="0" w:color="auto"/>
              <w:right w:val="single" w:sz="4" w:space="0" w:color="auto"/>
            </w:tcBorders>
            <w:shd w:val="clear" w:color="auto" w:fill="auto"/>
            <w:noWrap/>
            <w:hideMark/>
          </w:tcPr>
          <w:p w14:paraId="4D45677F" w14:textId="77777777" w:rsidR="00E61414" w:rsidRPr="00DC6AF3" w:rsidRDefault="00E61414" w:rsidP="00FE0062">
            <w:pPr>
              <w:spacing w:after="0" w:line="240" w:lineRule="auto"/>
              <w:jc w:val="both"/>
              <w:rPr>
                <w:rFonts w:ascii="Times New Roman" w:hAnsi="Times New Roman" w:cs="Times New Roman"/>
              </w:rPr>
            </w:pPr>
            <w:r w:rsidRPr="00DC6AF3">
              <w:rPr>
                <w:rFonts w:ascii="Times New Roman" w:hAnsi="Times New Roman" w:cs="Times New Roman"/>
              </w:rPr>
              <w:t>1.32</w:t>
            </w:r>
          </w:p>
        </w:tc>
        <w:tc>
          <w:tcPr>
            <w:tcW w:w="2366" w:type="dxa"/>
            <w:tcBorders>
              <w:top w:val="single" w:sz="4" w:space="0" w:color="auto"/>
              <w:left w:val="nil"/>
              <w:bottom w:val="single" w:sz="4" w:space="0" w:color="auto"/>
              <w:right w:val="single" w:sz="4" w:space="0" w:color="auto"/>
            </w:tcBorders>
            <w:shd w:val="clear" w:color="auto" w:fill="auto"/>
            <w:noWrap/>
            <w:hideMark/>
          </w:tcPr>
          <w:p w14:paraId="7AA05A62" w14:textId="77777777" w:rsidR="00E61414" w:rsidRPr="00DC6AF3" w:rsidRDefault="00E61414" w:rsidP="00FE0062">
            <w:pPr>
              <w:spacing w:after="0" w:line="240" w:lineRule="auto"/>
              <w:jc w:val="both"/>
              <w:rPr>
                <w:rFonts w:ascii="Times New Roman" w:eastAsia="Times New Roman" w:hAnsi="Times New Roman" w:cs="Times New Roman"/>
                <w:color w:val="000000"/>
                <w:sz w:val="18"/>
                <w:szCs w:val="18"/>
              </w:rPr>
            </w:pPr>
            <w:r w:rsidRPr="00DC6AF3">
              <w:rPr>
                <w:rFonts w:ascii="Times New Roman" w:hAnsi="Times New Roman" w:cs="Times New Roman"/>
              </w:rPr>
              <w:t>1.25</w:t>
            </w:r>
          </w:p>
        </w:tc>
      </w:tr>
      <w:tr w:rsidR="00E61414" w:rsidRPr="00DC6AF3" w14:paraId="33572FE1" w14:textId="77777777" w:rsidTr="00662E4A">
        <w:trPr>
          <w:trHeight w:val="567"/>
        </w:trPr>
        <w:tc>
          <w:tcPr>
            <w:tcW w:w="2643" w:type="dxa"/>
            <w:tcBorders>
              <w:top w:val="single" w:sz="4" w:space="0" w:color="auto"/>
              <w:left w:val="single" w:sz="4" w:space="0" w:color="auto"/>
              <w:bottom w:val="single" w:sz="4" w:space="0" w:color="auto"/>
              <w:right w:val="single" w:sz="4" w:space="0" w:color="auto"/>
            </w:tcBorders>
            <w:shd w:val="clear" w:color="auto" w:fill="FFFFFF" w:themeFill="background1"/>
          </w:tcPr>
          <w:p w14:paraId="624799AA" w14:textId="77777777" w:rsidR="00E61414" w:rsidRPr="00DC6AF3" w:rsidRDefault="00E61414" w:rsidP="00FE0062">
            <w:pPr>
              <w:spacing w:after="0" w:line="240" w:lineRule="auto"/>
              <w:jc w:val="both"/>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Horas trabajadas en todas sus ocupaciones en la semana del principal sostén</w:t>
            </w:r>
          </w:p>
        </w:tc>
        <w:tc>
          <w:tcPr>
            <w:tcW w:w="2366" w:type="dxa"/>
            <w:tcBorders>
              <w:top w:val="single" w:sz="4" w:space="0" w:color="auto"/>
              <w:left w:val="single" w:sz="4" w:space="0" w:color="auto"/>
              <w:bottom w:val="single" w:sz="4" w:space="0" w:color="auto"/>
              <w:right w:val="single" w:sz="4" w:space="0" w:color="auto"/>
            </w:tcBorders>
            <w:shd w:val="clear" w:color="auto" w:fill="auto"/>
            <w:noWrap/>
          </w:tcPr>
          <w:p w14:paraId="6FDF00B9" w14:textId="77777777" w:rsidR="00E61414" w:rsidRPr="00DC6AF3" w:rsidRDefault="00E61414" w:rsidP="00FE0062">
            <w:pPr>
              <w:spacing w:after="0" w:line="240" w:lineRule="auto"/>
              <w:jc w:val="both"/>
              <w:rPr>
                <w:rFonts w:ascii="Times New Roman" w:hAnsi="Times New Roman" w:cs="Times New Roman"/>
                <w:color w:val="000000"/>
                <w:sz w:val="18"/>
                <w:szCs w:val="18"/>
              </w:rPr>
            </w:pPr>
            <w:r w:rsidRPr="00DC6AF3">
              <w:rPr>
                <w:rFonts w:ascii="Times New Roman" w:hAnsi="Times New Roman" w:cs="Times New Roman"/>
              </w:rPr>
              <w:t>42.80</w:t>
            </w:r>
          </w:p>
        </w:tc>
        <w:tc>
          <w:tcPr>
            <w:tcW w:w="2366" w:type="dxa"/>
            <w:tcBorders>
              <w:top w:val="single" w:sz="4" w:space="0" w:color="auto"/>
              <w:left w:val="nil"/>
              <w:bottom w:val="single" w:sz="4" w:space="0" w:color="auto"/>
              <w:right w:val="single" w:sz="4" w:space="0" w:color="auto"/>
            </w:tcBorders>
            <w:shd w:val="clear" w:color="auto" w:fill="auto"/>
            <w:noWrap/>
          </w:tcPr>
          <w:p w14:paraId="592B9D9C" w14:textId="77777777" w:rsidR="00E61414" w:rsidRPr="00DC6AF3" w:rsidRDefault="00E61414" w:rsidP="00FE0062">
            <w:pPr>
              <w:spacing w:after="0" w:line="240" w:lineRule="auto"/>
              <w:jc w:val="both"/>
              <w:rPr>
                <w:rFonts w:ascii="Times New Roman" w:hAnsi="Times New Roman" w:cs="Times New Roman"/>
                <w:color w:val="000000"/>
                <w:sz w:val="18"/>
                <w:szCs w:val="18"/>
              </w:rPr>
            </w:pPr>
            <w:r w:rsidRPr="00DC6AF3">
              <w:rPr>
                <w:rFonts w:ascii="Times New Roman" w:hAnsi="Times New Roman" w:cs="Times New Roman"/>
              </w:rPr>
              <w:t>34.83</w:t>
            </w:r>
          </w:p>
        </w:tc>
        <w:tc>
          <w:tcPr>
            <w:tcW w:w="2366" w:type="dxa"/>
            <w:tcBorders>
              <w:top w:val="single" w:sz="4" w:space="0" w:color="auto"/>
              <w:left w:val="nil"/>
              <w:bottom w:val="single" w:sz="4" w:space="0" w:color="auto"/>
              <w:right w:val="single" w:sz="4" w:space="0" w:color="auto"/>
            </w:tcBorders>
            <w:shd w:val="clear" w:color="auto" w:fill="auto"/>
            <w:noWrap/>
          </w:tcPr>
          <w:p w14:paraId="794A52CB" w14:textId="77777777" w:rsidR="00E61414" w:rsidRPr="00DC6AF3" w:rsidRDefault="00E61414" w:rsidP="00FE0062">
            <w:pPr>
              <w:spacing w:line="240" w:lineRule="auto"/>
              <w:jc w:val="both"/>
              <w:rPr>
                <w:rFonts w:ascii="Times New Roman" w:hAnsi="Times New Roman" w:cs="Times New Roman"/>
                <w:color w:val="000000"/>
                <w:sz w:val="18"/>
                <w:szCs w:val="18"/>
              </w:rPr>
            </w:pPr>
            <w:r w:rsidRPr="00DC6AF3">
              <w:rPr>
                <w:rFonts w:ascii="Times New Roman" w:hAnsi="Times New Roman" w:cs="Times New Roman"/>
              </w:rPr>
              <w:t>45.54</w:t>
            </w:r>
          </w:p>
        </w:tc>
      </w:tr>
      <w:tr w:rsidR="00E61414" w:rsidRPr="00DC6AF3" w14:paraId="73C7DE48" w14:textId="77777777" w:rsidTr="00662E4A">
        <w:trPr>
          <w:trHeight w:val="567"/>
        </w:trPr>
        <w:tc>
          <w:tcPr>
            <w:tcW w:w="2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A793" w14:textId="77777777" w:rsidR="00E61414" w:rsidRPr="00DC6AF3" w:rsidRDefault="00E61414" w:rsidP="00FE0062">
            <w:pPr>
              <w:spacing w:after="0" w:line="240" w:lineRule="auto"/>
              <w:rPr>
                <w:rFonts w:ascii="Times New Roman" w:eastAsia="Times New Roman" w:hAnsi="Times New Roman" w:cs="Times New Roman"/>
                <w:b/>
                <w:bCs/>
                <w:color w:val="000000" w:themeColor="text1"/>
                <w:sz w:val="18"/>
                <w:szCs w:val="18"/>
              </w:rPr>
            </w:pPr>
            <w:r w:rsidRPr="00DC6AF3">
              <w:rPr>
                <w:rFonts w:ascii="Times New Roman" w:eastAsia="Times New Roman" w:hAnsi="Times New Roman" w:cs="Times New Roman"/>
                <w:b/>
                <w:bCs/>
                <w:color w:val="000000" w:themeColor="text1"/>
                <w:sz w:val="18"/>
                <w:szCs w:val="18"/>
              </w:rPr>
              <w:t>Déficit de capacidades de subsistencia</w:t>
            </w:r>
          </w:p>
        </w:tc>
        <w:tc>
          <w:tcPr>
            <w:tcW w:w="2366" w:type="dxa"/>
            <w:tcBorders>
              <w:top w:val="single" w:sz="4" w:space="0" w:color="auto"/>
              <w:left w:val="single" w:sz="4" w:space="0" w:color="auto"/>
              <w:bottom w:val="single" w:sz="4" w:space="0" w:color="auto"/>
              <w:right w:val="single" w:sz="4" w:space="0" w:color="auto"/>
            </w:tcBorders>
            <w:shd w:val="clear" w:color="auto" w:fill="auto"/>
            <w:noWrap/>
          </w:tcPr>
          <w:p w14:paraId="232D8E44" w14:textId="77777777" w:rsidR="00E61414" w:rsidRPr="00DC6AF3" w:rsidRDefault="00E61414" w:rsidP="00FE0062">
            <w:pPr>
              <w:spacing w:after="0" w:line="240" w:lineRule="auto"/>
              <w:jc w:val="both"/>
              <w:rPr>
                <w:rFonts w:ascii="Times New Roman" w:hAnsi="Times New Roman" w:cs="Times New Roman"/>
                <w:color w:val="000000" w:themeColor="text1"/>
                <w:sz w:val="18"/>
                <w:szCs w:val="18"/>
              </w:rPr>
            </w:pPr>
            <w:r w:rsidRPr="00DC6AF3">
              <w:rPr>
                <w:rFonts w:ascii="Times New Roman" w:hAnsi="Times New Roman" w:cs="Times New Roman"/>
              </w:rPr>
              <w:t>25.9%</w:t>
            </w:r>
          </w:p>
        </w:tc>
        <w:tc>
          <w:tcPr>
            <w:tcW w:w="2366" w:type="dxa"/>
            <w:tcBorders>
              <w:top w:val="single" w:sz="4" w:space="0" w:color="auto"/>
              <w:left w:val="nil"/>
              <w:bottom w:val="single" w:sz="4" w:space="0" w:color="auto"/>
              <w:right w:val="single" w:sz="4" w:space="0" w:color="auto"/>
            </w:tcBorders>
            <w:shd w:val="clear" w:color="auto" w:fill="auto"/>
            <w:noWrap/>
          </w:tcPr>
          <w:p w14:paraId="25B794B5" w14:textId="77777777" w:rsidR="00E61414" w:rsidRPr="00DC6AF3" w:rsidRDefault="00E61414" w:rsidP="00FE0062">
            <w:pPr>
              <w:spacing w:after="0" w:line="240" w:lineRule="auto"/>
              <w:jc w:val="both"/>
              <w:rPr>
                <w:rFonts w:ascii="Times New Roman" w:hAnsi="Times New Roman" w:cs="Times New Roman"/>
                <w:color w:val="000000" w:themeColor="text1"/>
                <w:sz w:val="18"/>
                <w:szCs w:val="18"/>
              </w:rPr>
            </w:pPr>
            <w:r w:rsidRPr="00DC6AF3">
              <w:rPr>
                <w:rFonts w:ascii="Times New Roman" w:hAnsi="Times New Roman" w:cs="Times New Roman"/>
              </w:rPr>
              <w:t>32.4%</w:t>
            </w:r>
          </w:p>
        </w:tc>
        <w:tc>
          <w:tcPr>
            <w:tcW w:w="2366" w:type="dxa"/>
            <w:tcBorders>
              <w:top w:val="single" w:sz="4" w:space="0" w:color="auto"/>
              <w:left w:val="nil"/>
              <w:bottom w:val="single" w:sz="4" w:space="0" w:color="auto"/>
              <w:right w:val="single" w:sz="4" w:space="0" w:color="auto"/>
            </w:tcBorders>
            <w:shd w:val="clear" w:color="auto" w:fill="auto"/>
            <w:noWrap/>
          </w:tcPr>
          <w:p w14:paraId="0ED09A9B" w14:textId="77777777" w:rsidR="00E61414" w:rsidRPr="00DC6AF3" w:rsidRDefault="00E61414" w:rsidP="00FE0062">
            <w:pPr>
              <w:spacing w:after="0" w:line="240" w:lineRule="auto"/>
              <w:jc w:val="both"/>
              <w:rPr>
                <w:rFonts w:ascii="Times New Roman" w:hAnsi="Times New Roman" w:cs="Times New Roman"/>
                <w:color w:val="000000" w:themeColor="text1"/>
                <w:sz w:val="18"/>
                <w:szCs w:val="18"/>
              </w:rPr>
            </w:pPr>
            <w:r w:rsidRPr="00DC6AF3">
              <w:rPr>
                <w:rFonts w:ascii="Times New Roman" w:hAnsi="Times New Roman" w:cs="Times New Roman"/>
              </w:rPr>
              <w:t>28.5%</w:t>
            </w:r>
          </w:p>
        </w:tc>
      </w:tr>
      <w:tr w:rsidR="00E61414" w:rsidRPr="00DC6AF3" w14:paraId="1F27E133" w14:textId="77777777" w:rsidTr="00662E4A">
        <w:tblPrEx>
          <w:tblCellMar>
            <w:left w:w="70" w:type="dxa"/>
            <w:right w:w="70" w:type="dxa"/>
          </w:tblCellMar>
        </w:tblPrEx>
        <w:trPr>
          <w:trHeight w:val="396"/>
        </w:trPr>
        <w:tc>
          <w:tcPr>
            <w:tcW w:w="9741" w:type="dxa"/>
            <w:gridSpan w:val="4"/>
            <w:tcBorders>
              <w:top w:val="single" w:sz="4" w:space="0" w:color="auto"/>
            </w:tcBorders>
            <w:shd w:val="clear" w:color="auto" w:fill="FFFFFF" w:themeFill="background1"/>
            <w:vAlign w:val="center"/>
          </w:tcPr>
          <w:p w14:paraId="5CA41E36" w14:textId="2DB29713" w:rsidR="00E61414" w:rsidRPr="00662E4A" w:rsidRDefault="00E61414" w:rsidP="00662E4A">
            <w:pPr>
              <w:spacing w:before="120" w:after="360" w:line="240" w:lineRule="auto"/>
              <w:rPr>
                <w:rFonts w:ascii="Times New Roman" w:eastAsia="Calibri" w:hAnsi="Times New Roman" w:cs="Times New Roman"/>
                <w:sz w:val="18"/>
                <w:szCs w:val="18"/>
              </w:rPr>
            </w:pPr>
            <w:r w:rsidRPr="00DC6AF3">
              <w:rPr>
                <w:rFonts w:ascii="Times New Roman" w:eastAsia="Calibri" w:hAnsi="Times New Roman" w:cs="Times New Roman"/>
                <w:sz w:val="18"/>
                <w:szCs w:val="18"/>
              </w:rPr>
              <w:t>Fuente: elaboración propia a partir de microdatos de la EPH-INDEC</w:t>
            </w:r>
          </w:p>
        </w:tc>
      </w:tr>
    </w:tbl>
    <w:p w14:paraId="61E93793" w14:textId="2A339C1E" w:rsidR="00662E4A" w:rsidRPr="00380A2E" w:rsidRDefault="00662E4A" w:rsidP="00662E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recuperación económica se dio principalmente en la restauración de </w:t>
      </w:r>
      <w:proofErr w:type="spellStart"/>
      <w:r>
        <w:rPr>
          <w:rFonts w:ascii="Times New Roman" w:hAnsi="Times New Roman" w:cs="Times New Roman"/>
          <w:sz w:val="24"/>
          <w:szCs w:val="24"/>
        </w:rPr>
        <w:t>lo</w:t>
      </w:r>
      <w:proofErr w:type="spellEnd"/>
      <w:r>
        <w:rPr>
          <w:rFonts w:ascii="Times New Roman" w:hAnsi="Times New Roman" w:cs="Times New Roman"/>
          <w:sz w:val="24"/>
          <w:szCs w:val="24"/>
        </w:rPr>
        <w:t xml:space="preserve"> niveles de actividad. El número de ocupados, de perceptores laborales y de horas trabajadas volvieron a los niveles prepandémicos. No obstante, los</w:t>
      </w:r>
      <w:r w:rsidRPr="00380A2E">
        <w:rPr>
          <w:rFonts w:ascii="Times New Roman" w:hAnsi="Times New Roman" w:cs="Times New Roman"/>
          <w:sz w:val="24"/>
          <w:szCs w:val="24"/>
        </w:rPr>
        <w:t xml:space="preserve"> </w:t>
      </w:r>
      <w:r>
        <w:rPr>
          <w:rFonts w:ascii="Times New Roman" w:hAnsi="Times New Roman" w:cs="Times New Roman"/>
          <w:sz w:val="24"/>
          <w:szCs w:val="24"/>
        </w:rPr>
        <w:t xml:space="preserve">dos </w:t>
      </w:r>
      <w:r w:rsidRPr="00380A2E">
        <w:rPr>
          <w:rFonts w:ascii="Times New Roman" w:hAnsi="Times New Roman" w:cs="Times New Roman"/>
          <w:sz w:val="24"/>
          <w:szCs w:val="24"/>
        </w:rPr>
        <w:t>principales efectos negativos de la crisis del Covid-19</w:t>
      </w:r>
      <w:r>
        <w:rPr>
          <w:rFonts w:ascii="Times New Roman" w:hAnsi="Times New Roman" w:cs="Times New Roman"/>
          <w:sz w:val="24"/>
          <w:szCs w:val="24"/>
        </w:rPr>
        <w:t xml:space="preserve"> fueron la perdida en los ingresos familiares, donde hubo una nula recuperación, y </w:t>
      </w:r>
      <w:r w:rsidRPr="00380A2E">
        <w:rPr>
          <w:rFonts w:ascii="Times New Roman" w:hAnsi="Times New Roman" w:cs="Times New Roman"/>
          <w:sz w:val="24"/>
          <w:szCs w:val="24"/>
        </w:rPr>
        <w:t>la permanencia en la pobreza de los hogares encabezado por un</w:t>
      </w:r>
      <w:r>
        <w:rPr>
          <w:rFonts w:ascii="Times New Roman" w:hAnsi="Times New Roman" w:cs="Times New Roman"/>
          <w:sz w:val="24"/>
          <w:szCs w:val="24"/>
        </w:rPr>
        <w:t xml:space="preserve"> activo</w:t>
      </w:r>
      <w:r w:rsidRPr="00380A2E">
        <w:rPr>
          <w:rFonts w:ascii="Times New Roman" w:hAnsi="Times New Roman" w:cs="Times New Roman"/>
          <w:sz w:val="24"/>
          <w:szCs w:val="24"/>
        </w:rPr>
        <w:t xml:space="preserve">. </w:t>
      </w:r>
      <w:r>
        <w:rPr>
          <w:rFonts w:ascii="Times New Roman" w:hAnsi="Times New Roman" w:cs="Times New Roman"/>
          <w:sz w:val="24"/>
          <w:szCs w:val="24"/>
        </w:rPr>
        <w:t xml:space="preserve">A pesar de una leve mejora, los balances entre </w:t>
      </w:r>
      <w:r>
        <w:rPr>
          <w:rFonts w:ascii="Times New Roman" w:hAnsi="Times New Roman" w:cs="Times New Roman"/>
          <w:sz w:val="24"/>
          <w:szCs w:val="24"/>
        </w:rPr>
        <w:lastRenderedPageBreak/>
        <w:t>el 2019 y el 2021 de ambos indicadores dan negativos</w:t>
      </w:r>
      <w:r w:rsidR="00644271">
        <w:rPr>
          <w:rFonts w:ascii="Times New Roman" w:hAnsi="Times New Roman" w:cs="Times New Roman"/>
          <w:sz w:val="24"/>
          <w:szCs w:val="24"/>
        </w:rPr>
        <w:t xml:space="preserve"> </w:t>
      </w:r>
      <w:r>
        <w:rPr>
          <w:rFonts w:ascii="Times New Roman" w:hAnsi="Times New Roman" w:cs="Times New Roman"/>
          <w:sz w:val="24"/>
          <w:szCs w:val="24"/>
        </w:rPr>
        <w:t xml:space="preserve">(una caída de unos 14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en el </w:t>
      </w:r>
      <w:proofErr w:type="spellStart"/>
      <w:r>
        <w:rPr>
          <w:rFonts w:ascii="Times New Roman" w:hAnsi="Times New Roman" w:cs="Times New Roman"/>
          <w:sz w:val="24"/>
          <w:szCs w:val="24"/>
        </w:rPr>
        <w:t>ipcf</w:t>
      </w:r>
      <w:proofErr w:type="spellEnd"/>
      <w:r>
        <w:rPr>
          <w:rFonts w:ascii="Times New Roman" w:hAnsi="Times New Roman" w:cs="Times New Roman"/>
          <w:sz w:val="24"/>
          <w:szCs w:val="24"/>
        </w:rPr>
        <w:t xml:space="preserve"> y un aumento de 2.5% en el déficit de capacidad de subsistencia).</w:t>
      </w:r>
    </w:p>
    <w:p w14:paraId="4B05E8E7" w14:textId="77777777" w:rsidR="00662E4A" w:rsidRDefault="00662E4A" w:rsidP="00662E4A">
      <w:pPr>
        <w:spacing w:before="120" w:after="360" w:line="360" w:lineRule="auto"/>
        <w:jc w:val="both"/>
        <w:rPr>
          <w:rFonts w:ascii="Times New Roman" w:hAnsi="Times New Roman" w:cs="Times New Roman"/>
          <w:sz w:val="24"/>
          <w:szCs w:val="24"/>
        </w:rPr>
      </w:pPr>
      <w:r>
        <w:rPr>
          <w:rFonts w:ascii="Times New Roman" w:hAnsi="Times New Roman" w:cs="Times New Roman"/>
          <w:sz w:val="24"/>
          <w:szCs w:val="24"/>
        </w:rPr>
        <w:t>La</w:t>
      </w:r>
      <w:r w:rsidRPr="00DC6AF3">
        <w:rPr>
          <w:rFonts w:ascii="Times New Roman" w:hAnsi="Times New Roman" w:cs="Times New Roman"/>
          <w:sz w:val="24"/>
          <w:szCs w:val="24"/>
        </w:rPr>
        <w:t xml:space="preserve"> composición de los distintos grupos socioeconómicos </w:t>
      </w:r>
      <w:r>
        <w:rPr>
          <w:rFonts w:ascii="Times New Roman" w:hAnsi="Times New Roman" w:cs="Times New Roman"/>
          <w:sz w:val="24"/>
          <w:szCs w:val="24"/>
        </w:rPr>
        <w:t xml:space="preserve">se vio modificada </w:t>
      </w:r>
      <w:r w:rsidRPr="00DC6AF3">
        <w:rPr>
          <w:rFonts w:ascii="Times New Roman" w:hAnsi="Times New Roman" w:cs="Times New Roman"/>
          <w:sz w:val="24"/>
          <w:szCs w:val="24"/>
        </w:rPr>
        <w:t xml:space="preserve">producto de las crisis del Covid-19. </w:t>
      </w:r>
      <w:r>
        <w:rPr>
          <w:rFonts w:ascii="Times New Roman" w:hAnsi="Times New Roman" w:cs="Times New Roman"/>
          <w:sz w:val="24"/>
          <w:szCs w:val="24"/>
        </w:rPr>
        <w:t>El grafico 1 nos muestra como</w:t>
      </w:r>
      <w:r w:rsidRPr="00DC6AF3">
        <w:rPr>
          <w:rFonts w:ascii="Times New Roman" w:hAnsi="Times New Roman" w:cs="Times New Roman"/>
          <w:sz w:val="24"/>
          <w:szCs w:val="24"/>
        </w:rPr>
        <w:t xml:space="preserve"> disminuyeron los hogares encabezados por asalariados informales y</w:t>
      </w:r>
      <w:r>
        <w:rPr>
          <w:rFonts w:ascii="Times New Roman" w:hAnsi="Times New Roman" w:cs="Times New Roman"/>
          <w:sz w:val="24"/>
          <w:szCs w:val="24"/>
        </w:rPr>
        <w:t xml:space="preserve">, en menor medida, los encabezados </w:t>
      </w:r>
      <w:r w:rsidRPr="00DC6AF3">
        <w:rPr>
          <w:rFonts w:ascii="Times New Roman" w:hAnsi="Times New Roman" w:cs="Times New Roman"/>
          <w:sz w:val="24"/>
          <w:szCs w:val="24"/>
        </w:rPr>
        <w:t xml:space="preserve">por empleadores formales y/o TCP formales. Esto se puede deber a que la pandemia afectó especialmente a estos sectores, haciendo que cayeran en el desempleo o en la inactividad. </w:t>
      </w:r>
      <w:proofErr w:type="spellStart"/>
      <w:r w:rsidRPr="00DC6AF3">
        <w:rPr>
          <w:rFonts w:ascii="Times New Roman" w:hAnsi="Times New Roman" w:cs="Times New Roman"/>
          <w:sz w:val="24"/>
          <w:szCs w:val="24"/>
        </w:rPr>
        <w:t>Donza</w:t>
      </w:r>
      <w:proofErr w:type="spellEnd"/>
      <w:r w:rsidRPr="00DC6AF3">
        <w:rPr>
          <w:rFonts w:ascii="Times New Roman" w:hAnsi="Times New Roman" w:cs="Times New Roman"/>
          <w:sz w:val="24"/>
          <w:szCs w:val="24"/>
        </w:rPr>
        <w:t xml:space="preserve"> (2021) plantea que la tasa de desocupación se incrementó de forma más moderada (pasó de 10,4% a 13,1% entre el primer y el segundo trimestre de 2020), evidenciando que muchos trabajadores realizaron un paso a la inactividad forzada tras la pérdida de sus empleos. </w:t>
      </w:r>
      <w:r>
        <w:rPr>
          <w:rFonts w:ascii="Times New Roman" w:hAnsi="Times New Roman" w:cs="Times New Roman"/>
          <w:sz w:val="24"/>
          <w:szCs w:val="24"/>
        </w:rPr>
        <w:t>Podemos este efecto de caída en el aumento de los hogares encabezados por desocupados e inactivos, los cuales se compusieron de estos sectores informales paralizados por lo sucedido en el mercado laboral.</w:t>
      </w:r>
    </w:p>
    <w:p w14:paraId="3CC4D257" w14:textId="092A541B" w:rsidR="00662E4A" w:rsidRDefault="00662E4A" w:rsidP="00662E4A">
      <w:pPr>
        <w:spacing w:before="120" w:after="360" w:line="360" w:lineRule="auto"/>
        <w:jc w:val="both"/>
        <w:rPr>
          <w:rFonts w:ascii="Times New Roman" w:hAnsi="Times New Roman" w:cs="Times New Roman"/>
          <w:sz w:val="24"/>
          <w:szCs w:val="24"/>
        </w:rPr>
      </w:pPr>
      <w:bookmarkStart w:id="4" w:name="_Hlk108975733"/>
      <w:r w:rsidRPr="00DC6AF3">
        <w:rPr>
          <w:rFonts w:ascii="Times New Roman" w:hAnsi="Times New Roman" w:cs="Times New Roman"/>
          <w:b/>
          <w:bCs/>
        </w:rPr>
        <w:t xml:space="preserve">Gráfico </w:t>
      </w:r>
      <w:r w:rsidR="002F2CE7">
        <w:rPr>
          <w:rFonts w:ascii="Times New Roman" w:hAnsi="Times New Roman" w:cs="Times New Roman"/>
          <w:b/>
          <w:bCs/>
        </w:rPr>
        <w:t>0</w:t>
      </w:r>
      <w:r w:rsidRPr="00DC6AF3">
        <w:rPr>
          <w:rFonts w:ascii="Times New Roman" w:hAnsi="Times New Roman" w:cs="Times New Roman"/>
          <w:b/>
          <w:bCs/>
        </w:rPr>
        <w:t xml:space="preserve">1. Distribución de los hogares según posición socio-ocupacional, por sexo del jefe/a de hogar. Hogares con PSH </w:t>
      </w:r>
      <w:r>
        <w:rPr>
          <w:rFonts w:ascii="Times New Roman" w:hAnsi="Times New Roman" w:cs="Times New Roman"/>
          <w:b/>
          <w:bCs/>
        </w:rPr>
        <w:t>activo</w:t>
      </w:r>
      <w:r w:rsidRPr="00DC6AF3">
        <w:rPr>
          <w:rFonts w:ascii="Times New Roman" w:hAnsi="Times New Roman" w:cs="Times New Roman"/>
          <w:b/>
          <w:bCs/>
        </w:rPr>
        <w:t xml:space="preserve">, total de aglomerados urbanos, Argentina, 2019-2021 </w:t>
      </w:r>
      <w:r w:rsidRPr="00DC6AF3">
        <w:rPr>
          <w:rFonts w:ascii="Times New Roman" w:hAnsi="Times New Roman" w:cs="Times New Roman"/>
          <w:b/>
          <w:bCs/>
          <w:i/>
          <w:iCs/>
        </w:rPr>
        <w:t>(en porcentajes)</w:t>
      </w:r>
      <w:bookmarkEnd w:id="4"/>
    </w:p>
    <w:p w14:paraId="65C62713" w14:textId="77777777" w:rsidR="00662E4A" w:rsidRPr="00E61414" w:rsidRDefault="00662E4A" w:rsidP="00662E4A">
      <w:pPr>
        <w:spacing w:line="360" w:lineRule="auto"/>
        <w:jc w:val="both"/>
        <w:rPr>
          <w:rFonts w:ascii="Times New Roman" w:eastAsia="Calibri" w:hAnsi="Times New Roman" w:cs="Times New Roman"/>
          <w:sz w:val="24"/>
          <w:szCs w:val="24"/>
        </w:rPr>
      </w:pPr>
      <w:r>
        <w:rPr>
          <w:noProof/>
        </w:rPr>
        <w:drawing>
          <wp:inline distT="0" distB="0" distL="0" distR="0" wp14:anchorId="12A83CAE" wp14:editId="5B2C8D97">
            <wp:extent cx="6088380" cy="3063240"/>
            <wp:effectExtent l="0" t="0" r="7620" b="3810"/>
            <wp:docPr id="1" name="Gráfico 1">
              <a:extLst xmlns:a="http://schemas.openxmlformats.org/drawingml/2006/main">
                <a:ext uri="{FF2B5EF4-FFF2-40B4-BE49-F238E27FC236}">
                  <a16:creationId xmlns:a16="http://schemas.microsoft.com/office/drawing/2014/main" id="{6AD8D099-C1E7-4AC0-8B08-AB9ADB2D93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D5EB13" w14:textId="77777777" w:rsidR="00662E4A" w:rsidRPr="00DC6AF3" w:rsidRDefault="00662E4A" w:rsidP="00662E4A">
      <w:pPr>
        <w:spacing w:line="240" w:lineRule="auto"/>
        <w:ind w:firstLine="708"/>
        <w:jc w:val="both"/>
        <w:rPr>
          <w:rFonts w:ascii="Times New Roman" w:hAnsi="Times New Roman" w:cs="Times New Roman"/>
          <w:sz w:val="24"/>
          <w:szCs w:val="24"/>
        </w:rPr>
      </w:pPr>
      <w:r w:rsidRPr="00DC6AF3">
        <w:rPr>
          <w:rFonts w:ascii="Times New Roman" w:eastAsia="Calibri" w:hAnsi="Times New Roman" w:cs="Times New Roman"/>
          <w:sz w:val="18"/>
          <w:szCs w:val="18"/>
        </w:rPr>
        <w:t>Fuente: elaboración propia a partir de micro datos de la EPH-INDEC</w:t>
      </w:r>
      <w:r w:rsidRPr="00DC6AF3">
        <w:rPr>
          <w:rFonts w:ascii="Times New Roman" w:hAnsi="Times New Roman" w:cs="Times New Roman"/>
          <w:sz w:val="24"/>
          <w:szCs w:val="24"/>
        </w:rPr>
        <w:t xml:space="preserve"> </w:t>
      </w:r>
    </w:p>
    <w:p w14:paraId="63F9A131" w14:textId="77777777" w:rsidR="00662E4A" w:rsidRDefault="00662E4A" w:rsidP="00662E4A">
      <w:pPr>
        <w:spacing w:line="360" w:lineRule="auto"/>
        <w:jc w:val="both"/>
        <w:rPr>
          <w:rFonts w:ascii="Times New Roman" w:hAnsi="Times New Roman" w:cs="Times New Roman"/>
          <w:sz w:val="24"/>
          <w:szCs w:val="24"/>
        </w:rPr>
      </w:pPr>
    </w:p>
    <w:p w14:paraId="7AF9F1D2" w14:textId="7BAE2CCD" w:rsidR="00662E4A" w:rsidRDefault="00662E4A" w:rsidP="00662E4A">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lastRenderedPageBreak/>
        <w:t xml:space="preserve">Podemos ver estas desigualdades estructurales especialmente en los hogares encabezados por mujeres dentro de la informalidad y la </w:t>
      </w:r>
      <w:r>
        <w:rPr>
          <w:rFonts w:ascii="Times New Roman" w:hAnsi="Times New Roman" w:cs="Times New Roman"/>
          <w:sz w:val="24"/>
          <w:szCs w:val="24"/>
        </w:rPr>
        <w:t>desocupación/</w:t>
      </w:r>
      <w:r w:rsidRPr="00DC6AF3">
        <w:rPr>
          <w:rFonts w:ascii="Times New Roman" w:hAnsi="Times New Roman" w:cs="Times New Roman"/>
          <w:sz w:val="24"/>
          <w:szCs w:val="24"/>
        </w:rPr>
        <w:t xml:space="preserve">inactividad. El porcentaje de hogares encabezados por asalariadas informales mujeres supera 5 </w:t>
      </w:r>
      <w:proofErr w:type="spellStart"/>
      <w:r w:rsidRPr="00DC6AF3">
        <w:rPr>
          <w:rFonts w:ascii="Times New Roman" w:hAnsi="Times New Roman" w:cs="Times New Roman"/>
          <w:sz w:val="24"/>
          <w:szCs w:val="24"/>
        </w:rPr>
        <w:t>pp</w:t>
      </w:r>
      <w:proofErr w:type="spellEnd"/>
      <w:r w:rsidRPr="00DC6AF3">
        <w:rPr>
          <w:rFonts w:ascii="Times New Roman" w:hAnsi="Times New Roman" w:cs="Times New Roman"/>
          <w:sz w:val="24"/>
          <w:szCs w:val="24"/>
        </w:rPr>
        <w:t xml:space="preserve"> a los hogares encabezados por asalariados informales varones, mientras que los hogares encabezados por mujeres inactivas no jubiladas o pensionadas supera en 6 </w:t>
      </w:r>
      <w:proofErr w:type="spellStart"/>
      <w:r w:rsidRPr="00DC6AF3">
        <w:rPr>
          <w:rFonts w:ascii="Times New Roman" w:hAnsi="Times New Roman" w:cs="Times New Roman"/>
          <w:sz w:val="24"/>
          <w:szCs w:val="24"/>
        </w:rPr>
        <w:t>pp</w:t>
      </w:r>
      <w:proofErr w:type="spellEnd"/>
      <w:r w:rsidRPr="00DC6AF3">
        <w:rPr>
          <w:rFonts w:ascii="Times New Roman" w:hAnsi="Times New Roman" w:cs="Times New Roman"/>
          <w:sz w:val="24"/>
          <w:szCs w:val="24"/>
        </w:rPr>
        <w:t xml:space="preserve"> a los hogares encabezados por varones. Esta inactividad del Principal sostén se vio profundizada en pandemia, especialmente en los hogares encabezados por mujeres, pasando de un </w:t>
      </w:r>
      <w:r>
        <w:rPr>
          <w:rFonts w:ascii="Times New Roman" w:hAnsi="Times New Roman" w:cs="Times New Roman"/>
          <w:sz w:val="24"/>
          <w:szCs w:val="24"/>
        </w:rPr>
        <w:t>8</w:t>
      </w:r>
      <w:r w:rsidRPr="00DC6AF3">
        <w:rPr>
          <w:rFonts w:ascii="Times New Roman" w:hAnsi="Times New Roman" w:cs="Times New Roman"/>
          <w:sz w:val="24"/>
          <w:szCs w:val="24"/>
        </w:rPr>
        <w:t>.</w:t>
      </w:r>
      <w:r>
        <w:rPr>
          <w:rFonts w:ascii="Times New Roman" w:hAnsi="Times New Roman" w:cs="Times New Roman"/>
          <w:sz w:val="24"/>
          <w:szCs w:val="24"/>
        </w:rPr>
        <w:t>8</w:t>
      </w:r>
      <w:r w:rsidRPr="00DC6AF3">
        <w:rPr>
          <w:rFonts w:ascii="Times New Roman" w:hAnsi="Times New Roman" w:cs="Times New Roman"/>
          <w:sz w:val="24"/>
          <w:szCs w:val="24"/>
        </w:rPr>
        <w:t xml:space="preserve">% a un </w:t>
      </w:r>
      <w:r>
        <w:rPr>
          <w:rFonts w:ascii="Times New Roman" w:hAnsi="Times New Roman" w:cs="Times New Roman"/>
          <w:sz w:val="24"/>
          <w:szCs w:val="24"/>
        </w:rPr>
        <w:t>14.6</w:t>
      </w:r>
      <w:r w:rsidRPr="00DC6AF3">
        <w:rPr>
          <w:rFonts w:ascii="Times New Roman" w:hAnsi="Times New Roman" w:cs="Times New Roman"/>
          <w:sz w:val="24"/>
          <w:szCs w:val="24"/>
        </w:rPr>
        <w:t xml:space="preserve">%. </w:t>
      </w:r>
    </w:p>
    <w:p w14:paraId="56439D64" w14:textId="61BF0617" w:rsidR="00662E4A" w:rsidRDefault="00662E4A" w:rsidP="00662E4A">
      <w:pPr>
        <w:spacing w:line="360" w:lineRule="auto"/>
        <w:jc w:val="both"/>
        <w:rPr>
          <w:rFonts w:ascii="Times New Roman" w:hAnsi="Times New Roman" w:cs="Times New Roman"/>
          <w:sz w:val="24"/>
          <w:szCs w:val="24"/>
        </w:rPr>
      </w:pPr>
      <w:r>
        <w:rPr>
          <w:rFonts w:ascii="Times New Roman" w:hAnsi="Times New Roman" w:cs="Times New Roman"/>
          <w:sz w:val="24"/>
          <w:szCs w:val="24"/>
        </w:rPr>
        <w:t>Otro aspecto para destacar es la</w:t>
      </w:r>
      <w:r w:rsidRPr="00DC6AF3">
        <w:rPr>
          <w:rFonts w:ascii="Times New Roman" w:hAnsi="Times New Roman" w:cs="Times New Roman"/>
          <w:sz w:val="24"/>
          <w:szCs w:val="24"/>
        </w:rPr>
        <w:t xml:space="preserve"> capacidad de estabilidad de los empleos formales, e incluso de los microempresarios, donde los hogares encabezados por estos no perdieron importancia relativa en el 2020 con respecto al 2019. </w:t>
      </w:r>
      <w:r>
        <w:rPr>
          <w:rFonts w:ascii="Times New Roman" w:hAnsi="Times New Roman" w:cs="Times New Roman"/>
          <w:sz w:val="24"/>
          <w:szCs w:val="24"/>
        </w:rPr>
        <w:t>Esta protección</w:t>
      </w:r>
      <w:r w:rsidRPr="00DC6AF3">
        <w:rPr>
          <w:rFonts w:ascii="Times New Roman" w:hAnsi="Times New Roman" w:cs="Times New Roman"/>
          <w:sz w:val="24"/>
          <w:szCs w:val="24"/>
        </w:rPr>
        <w:t xml:space="preserve"> es mucho mayor en los hogares encabezados por varones, ya que lograron mantener </w:t>
      </w:r>
      <w:r>
        <w:rPr>
          <w:rFonts w:ascii="Times New Roman" w:hAnsi="Times New Roman" w:cs="Times New Roman"/>
          <w:sz w:val="24"/>
          <w:szCs w:val="24"/>
        </w:rPr>
        <w:t xml:space="preserve">alrededor de </w:t>
      </w:r>
      <w:r w:rsidRPr="00DC6AF3">
        <w:rPr>
          <w:rFonts w:ascii="Times New Roman" w:hAnsi="Times New Roman" w:cs="Times New Roman"/>
          <w:sz w:val="24"/>
          <w:szCs w:val="24"/>
        </w:rPr>
        <w:t>un 60% de los hogares pertenecientes al sector formal en contraste con una caída de 55,8% a 51,5% en los hogares pertenecientes al sector formal encabezadas por mujeres.</w:t>
      </w:r>
    </w:p>
    <w:p w14:paraId="2BC95AF0" w14:textId="34CDCD24" w:rsidR="00801E85" w:rsidRPr="00DC6AF3" w:rsidRDefault="00801E85" w:rsidP="4C001CDC">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En el 2021, como consecuencia de la recuperación, vemos una caída de los hogares encabezados por inactivos en paralelo a un aumento relativo de los hogares encabezados por asalariados, especialmente por parte de los informales que aumentaron unos </w:t>
      </w:r>
      <w:r w:rsidR="001F1649">
        <w:rPr>
          <w:rFonts w:ascii="Times New Roman" w:hAnsi="Times New Roman" w:cs="Times New Roman"/>
          <w:sz w:val="24"/>
          <w:szCs w:val="24"/>
        </w:rPr>
        <w:t>2</w:t>
      </w:r>
      <w:r w:rsidR="004620A4">
        <w:rPr>
          <w:rFonts w:ascii="Times New Roman" w:hAnsi="Times New Roman" w:cs="Times New Roman"/>
          <w:sz w:val="24"/>
          <w:szCs w:val="24"/>
        </w:rPr>
        <w:t>.5</w:t>
      </w:r>
      <w:r w:rsidRPr="00DC6AF3">
        <w:rPr>
          <w:rFonts w:ascii="Times New Roman" w:hAnsi="Times New Roman" w:cs="Times New Roman"/>
          <w:sz w:val="24"/>
          <w:szCs w:val="24"/>
        </w:rPr>
        <w:t xml:space="preserve"> pp. </w:t>
      </w:r>
      <w:r w:rsidR="004620A4">
        <w:rPr>
          <w:rFonts w:ascii="Times New Roman" w:hAnsi="Times New Roman" w:cs="Times New Roman"/>
          <w:sz w:val="24"/>
          <w:szCs w:val="24"/>
        </w:rPr>
        <w:t xml:space="preserve">Esta variación se dio especialmente en las mujeres (4.3 </w:t>
      </w:r>
      <w:proofErr w:type="spellStart"/>
      <w:r w:rsidR="004620A4">
        <w:rPr>
          <w:rFonts w:ascii="Times New Roman" w:hAnsi="Times New Roman" w:cs="Times New Roman"/>
          <w:sz w:val="24"/>
          <w:szCs w:val="24"/>
        </w:rPr>
        <w:t>pp</w:t>
      </w:r>
      <w:proofErr w:type="spellEnd"/>
      <w:r w:rsidR="004620A4">
        <w:rPr>
          <w:rFonts w:ascii="Times New Roman" w:hAnsi="Times New Roman" w:cs="Times New Roman"/>
          <w:sz w:val="24"/>
          <w:szCs w:val="24"/>
        </w:rPr>
        <w:t>) en comparación con los varones (</w:t>
      </w:r>
      <w:r w:rsidR="005A1BF4">
        <w:rPr>
          <w:rFonts w:ascii="Times New Roman" w:hAnsi="Times New Roman" w:cs="Times New Roman"/>
          <w:sz w:val="24"/>
          <w:szCs w:val="24"/>
        </w:rPr>
        <w:t xml:space="preserve">1.7 </w:t>
      </w:r>
      <w:proofErr w:type="spellStart"/>
      <w:r w:rsidR="005A1BF4">
        <w:rPr>
          <w:rFonts w:ascii="Times New Roman" w:hAnsi="Times New Roman" w:cs="Times New Roman"/>
          <w:sz w:val="24"/>
          <w:szCs w:val="24"/>
        </w:rPr>
        <w:t>pp</w:t>
      </w:r>
      <w:proofErr w:type="spellEnd"/>
      <w:r w:rsidR="005A1BF4">
        <w:rPr>
          <w:rFonts w:ascii="Times New Roman" w:hAnsi="Times New Roman" w:cs="Times New Roman"/>
          <w:sz w:val="24"/>
          <w:szCs w:val="24"/>
        </w:rPr>
        <w:t>). Este efecto se puede deber al rápido dinamismo para la búsqueda de empleo de estos sectores.</w:t>
      </w:r>
    </w:p>
    <w:p w14:paraId="1D78E6BF" w14:textId="0CF48DC8" w:rsidR="4C001CDC" w:rsidRDefault="4C001CDC" w:rsidP="4C001CDC">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En relación</w:t>
      </w:r>
      <w:r w:rsidRPr="00DC6AF3">
        <w:rPr>
          <w:rFonts w:ascii="Times New Roman" w:hAnsi="Times New Roman" w:cs="Times New Roman"/>
          <w:sz w:val="24"/>
          <w:szCs w:val="24"/>
          <w:lang w:val="es-MX"/>
        </w:rPr>
        <w:t xml:space="preserve"> con nuestra primera hipótesis, la crisis producto del Covid-19 </w:t>
      </w:r>
      <w:r w:rsidRPr="00DC6AF3">
        <w:rPr>
          <w:rFonts w:ascii="Times New Roman" w:hAnsi="Times New Roman" w:cs="Times New Roman"/>
          <w:sz w:val="24"/>
          <w:szCs w:val="24"/>
        </w:rPr>
        <w:t xml:space="preserve">profundizó el déficit en las capacidades de reproducción material de los hogares. Este efecto recesivo se puede ver, por un lado, en la caída del ingreso per cápita familiar, el cual fue de unos 16,7 p.p. entre el 2019 y el 2020. Esta disminución se dio en toda la estructura social, pero los hogares informales </w:t>
      </w:r>
      <w:r w:rsidR="00B01897">
        <w:rPr>
          <w:rFonts w:ascii="Times New Roman" w:hAnsi="Times New Roman" w:cs="Times New Roman"/>
          <w:sz w:val="24"/>
          <w:szCs w:val="24"/>
        </w:rPr>
        <w:t xml:space="preserve">y </w:t>
      </w:r>
      <w:r w:rsidR="00BD4E49">
        <w:rPr>
          <w:rFonts w:ascii="Times New Roman" w:hAnsi="Times New Roman" w:cs="Times New Roman"/>
          <w:sz w:val="24"/>
          <w:szCs w:val="24"/>
        </w:rPr>
        <w:t>los inactivos</w:t>
      </w:r>
      <w:r w:rsidR="00B01897">
        <w:rPr>
          <w:rFonts w:ascii="Times New Roman" w:hAnsi="Times New Roman" w:cs="Times New Roman"/>
          <w:sz w:val="24"/>
          <w:szCs w:val="24"/>
        </w:rPr>
        <w:t xml:space="preserve"> </w:t>
      </w:r>
      <w:r w:rsidRPr="00DC6AF3">
        <w:rPr>
          <w:rFonts w:ascii="Times New Roman" w:hAnsi="Times New Roman" w:cs="Times New Roman"/>
          <w:sz w:val="24"/>
          <w:szCs w:val="24"/>
        </w:rPr>
        <w:t>fueron</w:t>
      </w:r>
      <w:r w:rsidR="00686E08">
        <w:rPr>
          <w:rFonts w:ascii="Times New Roman" w:hAnsi="Times New Roman" w:cs="Times New Roman"/>
          <w:sz w:val="24"/>
          <w:szCs w:val="24"/>
        </w:rPr>
        <w:t xml:space="preserve"> </w:t>
      </w:r>
      <w:r w:rsidRPr="00DC6AF3">
        <w:rPr>
          <w:rFonts w:ascii="Times New Roman" w:hAnsi="Times New Roman" w:cs="Times New Roman"/>
          <w:sz w:val="24"/>
          <w:szCs w:val="24"/>
        </w:rPr>
        <w:t>de los más afectados. Los hogares encabezados por microempresarios y TCP perdieron un 13.6% entre el 2019 y el 2020, así como los encabezados por asalariados informales perdieron un 16.6%. Asimismo, podemos ver que los hogares encabezados por desocupados e inactivos</w:t>
      </w:r>
      <w:r w:rsidR="00800CE9">
        <w:rPr>
          <w:rFonts w:ascii="Times New Roman" w:hAnsi="Times New Roman" w:cs="Times New Roman"/>
          <w:sz w:val="24"/>
          <w:szCs w:val="24"/>
        </w:rPr>
        <w:t xml:space="preserve"> </w:t>
      </w:r>
      <w:r w:rsidRPr="00DC6AF3">
        <w:rPr>
          <w:rFonts w:ascii="Times New Roman" w:hAnsi="Times New Roman" w:cs="Times New Roman"/>
          <w:sz w:val="24"/>
          <w:szCs w:val="24"/>
        </w:rPr>
        <w:t xml:space="preserve">sufrieron las </w:t>
      </w:r>
      <w:r w:rsidR="00F506D1" w:rsidRPr="00DC6AF3">
        <w:rPr>
          <w:rFonts w:ascii="Times New Roman" w:hAnsi="Times New Roman" w:cs="Times New Roman"/>
          <w:sz w:val="24"/>
          <w:szCs w:val="24"/>
        </w:rPr>
        <w:t>mayores pérdidas</w:t>
      </w:r>
      <w:r w:rsidR="00686E08">
        <w:rPr>
          <w:rFonts w:ascii="Times New Roman" w:hAnsi="Times New Roman" w:cs="Times New Roman"/>
          <w:sz w:val="24"/>
          <w:szCs w:val="24"/>
        </w:rPr>
        <w:t xml:space="preserve"> (</w:t>
      </w:r>
      <w:r w:rsidR="00800CE9">
        <w:rPr>
          <w:rFonts w:ascii="Times New Roman" w:hAnsi="Times New Roman" w:cs="Times New Roman"/>
          <w:sz w:val="24"/>
          <w:szCs w:val="24"/>
        </w:rPr>
        <w:t>39.8</w:t>
      </w:r>
      <w:r w:rsidR="00764FA0">
        <w:rPr>
          <w:rFonts w:ascii="Times New Roman" w:hAnsi="Times New Roman" w:cs="Times New Roman"/>
          <w:sz w:val="24"/>
          <w:szCs w:val="24"/>
        </w:rPr>
        <w:t>%</w:t>
      </w:r>
      <w:r w:rsidR="00686E08">
        <w:rPr>
          <w:rFonts w:ascii="Times New Roman" w:hAnsi="Times New Roman" w:cs="Times New Roman"/>
          <w:sz w:val="24"/>
          <w:szCs w:val="24"/>
        </w:rPr>
        <w:t>)</w:t>
      </w:r>
      <w:r w:rsidRPr="00DC6AF3">
        <w:rPr>
          <w:rFonts w:ascii="Times New Roman" w:hAnsi="Times New Roman" w:cs="Times New Roman"/>
          <w:sz w:val="24"/>
          <w:szCs w:val="24"/>
        </w:rPr>
        <w:t>.</w:t>
      </w:r>
      <w:r w:rsidR="00764FA0">
        <w:rPr>
          <w:rFonts w:ascii="Times New Roman" w:hAnsi="Times New Roman" w:cs="Times New Roman"/>
          <w:sz w:val="24"/>
          <w:szCs w:val="24"/>
        </w:rPr>
        <w:t xml:space="preserve"> Esta caída refuerza la hipótesis, ya que estos sectores </w:t>
      </w:r>
      <w:r w:rsidR="00F506D1">
        <w:rPr>
          <w:rFonts w:ascii="Times New Roman" w:hAnsi="Times New Roman" w:cs="Times New Roman"/>
          <w:sz w:val="24"/>
          <w:szCs w:val="24"/>
        </w:rPr>
        <w:t>aumentaron</w:t>
      </w:r>
      <w:r w:rsidR="00764FA0">
        <w:rPr>
          <w:rFonts w:ascii="Times New Roman" w:hAnsi="Times New Roman" w:cs="Times New Roman"/>
          <w:sz w:val="24"/>
          <w:szCs w:val="24"/>
        </w:rPr>
        <w:t xml:space="preserve"> su </w:t>
      </w:r>
      <w:r w:rsidR="00F506D1">
        <w:rPr>
          <w:rFonts w:ascii="Times New Roman" w:hAnsi="Times New Roman" w:cs="Times New Roman"/>
          <w:sz w:val="24"/>
          <w:szCs w:val="24"/>
        </w:rPr>
        <w:t>proporción</w:t>
      </w:r>
      <w:r w:rsidR="00764FA0">
        <w:rPr>
          <w:rFonts w:ascii="Times New Roman" w:hAnsi="Times New Roman" w:cs="Times New Roman"/>
          <w:sz w:val="24"/>
          <w:szCs w:val="24"/>
        </w:rPr>
        <w:t xml:space="preserve"> gracias a los sectores informales o cuenta propia</w:t>
      </w:r>
      <w:r w:rsidR="00E5583A">
        <w:rPr>
          <w:rFonts w:ascii="Times New Roman" w:hAnsi="Times New Roman" w:cs="Times New Roman"/>
          <w:sz w:val="24"/>
          <w:szCs w:val="24"/>
        </w:rPr>
        <w:t>.</w:t>
      </w:r>
      <w:r w:rsidR="00764FA0">
        <w:rPr>
          <w:rFonts w:ascii="Times New Roman" w:hAnsi="Times New Roman" w:cs="Times New Roman"/>
          <w:sz w:val="24"/>
          <w:szCs w:val="24"/>
        </w:rPr>
        <w:t xml:space="preserve"> </w:t>
      </w:r>
      <w:r w:rsidR="006E2E59">
        <w:rPr>
          <w:rFonts w:ascii="Times New Roman" w:hAnsi="Times New Roman" w:cs="Times New Roman"/>
          <w:sz w:val="24"/>
          <w:szCs w:val="24"/>
        </w:rPr>
        <w:t xml:space="preserve">En el caso de los estratos de asalariados formales fueron los que menos perdieron (unos 8.9 </w:t>
      </w:r>
      <w:proofErr w:type="spellStart"/>
      <w:r w:rsidR="006E2E59">
        <w:rPr>
          <w:rFonts w:ascii="Times New Roman" w:hAnsi="Times New Roman" w:cs="Times New Roman"/>
          <w:sz w:val="24"/>
          <w:szCs w:val="24"/>
        </w:rPr>
        <w:t>pp</w:t>
      </w:r>
      <w:proofErr w:type="spellEnd"/>
      <w:r w:rsidR="006E2E59">
        <w:rPr>
          <w:rFonts w:ascii="Times New Roman" w:hAnsi="Times New Roman" w:cs="Times New Roman"/>
          <w:sz w:val="24"/>
          <w:szCs w:val="24"/>
        </w:rPr>
        <w:t xml:space="preserve"> entre el año 2019 y el 2020), manteniendo estables en contraste con el resto de los hogares</w:t>
      </w:r>
      <w:r w:rsidRPr="00DC6AF3">
        <w:rPr>
          <w:rFonts w:ascii="Times New Roman" w:hAnsi="Times New Roman" w:cs="Times New Roman"/>
          <w:sz w:val="24"/>
          <w:szCs w:val="24"/>
        </w:rPr>
        <w:t xml:space="preserve">. Lo ocurrido con los </w:t>
      </w:r>
      <w:r w:rsidRPr="00DC6AF3">
        <w:rPr>
          <w:rFonts w:ascii="Times New Roman" w:hAnsi="Times New Roman" w:cs="Times New Roman"/>
          <w:sz w:val="24"/>
          <w:szCs w:val="24"/>
        </w:rPr>
        <w:lastRenderedPageBreak/>
        <w:t xml:space="preserve">hogares encabezados por empresarios y TCP formales, que fueron los que más ingresos per cápita (34,8 </w:t>
      </w:r>
      <w:proofErr w:type="spellStart"/>
      <w:r w:rsidRPr="00DC6AF3">
        <w:rPr>
          <w:rFonts w:ascii="Times New Roman" w:hAnsi="Times New Roman" w:cs="Times New Roman"/>
          <w:sz w:val="24"/>
          <w:szCs w:val="24"/>
        </w:rPr>
        <w:t>pp</w:t>
      </w:r>
      <w:proofErr w:type="spellEnd"/>
      <w:r w:rsidRPr="00DC6AF3">
        <w:rPr>
          <w:rFonts w:ascii="Times New Roman" w:hAnsi="Times New Roman" w:cs="Times New Roman"/>
          <w:sz w:val="24"/>
          <w:szCs w:val="24"/>
        </w:rPr>
        <w:t>) perdieron</w:t>
      </w:r>
      <w:r w:rsidR="00A65405">
        <w:rPr>
          <w:rFonts w:ascii="Times New Roman" w:hAnsi="Times New Roman" w:cs="Times New Roman"/>
          <w:sz w:val="24"/>
          <w:szCs w:val="24"/>
        </w:rPr>
        <w:t>,</w:t>
      </w:r>
      <w:r w:rsidRPr="00DC6AF3">
        <w:rPr>
          <w:rFonts w:ascii="Times New Roman" w:hAnsi="Times New Roman" w:cs="Times New Roman"/>
          <w:sz w:val="24"/>
          <w:szCs w:val="24"/>
        </w:rPr>
        <w:t xml:space="preserve"> se puede deber a la paralización en la actividad que sufrieron los profesionales independientes en el contexto del Covid-19.</w:t>
      </w:r>
    </w:p>
    <w:tbl>
      <w:tblPr>
        <w:tblStyle w:val="Tablaconcuadrcula"/>
        <w:tblW w:w="10602" w:type="dxa"/>
        <w:tblLook w:val="04A0" w:firstRow="1" w:lastRow="0" w:firstColumn="1" w:lastColumn="0" w:noHBand="0" w:noVBand="1"/>
      </w:tblPr>
      <w:tblGrid>
        <w:gridCol w:w="2376"/>
        <w:gridCol w:w="1399"/>
        <w:gridCol w:w="1399"/>
        <w:gridCol w:w="1399"/>
        <w:gridCol w:w="1343"/>
        <w:gridCol w:w="1343"/>
        <w:gridCol w:w="1343"/>
      </w:tblGrid>
      <w:tr w:rsidR="00662E4A" w:rsidRPr="00DC6AF3" w14:paraId="78047CBB" w14:textId="77777777" w:rsidTr="00FD1196">
        <w:trPr>
          <w:trHeight w:val="397"/>
        </w:trPr>
        <w:tc>
          <w:tcPr>
            <w:tcW w:w="10602" w:type="dxa"/>
            <w:gridSpan w:val="7"/>
            <w:tcBorders>
              <w:top w:val="nil"/>
              <w:left w:val="nil"/>
              <w:bottom w:val="single" w:sz="4" w:space="0" w:color="auto"/>
              <w:right w:val="nil"/>
            </w:tcBorders>
          </w:tcPr>
          <w:p w14:paraId="1BCBE45D" w14:textId="3BD6A7B6" w:rsidR="00662E4A" w:rsidRPr="00DC6AF3" w:rsidRDefault="00662E4A" w:rsidP="00FD1196">
            <w:pPr>
              <w:spacing w:line="360" w:lineRule="auto"/>
              <w:jc w:val="both"/>
              <w:rPr>
                <w:rFonts w:ascii="Times New Roman" w:hAnsi="Times New Roman" w:cs="Times New Roman"/>
                <w:sz w:val="24"/>
                <w:szCs w:val="24"/>
              </w:rPr>
            </w:pPr>
            <w:r w:rsidRPr="00DC6AF3">
              <w:rPr>
                <w:rFonts w:ascii="Times New Roman" w:hAnsi="Times New Roman" w:cs="Times New Roman"/>
                <w:b/>
                <w:bCs/>
              </w:rPr>
              <w:t xml:space="preserve">Cuadro </w:t>
            </w:r>
            <w:r w:rsidR="002F2CE7">
              <w:rPr>
                <w:rFonts w:ascii="Times New Roman" w:hAnsi="Times New Roman" w:cs="Times New Roman"/>
                <w:b/>
                <w:bCs/>
              </w:rPr>
              <w:t>0</w:t>
            </w:r>
            <w:r w:rsidRPr="00DC6AF3">
              <w:rPr>
                <w:rFonts w:ascii="Times New Roman" w:hAnsi="Times New Roman" w:cs="Times New Roman"/>
                <w:b/>
                <w:bCs/>
              </w:rPr>
              <w:t xml:space="preserve">3. Evolución del ingreso per cápita familiar según posición socio-ocupacional del jefe de hogar.  Hogares con PSH </w:t>
            </w:r>
            <w:r>
              <w:rPr>
                <w:rFonts w:ascii="Times New Roman" w:hAnsi="Times New Roman" w:cs="Times New Roman"/>
                <w:b/>
                <w:bCs/>
              </w:rPr>
              <w:t>activo</w:t>
            </w:r>
            <w:r w:rsidRPr="00DC6AF3">
              <w:rPr>
                <w:rFonts w:ascii="Times New Roman" w:hAnsi="Times New Roman" w:cs="Times New Roman"/>
                <w:b/>
                <w:bCs/>
              </w:rPr>
              <w:t xml:space="preserve">, total de aglomerados urbanos, Argentina, 2019-2021 </w:t>
            </w:r>
            <w:r w:rsidRPr="00DC6AF3">
              <w:rPr>
                <w:rFonts w:ascii="Times New Roman" w:hAnsi="Times New Roman" w:cs="Times New Roman"/>
                <w:b/>
                <w:bCs/>
                <w:i/>
                <w:iCs/>
              </w:rPr>
              <w:t>(en base 2019=100)</w:t>
            </w:r>
          </w:p>
        </w:tc>
      </w:tr>
      <w:tr w:rsidR="00662E4A" w:rsidRPr="00DC6AF3" w14:paraId="6B254A41" w14:textId="77777777" w:rsidTr="00FD1196">
        <w:trPr>
          <w:trHeight w:val="397"/>
        </w:trPr>
        <w:tc>
          <w:tcPr>
            <w:tcW w:w="2376" w:type="dxa"/>
            <w:tcBorders>
              <w:top w:val="single" w:sz="4" w:space="0" w:color="auto"/>
              <w:left w:val="single" w:sz="4" w:space="0" w:color="auto"/>
              <w:bottom w:val="nil"/>
              <w:right w:val="nil"/>
            </w:tcBorders>
          </w:tcPr>
          <w:p w14:paraId="5F31F912" w14:textId="77777777" w:rsidR="00662E4A" w:rsidRPr="00DC6AF3" w:rsidRDefault="00662E4A" w:rsidP="00FD1196">
            <w:pPr>
              <w:spacing w:line="360" w:lineRule="auto"/>
              <w:jc w:val="both"/>
              <w:rPr>
                <w:rFonts w:ascii="Times New Roman" w:hAnsi="Times New Roman" w:cs="Times New Roman"/>
                <w:sz w:val="24"/>
                <w:szCs w:val="24"/>
              </w:rPr>
            </w:pPr>
          </w:p>
        </w:tc>
        <w:tc>
          <w:tcPr>
            <w:tcW w:w="1399" w:type="dxa"/>
            <w:vMerge w:val="restart"/>
            <w:tcBorders>
              <w:top w:val="single" w:sz="4" w:space="0" w:color="auto"/>
              <w:left w:val="nil"/>
              <w:bottom w:val="nil"/>
              <w:right w:val="nil"/>
            </w:tcBorders>
            <w:vAlign w:val="center"/>
          </w:tcPr>
          <w:p w14:paraId="1B2D15C3"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 IIIT</w:t>
            </w:r>
          </w:p>
        </w:tc>
        <w:tc>
          <w:tcPr>
            <w:tcW w:w="1399" w:type="dxa"/>
            <w:vMerge w:val="restart"/>
            <w:tcBorders>
              <w:top w:val="single" w:sz="4" w:space="0" w:color="auto"/>
              <w:left w:val="nil"/>
              <w:bottom w:val="nil"/>
              <w:right w:val="nil"/>
            </w:tcBorders>
            <w:vAlign w:val="center"/>
          </w:tcPr>
          <w:p w14:paraId="2BA894BC"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 IIIT</w:t>
            </w:r>
          </w:p>
        </w:tc>
        <w:tc>
          <w:tcPr>
            <w:tcW w:w="1399" w:type="dxa"/>
            <w:vMerge w:val="restart"/>
            <w:tcBorders>
              <w:top w:val="single" w:sz="4" w:space="0" w:color="auto"/>
              <w:left w:val="nil"/>
              <w:bottom w:val="nil"/>
              <w:right w:val="single" w:sz="4" w:space="0" w:color="auto"/>
            </w:tcBorders>
            <w:vAlign w:val="center"/>
          </w:tcPr>
          <w:p w14:paraId="7D5EC14A"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2021 IIIT</w:t>
            </w:r>
          </w:p>
        </w:tc>
        <w:tc>
          <w:tcPr>
            <w:tcW w:w="4029" w:type="dxa"/>
            <w:gridSpan w:val="3"/>
            <w:tcBorders>
              <w:top w:val="single" w:sz="4" w:space="0" w:color="auto"/>
              <w:left w:val="single" w:sz="4" w:space="0" w:color="auto"/>
            </w:tcBorders>
            <w:shd w:val="clear" w:color="auto" w:fill="F2F2F2" w:themeFill="background1" w:themeFillShade="F2"/>
          </w:tcPr>
          <w:p w14:paraId="372A41A6"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Variación (p.p.)</w:t>
            </w:r>
          </w:p>
        </w:tc>
      </w:tr>
      <w:tr w:rsidR="00662E4A" w:rsidRPr="00DC6AF3" w14:paraId="223F7FBE" w14:textId="77777777" w:rsidTr="00FD1196">
        <w:trPr>
          <w:trHeight w:val="397"/>
        </w:trPr>
        <w:tc>
          <w:tcPr>
            <w:tcW w:w="2376" w:type="dxa"/>
            <w:tcBorders>
              <w:top w:val="nil"/>
              <w:left w:val="single" w:sz="4" w:space="0" w:color="auto"/>
              <w:bottom w:val="single" w:sz="4" w:space="0" w:color="auto"/>
              <w:right w:val="nil"/>
            </w:tcBorders>
          </w:tcPr>
          <w:p w14:paraId="109E8E5C" w14:textId="77777777" w:rsidR="00662E4A" w:rsidRPr="00DC6AF3" w:rsidRDefault="00662E4A"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2DC824E2" w14:textId="77777777" w:rsidR="00662E4A" w:rsidRPr="00DC6AF3" w:rsidRDefault="00662E4A"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723BB430" w14:textId="77777777" w:rsidR="00662E4A" w:rsidRPr="00DC6AF3" w:rsidRDefault="00662E4A"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single" w:sz="4" w:space="0" w:color="auto"/>
            </w:tcBorders>
          </w:tcPr>
          <w:p w14:paraId="777C7737" w14:textId="77777777" w:rsidR="00662E4A" w:rsidRPr="00DC6AF3" w:rsidRDefault="00662E4A" w:rsidP="00FD1196">
            <w:pPr>
              <w:spacing w:line="360" w:lineRule="auto"/>
              <w:jc w:val="both"/>
              <w:rPr>
                <w:rFonts w:ascii="Times New Roman" w:hAnsi="Times New Roman" w:cs="Times New Roman"/>
                <w:sz w:val="24"/>
                <w:szCs w:val="24"/>
              </w:rPr>
            </w:pPr>
          </w:p>
        </w:tc>
        <w:tc>
          <w:tcPr>
            <w:tcW w:w="1343" w:type="dxa"/>
            <w:tcBorders>
              <w:left w:val="single" w:sz="4" w:space="0" w:color="auto"/>
            </w:tcBorders>
            <w:shd w:val="clear" w:color="auto" w:fill="F2F2F2" w:themeFill="background1" w:themeFillShade="F2"/>
          </w:tcPr>
          <w:p w14:paraId="7CF67AD4" w14:textId="77777777" w:rsidR="00662E4A" w:rsidRPr="00DC6AF3" w:rsidRDefault="00662E4A"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2019-2020</w:t>
            </w:r>
          </w:p>
        </w:tc>
        <w:tc>
          <w:tcPr>
            <w:tcW w:w="1343" w:type="dxa"/>
            <w:shd w:val="clear" w:color="auto" w:fill="F2F2F2" w:themeFill="background1" w:themeFillShade="F2"/>
          </w:tcPr>
          <w:p w14:paraId="16D30EFB" w14:textId="77777777" w:rsidR="00662E4A" w:rsidRPr="00DC6AF3" w:rsidRDefault="00662E4A"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2020-2021</w:t>
            </w:r>
          </w:p>
        </w:tc>
        <w:tc>
          <w:tcPr>
            <w:tcW w:w="1343" w:type="dxa"/>
            <w:shd w:val="clear" w:color="auto" w:fill="F2F2F2" w:themeFill="background1" w:themeFillShade="F2"/>
          </w:tcPr>
          <w:p w14:paraId="39F25F51" w14:textId="77777777" w:rsidR="00662E4A" w:rsidRPr="00DC6AF3" w:rsidRDefault="00662E4A"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2019-2021</w:t>
            </w:r>
          </w:p>
        </w:tc>
      </w:tr>
      <w:tr w:rsidR="00662E4A" w:rsidRPr="00DC6AF3" w14:paraId="3AF916B7" w14:textId="77777777" w:rsidTr="00FD1196">
        <w:trPr>
          <w:trHeight w:val="680"/>
        </w:trPr>
        <w:tc>
          <w:tcPr>
            <w:tcW w:w="2376" w:type="dxa"/>
            <w:tcBorders>
              <w:top w:val="single" w:sz="4" w:space="0" w:color="auto"/>
            </w:tcBorders>
          </w:tcPr>
          <w:p w14:paraId="79146347" w14:textId="77777777" w:rsidR="00662E4A" w:rsidRPr="00DC6AF3" w:rsidRDefault="00662E4A" w:rsidP="00FD1196">
            <w:pPr>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Empleadores/as y TCP formales</w:t>
            </w:r>
          </w:p>
        </w:tc>
        <w:tc>
          <w:tcPr>
            <w:tcW w:w="1399" w:type="dxa"/>
            <w:tcBorders>
              <w:top w:val="single" w:sz="4" w:space="0" w:color="auto"/>
            </w:tcBorders>
            <w:vAlign w:val="center"/>
          </w:tcPr>
          <w:p w14:paraId="1E31910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tcBorders>
              <w:top w:val="single" w:sz="4" w:space="0" w:color="auto"/>
            </w:tcBorders>
            <w:vAlign w:val="center"/>
          </w:tcPr>
          <w:p w14:paraId="6E95ABA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65.2</w:t>
            </w:r>
          </w:p>
        </w:tc>
        <w:tc>
          <w:tcPr>
            <w:tcW w:w="1399" w:type="dxa"/>
            <w:tcBorders>
              <w:top w:val="single" w:sz="4" w:space="0" w:color="auto"/>
            </w:tcBorders>
            <w:vAlign w:val="center"/>
          </w:tcPr>
          <w:p w14:paraId="7EE73E5E"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76.5</w:t>
            </w:r>
          </w:p>
        </w:tc>
        <w:tc>
          <w:tcPr>
            <w:tcW w:w="1343" w:type="dxa"/>
            <w:shd w:val="clear" w:color="auto" w:fill="F2F2F2" w:themeFill="background1" w:themeFillShade="F2"/>
            <w:vAlign w:val="center"/>
          </w:tcPr>
          <w:p w14:paraId="0850A38C"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-34.8</w:t>
            </w:r>
          </w:p>
        </w:tc>
        <w:tc>
          <w:tcPr>
            <w:tcW w:w="1343" w:type="dxa"/>
            <w:shd w:val="clear" w:color="auto" w:fill="F2F2F2" w:themeFill="background1" w:themeFillShade="F2"/>
            <w:vAlign w:val="center"/>
          </w:tcPr>
          <w:p w14:paraId="189EEE0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11.3</w:t>
            </w:r>
          </w:p>
        </w:tc>
        <w:tc>
          <w:tcPr>
            <w:tcW w:w="1343" w:type="dxa"/>
            <w:shd w:val="clear" w:color="auto" w:fill="F2F2F2" w:themeFill="background1" w:themeFillShade="F2"/>
            <w:vAlign w:val="center"/>
          </w:tcPr>
          <w:p w14:paraId="241E56EA"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-23.5</w:t>
            </w:r>
          </w:p>
        </w:tc>
      </w:tr>
      <w:tr w:rsidR="00662E4A" w:rsidRPr="00DC6AF3" w14:paraId="6CEB9D10" w14:textId="77777777" w:rsidTr="00FD1196">
        <w:trPr>
          <w:trHeight w:val="680"/>
        </w:trPr>
        <w:tc>
          <w:tcPr>
            <w:tcW w:w="2376" w:type="dxa"/>
          </w:tcPr>
          <w:p w14:paraId="00E93DCE" w14:textId="77777777" w:rsidR="00662E4A" w:rsidRPr="00DC6AF3" w:rsidRDefault="00662E4A"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formales</w:t>
            </w:r>
          </w:p>
        </w:tc>
        <w:tc>
          <w:tcPr>
            <w:tcW w:w="1399" w:type="dxa"/>
            <w:vAlign w:val="center"/>
          </w:tcPr>
          <w:p w14:paraId="0EF4BAB7"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5DABBEC5"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91.1</w:t>
            </w:r>
          </w:p>
        </w:tc>
        <w:tc>
          <w:tcPr>
            <w:tcW w:w="1399" w:type="dxa"/>
            <w:vAlign w:val="center"/>
          </w:tcPr>
          <w:p w14:paraId="20C26B11"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85.8</w:t>
            </w:r>
          </w:p>
        </w:tc>
        <w:tc>
          <w:tcPr>
            <w:tcW w:w="1343" w:type="dxa"/>
            <w:shd w:val="clear" w:color="auto" w:fill="F2F2F2" w:themeFill="background1" w:themeFillShade="F2"/>
            <w:vAlign w:val="center"/>
          </w:tcPr>
          <w:p w14:paraId="5D921EBA"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-8.9</w:t>
            </w:r>
          </w:p>
        </w:tc>
        <w:tc>
          <w:tcPr>
            <w:tcW w:w="1343" w:type="dxa"/>
            <w:shd w:val="clear" w:color="auto" w:fill="F2F2F2" w:themeFill="background1" w:themeFillShade="F2"/>
            <w:vAlign w:val="center"/>
          </w:tcPr>
          <w:p w14:paraId="49B19E36"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-5.3</w:t>
            </w:r>
          </w:p>
        </w:tc>
        <w:tc>
          <w:tcPr>
            <w:tcW w:w="1343" w:type="dxa"/>
            <w:shd w:val="clear" w:color="auto" w:fill="F2F2F2" w:themeFill="background1" w:themeFillShade="F2"/>
            <w:vAlign w:val="center"/>
          </w:tcPr>
          <w:p w14:paraId="3E0F52E3"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-14.2</w:t>
            </w:r>
          </w:p>
        </w:tc>
      </w:tr>
      <w:tr w:rsidR="00662E4A" w:rsidRPr="00DC6AF3" w14:paraId="72F0C7CD" w14:textId="77777777" w:rsidTr="00FD1196">
        <w:trPr>
          <w:trHeight w:val="680"/>
        </w:trPr>
        <w:tc>
          <w:tcPr>
            <w:tcW w:w="2376" w:type="dxa"/>
          </w:tcPr>
          <w:p w14:paraId="25F55D69" w14:textId="77777777" w:rsidR="00662E4A" w:rsidRPr="00DC6AF3" w:rsidRDefault="00662E4A"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Microempresarios/as y TCP informales</w:t>
            </w:r>
          </w:p>
        </w:tc>
        <w:tc>
          <w:tcPr>
            <w:tcW w:w="1399" w:type="dxa"/>
            <w:vAlign w:val="center"/>
          </w:tcPr>
          <w:p w14:paraId="510D3C84"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03D776B6"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86.4</w:t>
            </w:r>
          </w:p>
        </w:tc>
        <w:tc>
          <w:tcPr>
            <w:tcW w:w="1399" w:type="dxa"/>
            <w:vAlign w:val="center"/>
          </w:tcPr>
          <w:p w14:paraId="7BF1E706"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88.9</w:t>
            </w:r>
          </w:p>
        </w:tc>
        <w:tc>
          <w:tcPr>
            <w:tcW w:w="1343" w:type="dxa"/>
            <w:shd w:val="clear" w:color="auto" w:fill="F2F2F2" w:themeFill="background1" w:themeFillShade="F2"/>
            <w:vAlign w:val="center"/>
          </w:tcPr>
          <w:p w14:paraId="0A38D941"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-13.6</w:t>
            </w:r>
          </w:p>
        </w:tc>
        <w:tc>
          <w:tcPr>
            <w:tcW w:w="1343" w:type="dxa"/>
            <w:shd w:val="clear" w:color="auto" w:fill="F2F2F2" w:themeFill="background1" w:themeFillShade="F2"/>
            <w:vAlign w:val="center"/>
          </w:tcPr>
          <w:p w14:paraId="41F340B2"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2.5</w:t>
            </w:r>
          </w:p>
        </w:tc>
        <w:tc>
          <w:tcPr>
            <w:tcW w:w="1343" w:type="dxa"/>
            <w:shd w:val="clear" w:color="auto" w:fill="F2F2F2" w:themeFill="background1" w:themeFillShade="F2"/>
            <w:vAlign w:val="center"/>
          </w:tcPr>
          <w:p w14:paraId="2C05BB57"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-11.1</w:t>
            </w:r>
          </w:p>
        </w:tc>
      </w:tr>
      <w:tr w:rsidR="00662E4A" w:rsidRPr="00DC6AF3" w14:paraId="6A6E656F" w14:textId="77777777" w:rsidTr="00FD1196">
        <w:trPr>
          <w:trHeight w:val="680"/>
        </w:trPr>
        <w:tc>
          <w:tcPr>
            <w:tcW w:w="2376" w:type="dxa"/>
          </w:tcPr>
          <w:p w14:paraId="1A2E0374" w14:textId="77777777" w:rsidR="00662E4A" w:rsidRPr="00DC6AF3" w:rsidRDefault="00662E4A"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informales</w:t>
            </w:r>
          </w:p>
        </w:tc>
        <w:tc>
          <w:tcPr>
            <w:tcW w:w="1399" w:type="dxa"/>
            <w:vAlign w:val="center"/>
          </w:tcPr>
          <w:p w14:paraId="724735E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30EBEB09"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83.4</w:t>
            </w:r>
          </w:p>
        </w:tc>
        <w:tc>
          <w:tcPr>
            <w:tcW w:w="1399" w:type="dxa"/>
            <w:vAlign w:val="center"/>
          </w:tcPr>
          <w:p w14:paraId="65A48585"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91.3</w:t>
            </w:r>
          </w:p>
        </w:tc>
        <w:tc>
          <w:tcPr>
            <w:tcW w:w="1343" w:type="dxa"/>
            <w:shd w:val="clear" w:color="auto" w:fill="F2F2F2" w:themeFill="background1" w:themeFillShade="F2"/>
            <w:vAlign w:val="center"/>
          </w:tcPr>
          <w:p w14:paraId="73A32391"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-16.6</w:t>
            </w:r>
          </w:p>
        </w:tc>
        <w:tc>
          <w:tcPr>
            <w:tcW w:w="1343" w:type="dxa"/>
            <w:shd w:val="clear" w:color="auto" w:fill="F2F2F2" w:themeFill="background1" w:themeFillShade="F2"/>
            <w:vAlign w:val="center"/>
          </w:tcPr>
          <w:p w14:paraId="5498733A"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7.9</w:t>
            </w:r>
          </w:p>
        </w:tc>
        <w:tc>
          <w:tcPr>
            <w:tcW w:w="1343" w:type="dxa"/>
            <w:shd w:val="clear" w:color="auto" w:fill="F2F2F2" w:themeFill="background1" w:themeFillShade="F2"/>
            <w:vAlign w:val="center"/>
          </w:tcPr>
          <w:p w14:paraId="77895427"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-8.7</w:t>
            </w:r>
          </w:p>
        </w:tc>
      </w:tr>
      <w:tr w:rsidR="00662E4A" w:rsidRPr="00DC6AF3" w14:paraId="1D52A1B6" w14:textId="77777777" w:rsidTr="00FD1196">
        <w:trPr>
          <w:trHeight w:val="680"/>
        </w:trPr>
        <w:tc>
          <w:tcPr>
            <w:tcW w:w="2376" w:type="dxa"/>
          </w:tcPr>
          <w:p w14:paraId="28364A89" w14:textId="77777777" w:rsidR="00662E4A" w:rsidRPr="00DC6AF3" w:rsidRDefault="00662E4A"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0"/>
                <w:szCs w:val="20"/>
              </w:rPr>
              <w:t xml:space="preserve">Desocupados sin ocupación anterior e inactivos no jubilados ni pensionados </w:t>
            </w:r>
          </w:p>
        </w:tc>
        <w:tc>
          <w:tcPr>
            <w:tcW w:w="1399" w:type="dxa"/>
            <w:vAlign w:val="center"/>
          </w:tcPr>
          <w:p w14:paraId="45D6433C"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47DE29FD"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60.2</w:t>
            </w:r>
          </w:p>
        </w:tc>
        <w:tc>
          <w:tcPr>
            <w:tcW w:w="1399" w:type="dxa"/>
            <w:vAlign w:val="center"/>
          </w:tcPr>
          <w:p w14:paraId="30FDBCE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75.0</w:t>
            </w:r>
          </w:p>
        </w:tc>
        <w:tc>
          <w:tcPr>
            <w:tcW w:w="1343" w:type="dxa"/>
            <w:shd w:val="clear" w:color="auto" w:fill="F2F2F2" w:themeFill="background1" w:themeFillShade="F2"/>
            <w:vAlign w:val="center"/>
          </w:tcPr>
          <w:p w14:paraId="1144DCA3"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-39.8</w:t>
            </w:r>
          </w:p>
        </w:tc>
        <w:tc>
          <w:tcPr>
            <w:tcW w:w="1343" w:type="dxa"/>
            <w:shd w:val="clear" w:color="auto" w:fill="F2F2F2" w:themeFill="background1" w:themeFillShade="F2"/>
            <w:vAlign w:val="center"/>
          </w:tcPr>
          <w:p w14:paraId="19D11037"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14.8</w:t>
            </w:r>
          </w:p>
        </w:tc>
        <w:tc>
          <w:tcPr>
            <w:tcW w:w="1343" w:type="dxa"/>
            <w:shd w:val="clear" w:color="auto" w:fill="F2F2F2" w:themeFill="background1" w:themeFillShade="F2"/>
            <w:vAlign w:val="center"/>
          </w:tcPr>
          <w:p w14:paraId="0467CDE6"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-25.0</w:t>
            </w:r>
          </w:p>
        </w:tc>
      </w:tr>
      <w:tr w:rsidR="00662E4A" w:rsidRPr="00DC6AF3" w14:paraId="24F89977" w14:textId="77777777" w:rsidTr="00FD1196">
        <w:trPr>
          <w:trHeight w:val="680"/>
        </w:trPr>
        <w:tc>
          <w:tcPr>
            <w:tcW w:w="2376" w:type="dxa"/>
            <w:tcBorders>
              <w:bottom w:val="single" w:sz="4" w:space="0" w:color="auto"/>
            </w:tcBorders>
          </w:tcPr>
          <w:p w14:paraId="06127C97" w14:textId="77777777" w:rsidR="00662E4A" w:rsidRPr="00DC6AF3" w:rsidRDefault="00662E4A"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 xml:space="preserve">Total </w:t>
            </w:r>
          </w:p>
        </w:tc>
        <w:tc>
          <w:tcPr>
            <w:tcW w:w="1399" w:type="dxa"/>
            <w:tcBorders>
              <w:bottom w:val="single" w:sz="4" w:space="0" w:color="auto"/>
            </w:tcBorders>
            <w:vAlign w:val="center"/>
          </w:tcPr>
          <w:p w14:paraId="0E426C8C"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100.0</w:t>
            </w:r>
          </w:p>
        </w:tc>
        <w:tc>
          <w:tcPr>
            <w:tcW w:w="1399" w:type="dxa"/>
            <w:tcBorders>
              <w:bottom w:val="single" w:sz="4" w:space="0" w:color="auto"/>
            </w:tcBorders>
            <w:vAlign w:val="center"/>
          </w:tcPr>
          <w:p w14:paraId="254AF979"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83.3</w:t>
            </w:r>
          </w:p>
        </w:tc>
        <w:tc>
          <w:tcPr>
            <w:tcW w:w="1399" w:type="dxa"/>
            <w:tcBorders>
              <w:bottom w:val="single" w:sz="4" w:space="0" w:color="auto"/>
            </w:tcBorders>
            <w:vAlign w:val="center"/>
          </w:tcPr>
          <w:p w14:paraId="48515CCA"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85.7</w:t>
            </w:r>
          </w:p>
        </w:tc>
        <w:tc>
          <w:tcPr>
            <w:tcW w:w="1343" w:type="dxa"/>
            <w:tcBorders>
              <w:bottom w:val="single" w:sz="4" w:space="0" w:color="auto"/>
            </w:tcBorders>
            <w:shd w:val="clear" w:color="auto" w:fill="F2F2F2" w:themeFill="background1" w:themeFillShade="F2"/>
            <w:vAlign w:val="center"/>
          </w:tcPr>
          <w:p w14:paraId="7461964F"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-16.7</w:t>
            </w:r>
          </w:p>
        </w:tc>
        <w:tc>
          <w:tcPr>
            <w:tcW w:w="1343" w:type="dxa"/>
            <w:tcBorders>
              <w:bottom w:val="single" w:sz="4" w:space="0" w:color="auto"/>
            </w:tcBorders>
            <w:shd w:val="clear" w:color="auto" w:fill="F2F2F2" w:themeFill="background1" w:themeFillShade="F2"/>
            <w:vAlign w:val="center"/>
          </w:tcPr>
          <w:p w14:paraId="5ED0483D"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2.4</w:t>
            </w:r>
          </w:p>
        </w:tc>
        <w:tc>
          <w:tcPr>
            <w:tcW w:w="1343" w:type="dxa"/>
            <w:tcBorders>
              <w:bottom w:val="single" w:sz="4" w:space="0" w:color="auto"/>
            </w:tcBorders>
            <w:shd w:val="clear" w:color="auto" w:fill="F2F2F2" w:themeFill="background1" w:themeFillShade="F2"/>
            <w:vAlign w:val="center"/>
          </w:tcPr>
          <w:p w14:paraId="77702998" w14:textId="77777777" w:rsidR="00662E4A" w:rsidRPr="00DC6AF3" w:rsidRDefault="00662E4A" w:rsidP="00FD1196">
            <w:pPr>
              <w:spacing w:line="360" w:lineRule="auto"/>
              <w:jc w:val="center"/>
              <w:rPr>
                <w:rFonts w:ascii="Times New Roman" w:hAnsi="Times New Roman" w:cs="Times New Roman"/>
                <w:sz w:val="24"/>
                <w:szCs w:val="24"/>
              </w:rPr>
            </w:pPr>
            <w:r w:rsidRPr="00DC6AF3">
              <w:rPr>
                <w:rFonts w:ascii="Times New Roman" w:hAnsi="Times New Roman" w:cs="Times New Roman"/>
                <w:b/>
                <w:bCs/>
                <w:sz w:val="24"/>
                <w:szCs w:val="24"/>
              </w:rPr>
              <w:t>-14.3</w:t>
            </w:r>
          </w:p>
        </w:tc>
      </w:tr>
      <w:tr w:rsidR="00662E4A" w:rsidRPr="00DC6AF3" w14:paraId="3962C313" w14:textId="77777777" w:rsidTr="00FD1196">
        <w:trPr>
          <w:trHeight w:val="680"/>
        </w:trPr>
        <w:tc>
          <w:tcPr>
            <w:tcW w:w="10602" w:type="dxa"/>
            <w:gridSpan w:val="7"/>
            <w:tcBorders>
              <w:top w:val="single" w:sz="4" w:space="0" w:color="auto"/>
              <w:left w:val="nil"/>
              <w:bottom w:val="nil"/>
              <w:right w:val="nil"/>
            </w:tcBorders>
          </w:tcPr>
          <w:p w14:paraId="70243DC6" w14:textId="77777777" w:rsidR="00662E4A" w:rsidRPr="00DC6AF3" w:rsidRDefault="00662E4A" w:rsidP="00FD1196">
            <w:pPr>
              <w:spacing w:line="360" w:lineRule="auto"/>
              <w:jc w:val="both"/>
              <w:rPr>
                <w:rFonts w:ascii="Times New Roman" w:hAnsi="Times New Roman" w:cs="Times New Roman"/>
                <w:sz w:val="24"/>
                <w:szCs w:val="24"/>
              </w:rPr>
            </w:pPr>
            <w:r w:rsidRPr="00DC6AF3">
              <w:rPr>
                <w:rFonts w:ascii="Times New Roman" w:eastAsia="Calibri" w:hAnsi="Times New Roman" w:cs="Times New Roman"/>
                <w:sz w:val="18"/>
                <w:szCs w:val="18"/>
              </w:rPr>
              <w:t>Fuente: elaboración propia a partir de micro datos de la EPH-INDEC</w:t>
            </w:r>
          </w:p>
        </w:tc>
      </w:tr>
    </w:tbl>
    <w:p w14:paraId="61BB235C" w14:textId="0A270DAC" w:rsidR="00A5324A" w:rsidRPr="00DC6AF3" w:rsidRDefault="00A5324A" w:rsidP="00A5324A">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El 2021 fue un año de recuperación económica, pero se mantuvieron las consecuencias de la pandemia en términos de ingresos per cápita familiar. </w:t>
      </w:r>
      <w:r w:rsidR="00E9750B">
        <w:rPr>
          <w:rFonts w:ascii="Times New Roman" w:hAnsi="Times New Roman" w:cs="Times New Roman"/>
          <w:sz w:val="24"/>
          <w:szCs w:val="24"/>
        </w:rPr>
        <w:t xml:space="preserve">En efecto el balance 2019-2021 es negativo en todos los sectores. </w:t>
      </w:r>
      <w:r w:rsidRPr="00DC6AF3">
        <w:rPr>
          <w:rFonts w:ascii="Times New Roman" w:hAnsi="Times New Roman" w:cs="Times New Roman"/>
          <w:sz w:val="24"/>
          <w:szCs w:val="24"/>
        </w:rPr>
        <w:t xml:space="preserve">Los hogares encabezados por sectores informales lograron aumentar ingresos familiares con respecto al 2020, pero no logran superar los niveles del año 2019. Los únicos que no recuperaron ingresos familiares en el 2021 con respecto al 2020 fueron los hogares encabezados por asalariados formales que disminuyeron 5 pp. </w:t>
      </w:r>
      <w:r w:rsidR="00CB5C67">
        <w:rPr>
          <w:rFonts w:ascii="Times New Roman" w:hAnsi="Times New Roman" w:cs="Times New Roman"/>
          <w:sz w:val="24"/>
          <w:szCs w:val="24"/>
        </w:rPr>
        <w:t xml:space="preserve">Es probable que, a pesar </w:t>
      </w:r>
      <w:r w:rsidRPr="00DC6AF3">
        <w:rPr>
          <w:rFonts w:ascii="Times New Roman" w:hAnsi="Times New Roman" w:cs="Times New Roman"/>
          <w:sz w:val="24"/>
          <w:szCs w:val="24"/>
        </w:rPr>
        <w:t>de una cierta estabilidad en sus empleos, sus ingresos no se vieron modificados</w:t>
      </w:r>
      <w:r>
        <w:rPr>
          <w:rFonts w:ascii="Times New Roman" w:hAnsi="Times New Roman" w:cs="Times New Roman"/>
          <w:sz w:val="24"/>
          <w:szCs w:val="24"/>
        </w:rPr>
        <w:t>,</w:t>
      </w:r>
      <w:r w:rsidRPr="00DC6AF3">
        <w:rPr>
          <w:rFonts w:ascii="Times New Roman" w:hAnsi="Times New Roman" w:cs="Times New Roman"/>
          <w:sz w:val="24"/>
          <w:szCs w:val="24"/>
        </w:rPr>
        <w:t xml:space="preserve"> perdiendo poder de compra. </w:t>
      </w:r>
    </w:p>
    <w:p w14:paraId="634878AE" w14:textId="314695D0" w:rsidR="00A5324A" w:rsidRPr="00DC6AF3" w:rsidRDefault="00420394" w:rsidP="00A5324A">
      <w:pPr>
        <w:spacing w:line="360" w:lineRule="auto"/>
        <w:jc w:val="both"/>
        <w:rPr>
          <w:rFonts w:ascii="Times New Roman" w:hAnsi="Times New Roman" w:cs="Times New Roman"/>
          <w:sz w:val="24"/>
          <w:szCs w:val="24"/>
        </w:rPr>
      </w:pPr>
      <w:r>
        <w:rPr>
          <w:rFonts w:ascii="Times New Roman" w:hAnsi="Times New Roman" w:cs="Times New Roman"/>
          <w:sz w:val="24"/>
          <w:szCs w:val="24"/>
        </w:rPr>
        <w:t>El segundo indicador de las</w:t>
      </w:r>
      <w:r w:rsidR="00A5324A" w:rsidRPr="00DC6AF3">
        <w:rPr>
          <w:rFonts w:ascii="Times New Roman" w:hAnsi="Times New Roman" w:cs="Times New Roman"/>
          <w:sz w:val="24"/>
          <w:szCs w:val="24"/>
        </w:rPr>
        <w:t xml:space="preserve"> consecuencias de la crisis económica en el aumento del déficit de capacidades de subsistencia de los hogares. Como podemos ver en el cuadro 4, en el año 2019, vemos que aproximadamente la mitad de los hogares con PSH asalariado informal se encuentra en </w:t>
      </w:r>
      <w:r w:rsidR="00A5324A" w:rsidRPr="00DC6AF3">
        <w:rPr>
          <w:rFonts w:ascii="Times New Roman" w:hAnsi="Times New Roman" w:cs="Times New Roman"/>
          <w:sz w:val="24"/>
          <w:szCs w:val="24"/>
        </w:rPr>
        <w:lastRenderedPageBreak/>
        <w:t xml:space="preserve">déficit de capacidades de subsistencia en contraposición con un poco más de 1 de cada hogar con PSH asalariado formal. </w:t>
      </w:r>
    </w:p>
    <w:p w14:paraId="23C49F7E" w14:textId="2A1CE9B1" w:rsidR="00A5324A" w:rsidRPr="00DC6AF3" w:rsidRDefault="00A5324A" w:rsidP="4C001CDC">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Y en efecto, a pesar de que la caída fue transversal en la estructura social, el empobrecimiento de los hogares se profundizó como producto de la pandemia. Esto fue así especialmente en los hogares encabezados por microempresario y TCP informales, que tuvieron una caída de 6 </w:t>
      </w:r>
      <w:proofErr w:type="spellStart"/>
      <w:r w:rsidRPr="00DC6AF3">
        <w:rPr>
          <w:rFonts w:ascii="Times New Roman" w:hAnsi="Times New Roman" w:cs="Times New Roman"/>
          <w:sz w:val="24"/>
          <w:szCs w:val="24"/>
        </w:rPr>
        <w:t>pp</w:t>
      </w:r>
      <w:proofErr w:type="spellEnd"/>
      <w:r w:rsidRPr="00DC6AF3">
        <w:rPr>
          <w:rFonts w:ascii="Times New Roman" w:hAnsi="Times New Roman" w:cs="Times New Roman"/>
          <w:sz w:val="24"/>
          <w:szCs w:val="24"/>
        </w:rPr>
        <w:t xml:space="preserve"> entre el 2019 y el 2020. Lo que profundizaron su ya existente situación de pobreza son los hogares encabezados por desocupados e inactivos, los cuales aumentaron más de 10 </w:t>
      </w:r>
      <w:proofErr w:type="spellStart"/>
      <w:r w:rsidRPr="00DC6AF3">
        <w:rPr>
          <w:rFonts w:ascii="Times New Roman" w:hAnsi="Times New Roman" w:cs="Times New Roman"/>
          <w:sz w:val="24"/>
          <w:szCs w:val="24"/>
        </w:rPr>
        <w:t>pp</w:t>
      </w:r>
      <w:proofErr w:type="spellEnd"/>
      <w:r w:rsidRPr="00DC6AF3">
        <w:rPr>
          <w:rFonts w:ascii="Times New Roman" w:hAnsi="Times New Roman" w:cs="Times New Roman"/>
          <w:sz w:val="24"/>
          <w:szCs w:val="24"/>
        </w:rPr>
        <w:t xml:space="preserve"> en su déficit de capacidad de subsistencia. Por el lado de los hogares encabezados por asalariados, tanto informales como formales tuvieron una caída de 4 pp. Este fenómeno de los “trabajadores pobres”, es decir, ocupados que se encuentran en hogares por debajo de la línea de la pobreza afecta especialmente a los sectores informales (Poy, 2022).</w:t>
      </w:r>
    </w:p>
    <w:tbl>
      <w:tblPr>
        <w:tblStyle w:val="Tablaconcuadrcula"/>
        <w:tblW w:w="10602" w:type="dxa"/>
        <w:tblLook w:val="04A0" w:firstRow="1" w:lastRow="0" w:firstColumn="1" w:lastColumn="0" w:noHBand="0" w:noVBand="1"/>
      </w:tblPr>
      <w:tblGrid>
        <w:gridCol w:w="2376"/>
        <w:gridCol w:w="1399"/>
        <w:gridCol w:w="1399"/>
        <w:gridCol w:w="1399"/>
        <w:gridCol w:w="1343"/>
        <w:gridCol w:w="1343"/>
        <w:gridCol w:w="1343"/>
      </w:tblGrid>
      <w:tr w:rsidR="00324BE4" w:rsidRPr="00DC6AF3" w14:paraId="013EF999" w14:textId="77777777" w:rsidTr="00FE0062">
        <w:trPr>
          <w:trHeight w:val="397"/>
        </w:trPr>
        <w:tc>
          <w:tcPr>
            <w:tcW w:w="10602" w:type="dxa"/>
            <w:gridSpan w:val="7"/>
            <w:tcBorders>
              <w:top w:val="nil"/>
              <w:left w:val="nil"/>
              <w:bottom w:val="single" w:sz="4" w:space="0" w:color="auto"/>
              <w:right w:val="nil"/>
            </w:tcBorders>
          </w:tcPr>
          <w:p w14:paraId="5556E293" w14:textId="34ECB886" w:rsidR="00324BE4" w:rsidRPr="00DC6AF3" w:rsidRDefault="00FB0C9A" w:rsidP="00FE0062">
            <w:pPr>
              <w:spacing w:line="360" w:lineRule="auto"/>
              <w:jc w:val="both"/>
              <w:rPr>
                <w:rFonts w:ascii="Times New Roman" w:hAnsi="Times New Roman" w:cs="Times New Roman"/>
                <w:sz w:val="24"/>
                <w:szCs w:val="24"/>
              </w:rPr>
            </w:pPr>
            <w:r w:rsidRPr="00DC6AF3">
              <w:rPr>
                <w:rFonts w:ascii="Times New Roman" w:hAnsi="Times New Roman" w:cs="Times New Roman"/>
                <w:b/>
                <w:bCs/>
                <w:lang w:val="es-MX"/>
              </w:rPr>
              <w:t xml:space="preserve">Cuadro </w:t>
            </w:r>
            <w:r w:rsidR="002F2CE7">
              <w:rPr>
                <w:rFonts w:ascii="Times New Roman" w:hAnsi="Times New Roman" w:cs="Times New Roman"/>
                <w:b/>
                <w:bCs/>
                <w:lang w:val="es-MX"/>
              </w:rPr>
              <w:t>0</w:t>
            </w:r>
            <w:r w:rsidRPr="00DC6AF3">
              <w:rPr>
                <w:rFonts w:ascii="Times New Roman" w:hAnsi="Times New Roman" w:cs="Times New Roman"/>
                <w:b/>
                <w:bCs/>
                <w:lang w:val="es-MX"/>
              </w:rPr>
              <w:t xml:space="preserve">4.  Evolución del déficit de capacidades de subsistencia según posición socio-ocupacional del jefe de hogar.  Hogares con PSH </w:t>
            </w:r>
            <w:r w:rsidR="0073301E">
              <w:rPr>
                <w:rFonts w:ascii="Times New Roman" w:hAnsi="Times New Roman" w:cs="Times New Roman"/>
                <w:b/>
                <w:bCs/>
                <w:lang w:val="es-MX"/>
              </w:rPr>
              <w:t>activo</w:t>
            </w:r>
            <w:r w:rsidRPr="00DC6AF3">
              <w:rPr>
                <w:rFonts w:ascii="Times New Roman" w:hAnsi="Times New Roman" w:cs="Times New Roman"/>
                <w:b/>
                <w:bCs/>
                <w:lang w:val="es-MX"/>
              </w:rPr>
              <w:t xml:space="preserve">, total de aglomerados urbanos, Argentina, 2019-2021 </w:t>
            </w:r>
            <w:r w:rsidRPr="00DC6AF3">
              <w:rPr>
                <w:rFonts w:ascii="Times New Roman" w:hAnsi="Times New Roman" w:cs="Times New Roman"/>
                <w:b/>
                <w:bCs/>
                <w:i/>
                <w:iCs/>
                <w:lang w:val="es-MX"/>
              </w:rPr>
              <w:t>(en porcentajes)</w:t>
            </w:r>
          </w:p>
        </w:tc>
      </w:tr>
      <w:tr w:rsidR="00324BE4" w:rsidRPr="00DC6AF3" w14:paraId="396BC6D1" w14:textId="77777777" w:rsidTr="00FE0062">
        <w:trPr>
          <w:trHeight w:val="397"/>
        </w:trPr>
        <w:tc>
          <w:tcPr>
            <w:tcW w:w="2376" w:type="dxa"/>
            <w:tcBorders>
              <w:top w:val="single" w:sz="4" w:space="0" w:color="auto"/>
              <w:left w:val="single" w:sz="4" w:space="0" w:color="auto"/>
              <w:bottom w:val="nil"/>
              <w:right w:val="nil"/>
            </w:tcBorders>
          </w:tcPr>
          <w:p w14:paraId="67FA0E0A" w14:textId="77777777" w:rsidR="00324BE4" w:rsidRPr="00DC6AF3" w:rsidRDefault="00324BE4" w:rsidP="00FE0062">
            <w:pPr>
              <w:spacing w:line="360" w:lineRule="auto"/>
              <w:jc w:val="both"/>
              <w:rPr>
                <w:rFonts w:ascii="Times New Roman" w:hAnsi="Times New Roman" w:cs="Times New Roman"/>
                <w:sz w:val="24"/>
                <w:szCs w:val="24"/>
              </w:rPr>
            </w:pPr>
          </w:p>
        </w:tc>
        <w:tc>
          <w:tcPr>
            <w:tcW w:w="1399" w:type="dxa"/>
            <w:vMerge w:val="restart"/>
            <w:tcBorders>
              <w:top w:val="single" w:sz="4" w:space="0" w:color="auto"/>
              <w:left w:val="nil"/>
              <w:bottom w:val="nil"/>
              <w:right w:val="nil"/>
            </w:tcBorders>
            <w:vAlign w:val="center"/>
          </w:tcPr>
          <w:p w14:paraId="7EF97CF5" w14:textId="77777777" w:rsidR="00324BE4" w:rsidRPr="00DC6AF3" w:rsidRDefault="00324BE4"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 IIIT</w:t>
            </w:r>
          </w:p>
        </w:tc>
        <w:tc>
          <w:tcPr>
            <w:tcW w:w="1399" w:type="dxa"/>
            <w:vMerge w:val="restart"/>
            <w:tcBorders>
              <w:top w:val="single" w:sz="4" w:space="0" w:color="auto"/>
              <w:left w:val="nil"/>
              <w:bottom w:val="nil"/>
              <w:right w:val="nil"/>
            </w:tcBorders>
            <w:vAlign w:val="center"/>
          </w:tcPr>
          <w:p w14:paraId="443BBAD0" w14:textId="77777777" w:rsidR="00324BE4" w:rsidRPr="00DC6AF3" w:rsidRDefault="00324BE4"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 IIIT</w:t>
            </w:r>
          </w:p>
        </w:tc>
        <w:tc>
          <w:tcPr>
            <w:tcW w:w="1399" w:type="dxa"/>
            <w:vMerge w:val="restart"/>
            <w:tcBorders>
              <w:top w:val="single" w:sz="4" w:space="0" w:color="auto"/>
              <w:left w:val="nil"/>
              <w:bottom w:val="nil"/>
              <w:right w:val="single" w:sz="4" w:space="0" w:color="auto"/>
            </w:tcBorders>
            <w:vAlign w:val="center"/>
          </w:tcPr>
          <w:p w14:paraId="427AA87C" w14:textId="77777777" w:rsidR="00324BE4" w:rsidRPr="00DC6AF3" w:rsidRDefault="00324BE4"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2021 IIIT</w:t>
            </w:r>
          </w:p>
        </w:tc>
        <w:tc>
          <w:tcPr>
            <w:tcW w:w="4029" w:type="dxa"/>
            <w:gridSpan w:val="3"/>
            <w:tcBorders>
              <w:top w:val="single" w:sz="4" w:space="0" w:color="auto"/>
              <w:left w:val="single" w:sz="4" w:space="0" w:color="auto"/>
            </w:tcBorders>
            <w:shd w:val="clear" w:color="auto" w:fill="F2F2F2" w:themeFill="background1" w:themeFillShade="F2"/>
          </w:tcPr>
          <w:p w14:paraId="769E7E9A" w14:textId="77777777" w:rsidR="00324BE4" w:rsidRPr="00DC6AF3" w:rsidRDefault="00324BE4"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Variación (p.p.)</w:t>
            </w:r>
          </w:p>
        </w:tc>
      </w:tr>
      <w:tr w:rsidR="00324BE4" w:rsidRPr="00DC6AF3" w14:paraId="39951B68" w14:textId="77777777" w:rsidTr="00FE0062">
        <w:trPr>
          <w:trHeight w:val="397"/>
        </w:trPr>
        <w:tc>
          <w:tcPr>
            <w:tcW w:w="2376" w:type="dxa"/>
            <w:tcBorders>
              <w:top w:val="nil"/>
              <w:left w:val="single" w:sz="4" w:space="0" w:color="auto"/>
              <w:bottom w:val="single" w:sz="4" w:space="0" w:color="auto"/>
              <w:right w:val="nil"/>
            </w:tcBorders>
          </w:tcPr>
          <w:p w14:paraId="76B716EA" w14:textId="77777777" w:rsidR="00324BE4" w:rsidRPr="00DC6AF3" w:rsidRDefault="00324BE4"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68F70ACA" w14:textId="77777777" w:rsidR="00324BE4" w:rsidRPr="00DC6AF3" w:rsidRDefault="00324BE4"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6865C3EB" w14:textId="77777777" w:rsidR="00324BE4" w:rsidRPr="00DC6AF3" w:rsidRDefault="00324BE4"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single" w:sz="4" w:space="0" w:color="auto"/>
            </w:tcBorders>
          </w:tcPr>
          <w:p w14:paraId="2319F4BA" w14:textId="77777777" w:rsidR="00324BE4" w:rsidRPr="00DC6AF3" w:rsidRDefault="00324BE4" w:rsidP="00FE0062">
            <w:pPr>
              <w:spacing w:line="360" w:lineRule="auto"/>
              <w:jc w:val="both"/>
              <w:rPr>
                <w:rFonts w:ascii="Times New Roman" w:hAnsi="Times New Roman" w:cs="Times New Roman"/>
                <w:sz w:val="24"/>
                <w:szCs w:val="24"/>
              </w:rPr>
            </w:pPr>
          </w:p>
        </w:tc>
        <w:tc>
          <w:tcPr>
            <w:tcW w:w="1343" w:type="dxa"/>
            <w:tcBorders>
              <w:left w:val="single" w:sz="4" w:space="0" w:color="auto"/>
            </w:tcBorders>
            <w:shd w:val="clear" w:color="auto" w:fill="F2F2F2" w:themeFill="background1" w:themeFillShade="F2"/>
          </w:tcPr>
          <w:p w14:paraId="35CE3BB1" w14:textId="77777777" w:rsidR="00324BE4" w:rsidRPr="00DC6AF3" w:rsidRDefault="00324BE4"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2019-2020</w:t>
            </w:r>
          </w:p>
        </w:tc>
        <w:tc>
          <w:tcPr>
            <w:tcW w:w="1343" w:type="dxa"/>
            <w:shd w:val="clear" w:color="auto" w:fill="F2F2F2" w:themeFill="background1" w:themeFillShade="F2"/>
          </w:tcPr>
          <w:p w14:paraId="43D4D103" w14:textId="77777777" w:rsidR="00324BE4" w:rsidRPr="00DC6AF3" w:rsidRDefault="00324BE4"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2020-2021</w:t>
            </w:r>
          </w:p>
        </w:tc>
        <w:tc>
          <w:tcPr>
            <w:tcW w:w="1343" w:type="dxa"/>
            <w:shd w:val="clear" w:color="auto" w:fill="F2F2F2" w:themeFill="background1" w:themeFillShade="F2"/>
          </w:tcPr>
          <w:p w14:paraId="56634684" w14:textId="77777777" w:rsidR="00324BE4" w:rsidRPr="00DC6AF3" w:rsidRDefault="00324BE4"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2019-2021</w:t>
            </w:r>
          </w:p>
        </w:tc>
      </w:tr>
      <w:tr w:rsidR="001A011A" w:rsidRPr="00DC6AF3" w14:paraId="4387BE29" w14:textId="77777777" w:rsidTr="001A011A">
        <w:trPr>
          <w:trHeight w:val="680"/>
        </w:trPr>
        <w:tc>
          <w:tcPr>
            <w:tcW w:w="2376" w:type="dxa"/>
            <w:tcBorders>
              <w:top w:val="single" w:sz="4" w:space="0" w:color="auto"/>
            </w:tcBorders>
          </w:tcPr>
          <w:p w14:paraId="28493C60" w14:textId="77777777" w:rsidR="001A011A" w:rsidRPr="00DC6AF3" w:rsidRDefault="001A011A" w:rsidP="001A011A">
            <w:pPr>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Empleadores/as y TCP formales</w:t>
            </w:r>
          </w:p>
        </w:tc>
        <w:tc>
          <w:tcPr>
            <w:tcW w:w="1399" w:type="dxa"/>
            <w:tcBorders>
              <w:top w:val="single" w:sz="4" w:space="0" w:color="auto"/>
            </w:tcBorders>
            <w:vAlign w:val="center"/>
          </w:tcPr>
          <w:p w14:paraId="1C9DEF51" w14:textId="04E7C55F"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7.4%</w:t>
            </w:r>
          </w:p>
        </w:tc>
        <w:tc>
          <w:tcPr>
            <w:tcW w:w="1399" w:type="dxa"/>
            <w:tcBorders>
              <w:top w:val="single" w:sz="4" w:space="0" w:color="auto"/>
            </w:tcBorders>
            <w:vAlign w:val="center"/>
          </w:tcPr>
          <w:p w14:paraId="71F2B1FE" w14:textId="66D18535"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12.5%</w:t>
            </w:r>
          </w:p>
        </w:tc>
        <w:tc>
          <w:tcPr>
            <w:tcW w:w="1399" w:type="dxa"/>
            <w:tcBorders>
              <w:top w:val="single" w:sz="4" w:space="0" w:color="auto"/>
            </w:tcBorders>
            <w:vAlign w:val="center"/>
          </w:tcPr>
          <w:p w14:paraId="06A346A0" w14:textId="2EC59B9F"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10.9%</w:t>
            </w:r>
          </w:p>
        </w:tc>
        <w:tc>
          <w:tcPr>
            <w:tcW w:w="1343" w:type="dxa"/>
            <w:shd w:val="clear" w:color="auto" w:fill="F2F2F2" w:themeFill="background1" w:themeFillShade="F2"/>
            <w:vAlign w:val="center"/>
          </w:tcPr>
          <w:p w14:paraId="40D92A96" w14:textId="294D620B"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5.1</w:t>
            </w:r>
          </w:p>
        </w:tc>
        <w:tc>
          <w:tcPr>
            <w:tcW w:w="1343" w:type="dxa"/>
            <w:shd w:val="clear" w:color="auto" w:fill="F2F2F2" w:themeFill="background1" w:themeFillShade="F2"/>
            <w:vAlign w:val="center"/>
          </w:tcPr>
          <w:p w14:paraId="66439AC0" w14:textId="414A90BA"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w:t>
            </w:r>
          </w:p>
        </w:tc>
        <w:tc>
          <w:tcPr>
            <w:tcW w:w="1343" w:type="dxa"/>
            <w:shd w:val="clear" w:color="auto" w:fill="F2F2F2" w:themeFill="background1" w:themeFillShade="F2"/>
            <w:vAlign w:val="center"/>
          </w:tcPr>
          <w:p w14:paraId="4A94A4EC" w14:textId="454706A9"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3.6</w:t>
            </w:r>
          </w:p>
        </w:tc>
      </w:tr>
      <w:tr w:rsidR="00DC6AF3" w:rsidRPr="00DC6AF3" w14:paraId="045C2624" w14:textId="77777777" w:rsidTr="001A011A">
        <w:trPr>
          <w:trHeight w:val="680"/>
        </w:trPr>
        <w:tc>
          <w:tcPr>
            <w:tcW w:w="2376" w:type="dxa"/>
          </w:tcPr>
          <w:p w14:paraId="49970F39" w14:textId="77777777" w:rsidR="001A011A" w:rsidRPr="00DC6AF3" w:rsidRDefault="001A011A" w:rsidP="001A011A">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formales</w:t>
            </w:r>
          </w:p>
        </w:tc>
        <w:tc>
          <w:tcPr>
            <w:tcW w:w="1399" w:type="dxa"/>
            <w:vAlign w:val="center"/>
          </w:tcPr>
          <w:p w14:paraId="432FDFDD" w14:textId="7032E5B5"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12.7%</w:t>
            </w:r>
          </w:p>
        </w:tc>
        <w:tc>
          <w:tcPr>
            <w:tcW w:w="1399" w:type="dxa"/>
            <w:vAlign w:val="center"/>
          </w:tcPr>
          <w:p w14:paraId="1EABF92E" w14:textId="736B587D"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15.7%</w:t>
            </w:r>
          </w:p>
        </w:tc>
        <w:tc>
          <w:tcPr>
            <w:tcW w:w="1399" w:type="dxa"/>
            <w:vAlign w:val="center"/>
          </w:tcPr>
          <w:p w14:paraId="46830FA9" w14:textId="326E22A1"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15.1%</w:t>
            </w:r>
          </w:p>
        </w:tc>
        <w:tc>
          <w:tcPr>
            <w:tcW w:w="1343" w:type="dxa"/>
            <w:shd w:val="clear" w:color="auto" w:fill="F2F2F2" w:themeFill="background1" w:themeFillShade="F2"/>
            <w:vAlign w:val="center"/>
          </w:tcPr>
          <w:p w14:paraId="2CFC97D8" w14:textId="378ACAF8"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3.0</w:t>
            </w:r>
          </w:p>
        </w:tc>
        <w:tc>
          <w:tcPr>
            <w:tcW w:w="1343" w:type="dxa"/>
            <w:shd w:val="clear" w:color="auto" w:fill="F2F2F2" w:themeFill="background1" w:themeFillShade="F2"/>
            <w:vAlign w:val="center"/>
          </w:tcPr>
          <w:p w14:paraId="7159FDF3" w14:textId="2F58F0FC"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-0.5</w:t>
            </w:r>
          </w:p>
        </w:tc>
        <w:tc>
          <w:tcPr>
            <w:tcW w:w="1343" w:type="dxa"/>
            <w:shd w:val="clear" w:color="auto" w:fill="F2F2F2" w:themeFill="background1" w:themeFillShade="F2"/>
            <w:vAlign w:val="center"/>
          </w:tcPr>
          <w:p w14:paraId="2470543B" w14:textId="62D48309"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2.5</w:t>
            </w:r>
          </w:p>
        </w:tc>
      </w:tr>
      <w:tr w:rsidR="00DC6AF3" w:rsidRPr="00DC6AF3" w14:paraId="4C4890E5" w14:textId="77777777" w:rsidTr="001A011A">
        <w:trPr>
          <w:trHeight w:val="680"/>
        </w:trPr>
        <w:tc>
          <w:tcPr>
            <w:tcW w:w="2376" w:type="dxa"/>
          </w:tcPr>
          <w:p w14:paraId="5E2FEA39" w14:textId="77777777" w:rsidR="001A011A" w:rsidRPr="00DC6AF3" w:rsidRDefault="001A011A" w:rsidP="001A011A">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Microempresarios/as y TCP informales</w:t>
            </w:r>
          </w:p>
        </w:tc>
        <w:tc>
          <w:tcPr>
            <w:tcW w:w="1399" w:type="dxa"/>
            <w:vAlign w:val="center"/>
          </w:tcPr>
          <w:p w14:paraId="6F3980EB" w14:textId="4899579A"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39.8%</w:t>
            </w:r>
          </w:p>
        </w:tc>
        <w:tc>
          <w:tcPr>
            <w:tcW w:w="1399" w:type="dxa"/>
            <w:vAlign w:val="center"/>
          </w:tcPr>
          <w:p w14:paraId="0C13AD03" w14:textId="69F544FA"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45.7%</w:t>
            </w:r>
          </w:p>
        </w:tc>
        <w:tc>
          <w:tcPr>
            <w:tcW w:w="1399" w:type="dxa"/>
            <w:vAlign w:val="center"/>
          </w:tcPr>
          <w:p w14:paraId="69E10675" w14:textId="76302C43"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46.0%</w:t>
            </w:r>
          </w:p>
        </w:tc>
        <w:tc>
          <w:tcPr>
            <w:tcW w:w="1343" w:type="dxa"/>
            <w:shd w:val="clear" w:color="auto" w:fill="F2F2F2" w:themeFill="background1" w:themeFillShade="F2"/>
            <w:vAlign w:val="center"/>
          </w:tcPr>
          <w:p w14:paraId="78C1A372" w14:textId="0A936A84"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6.0</w:t>
            </w:r>
          </w:p>
        </w:tc>
        <w:tc>
          <w:tcPr>
            <w:tcW w:w="1343" w:type="dxa"/>
            <w:shd w:val="clear" w:color="auto" w:fill="F2F2F2" w:themeFill="background1" w:themeFillShade="F2"/>
            <w:vAlign w:val="center"/>
          </w:tcPr>
          <w:p w14:paraId="37A850AA" w14:textId="0425F45E"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0.3</w:t>
            </w:r>
          </w:p>
        </w:tc>
        <w:tc>
          <w:tcPr>
            <w:tcW w:w="1343" w:type="dxa"/>
            <w:shd w:val="clear" w:color="auto" w:fill="F2F2F2" w:themeFill="background1" w:themeFillShade="F2"/>
            <w:vAlign w:val="center"/>
          </w:tcPr>
          <w:p w14:paraId="4F2B5429" w14:textId="3DE6247B"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6.3</w:t>
            </w:r>
          </w:p>
        </w:tc>
      </w:tr>
      <w:tr w:rsidR="00DC6AF3" w:rsidRPr="00DC6AF3" w14:paraId="49E54473" w14:textId="77777777" w:rsidTr="001A011A">
        <w:trPr>
          <w:trHeight w:val="680"/>
        </w:trPr>
        <w:tc>
          <w:tcPr>
            <w:tcW w:w="2376" w:type="dxa"/>
          </w:tcPr>
          <w:p w14:paraId="16EB7F87" w14:textId="77777777" w:rsidR="001A011A" w:rsidRPr="00DC6AF3" w:rsidRDefault="001A011A" w:rsidP="001A011A">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informales</w:t>
            </w:r>
          </w:p>
        </w:tc>
        <w:tc>
          <w:tcPr>
            <w:tcW w:w="1399" w:type="dxa"/>
            <w:vAlign w:val="center"/>
          </w:tcPr>
          <w:p w14:paraId="63882BD1" w14:textId="7A379E0B"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47.9%</w:t>
            </w:r>
          </w:p>
        </w:tc>
        <w:tc>
          <w:tcPr>
            <w:tcW w:w="1399" w:type="dxa"/>
            <w:vAlign w:val="center"/>
          </w:tcPr>
          <w:p w14:paraId="7A05DF97" w14:textId="0410EA35"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53.3%</w:t>
            </w:r>
          </w:p>
        </w:tc>
        <w:tc>
          <w:tcPr>
            <w:tcW w:w="1399" w:type="dxa"/>
            <w:vAlign w:val="center"/>
          </w:tcPr>
          <w:p w14:paraId="4E5FAEEC" w14:textId="43A5E127"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48.7%</w:t>
            </w:r>
          </w:p>
        </w:tc>
        <w:tc>
          <w:tcPr>
            <w:tcW w:w="1343" w:type="dxa"/>
            <w:shd w:val="clear" w:color="auto" w:fill="F2F2F2" w:themeFill="background1" w:themeFillShade="F2"/>
            <w:vAlign w:val="center"/>
          </w:tcPr>
          <w:p w14:paraId="47C6725E" w14:textId="29DDDA11"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5.4</w:t>
            </w:r>
          </w:p>
        </w:tc>
        <w:tc>
          <w:tcPr>
            <w:tcW w:w="1343" w:type="dxa"/>
            <w:shd w:val="clear" w:color="auto" w:fill="F2F2F2" w:themeFill="background1" w:themeFillShade="F2"/>
            <w:vAlign w:val="center"/>
          </w:tcPr>
          <w:p w14:paraId="231E69CD" w14:textId="033CF90F"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-4.7</w:t>
            </w:r>
          </w:p>
        </w:tc>
        <w:tc>
          <w:tcPr>
            <w:tcW w:w="1343" w:type="dxa"/>
            <w:shd w:val="clear" w:color="auto" w:fill="F2F2F2" w:themeFill="background1" w:themeFillShade="F2"/>
            <w:vAlign w:val="center"/>
          </w:tcPr>
          <w:p w14:paraId="60CD954B" w14:textId="7BFFAF20"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0.8</w:t>
            </w:r>
          </w:p>
        </w:tc>
      </w:tr>
      <w:tr w:rsidR="00DC6AF3" w:rsidRPr="00DC6AF3" w14:paraId="43791415" w14:textId="77777777" w:rsidTr="001A011A">
        <w:trPr>
          <w:trHeight w:val="680"/>
        </w:trPr>
        <w:tc>
          <w:tcPr>
            <w:tcW w:w="2376" w:type="dxa"/>
          </w:tcPr>
          <w:p w14:paraId="7B7FC052" w14:textId="77777777" w:rsidR="001A011A" w:rsidRPr="00DC6AF3" w:rsidRDefault="001A011A" w:rsidP="001A011A">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0"/>
                <w:szCs w:val="20"/>
              </w:rPr>
              <w:t xml:space="preserve">Desocupados sin ocupación anterior e inactivos no jubilados ni pensionados </w:t>
            </w:r>
          </w:p>
        </w:tc>
        <w:tc>
          <w:tcPr>
            <w:tcW w:w="1399" w:type="dxa"/>
            <w:vAlign w:val="center"/>
          </w:tcPr>
          <w:p w14:paraId="6F02141B" w14:textId="42EA1D18"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61.3%</w:t>
            </w:r>
          </w:p>
        </w:tc>
        <w:tc>
          <w:tcPr>
            <w:tcW w:w="1399" w:type="dxa"/>
            <w:vAlign w:val="center"/>
          </w:tcPr>
          <w:p w14:paraId="3DCA35A3" w14:textId="6566CCF0"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77.5%</w:t>
            </w:r>
          </w:p>
        </w:tc>
        <w:tc>
          <w:tcPr>
            <w:tcW w:w="1399" w:type="dxa"/>
            <w:vAlign w:val="center"/>
          </w:tcPr>
          <w:p w14:paraId="1178825D" w14:textId="7488F007"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71.3%</w:t>
            </w:r>
          </w:p>
        </w:tc>
        <w:tc>
          <w:tcPr>
            <w:tcW w:w="1343" w:type="dxa"/>
            <w:shd w:val="clear" w:color="auto" w:fill="F2F2F2" w:themeFill="background1" w:themeFillShade="F2"/>
            <w:vAlign w:val="center"/>
          </w:tcPr>
          <w:p w14:paraId="572DDC96" w14:textId="2A87422D"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16.2</w:t>
            </w:r>
          </w:p>
        </w:tc>
        <w:tc>
          <w:tcPr>
            <w:tcW w:w="1343" w:type="dxa"/>
            <w:shd w:val="clear" w:color="auto" w:fill="F2F2F2" w:themeFill="background1" w:themeFillShade="F2"/>
            <w:vAlign w:val="center"/>
          </w:tcPr>
          <w:p w14:paraId="1574462E" w14:textId="56A3B923"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-6.2</w:t>
            </w:r>
          </w:p>
        </w:tc>
        <w:tc>
          <w:tcPr>
            <w:tcW w:w="1343" w:type="dxa"/>
            <w:shd w:val="clear" w:color="auto" w:fill="F2F2F2" w:themeFill="background1" w:themeFillShade="F2"/>
            <w:vAlign w:val="center"/>
          </w:tcPr>
          <w:p w14:paraId="28B50477" w14:textId="0D4673AF" w:rsidR="001A011A" w:rsidRPr="00DC6AF3" w:rsidRDefault="001A011A" w:rsidP="001A011A">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w:t>
            </w:r>
          </w:p>
        </w:tc>
      </w:tr>
      <w:tr w:rsidR="001A011A" w:rsidRPr="00DC6AF3" w14:paraId="6CCBCB61" w14:textId="77777777" w:rsidTr="001A011A">
        <w:trPr>
          <w:trHeight w:val="680"/>
        </w:trPr>
        <w:tc>
          <w:tcPr>
            <w:tcW w:w="2376" w:type="dxa"/>
            <w:tcBorders>
              <w:bottom w:val="single" w:sz="4" w:space="0" w:color="auto"/>
            </w:tcBorders>
          </w:tcPr>
          <w:p w14:paraId="17045514" w14:textId="77777777" w:rsidR="001A011A" w:rsidRPr="00DC6AF3" w:rsidRDefault="001A011A" w:rsidP="001A011A">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 xml:space="preserve">Total </w:t>
            </w:r>
          </w:p>
        </w:tc>
        <w:tc>
          <w:tcPr>
            <w:tcW w:w="1399" w:type="dxa"/>
            <w:tcBorders>
              <w:bottom w:val="single" w:sz="4" w:space="0" w:color="auto"/>
            </w:tcBorders>
            <w:vAlign w:val="center"/>
          </w:tcPr>
          <w:p w14:paraId="1C40A5E0" w14:textId="7C923D24"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25.9%</w:t>
            </w:r>
          </w:p>
        </w:tc>
        <w:tc>
          <w:tcPr>
            <w:tcW w:w="1399" w:type="dxa"/>
            <w:tcBorders>
              <w:bottom w:val="single" w:sz="4" w:space="0" w:color="auto"/>
            </w:tcBorders>
            <w:vAlign w:val="center"/>
          </w:tcPr>
          <w:p w14:paraId="77285265" w14:textId="7291297E"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32.4%</w:t>
            </w:r>
          </w:p>
        </w:tc>
        <w:tc>
          <w:tcPr>
            <w:tcW w:w="1399" w:type="dxa"/>
            <w:tcBorders>
              <w:bottom w:val="single" w:sz="4" w:space="0" w:color="auto"/>
            </w:tcBorders>
            <w:vAlign w:val="center"/>
          </w:tcPr>
          <w:p w14:paraId="60EDEC98" w14:textId="6562EE0C"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28.5%</w:t>
            </w:r>
          </w:p>
        </w:tc>
        <w:tc>
          <w:tcPr>
            <w:tcW w:w="1343" w:type="dxa"/>
            <w:tcBorders>
              <w:bottom w:val="single" w:sz="4" w:space="0" w:color="auto"/>
            </w:tcBorders>
            <w:shd w:val="clear" w:color="auto" w:fill="F2F2F2" w:themeFill="background1" w:themeFillShade="F2"/>
            <w:vAlign w:val="center"/>
          </w:tcPr>
          <w:p w14:paraId="229A5F75" w14:textId="56FF8D90"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6.5</w:t>
            </w:r>
          </w:p>
        </w:tc>
        <w:tc>
          <w:tcPr>
            <w:tcW w:w="1343" w:type="dxa"/>
            <w:tcBorders>
              <w:bottom w:val="single" w:sz="4" w:space="0" w:color="auto"/>
            </w:tcBorders>
            <w:shd w:val="clear" w:color="auto" w:fill="F2F2F2" w:themeFill="background1" w:themeFillShade="F2"/>
            <w:vAlign w:val="center"/>
          </w:tcPr>
          <w:p w14:paraId="174CD5FC" w14:textId="4131231F"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-3.9</w:t>
            </w:r>
          </w:p>
        </w:tc>
        <w:tc>
          <w:tcPr>
            <w:tcW w:w="1343" w:type="dxa"/>
            <w:tcBorders>
              <w:bottom w:val="single" w:sz="4" w:space="0" w:color="auto"/>
            </w:tcBorders>
            <w:shd w:val="clear" w:color="auto" w:fill="F2F2F2" w:themeFill="background1" w:themeFillShade="F2"/>
            <w:vAlign w:val="center"/>
          </w:tcPr>
          <w:p w14:paraId="79B9ED26" w14:textId="1E40E325" w:rsidR="001A011A" w:rsidRPr="00DC6AF3" w:rsidRDefault="001A011A" w:rsidP="001A011A">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2.5</w:t>
            </w:r>
          </w:p>
        </w:tc>
      </w:tr>
      <w:tr w:rsidR="00324BE4" w:rsidRPr="00DC6AF3" w14:paraId="5E957CF9" w14:textId="77777777" w:rsidTr="00FE0062">
        <w:trPr>
          <w:trHeight w:val="680"/>
        </w:trPr>
        <w:tc>
          <w:tcPr>
            <w:tcW w:w="10602" w:type="dxa"/>
            <w:gridSpan w:val="7"/>
            <w:tcBorders>
              <w:top w:val="single" w:sz="4" w:space="0" w:color="auto"/>
              <w:left w:val="nil"/>
              <w:bottom w:val="nil"/>
              <w:right w:val="nil"/>
            </w:tcBorders>
          </w:tcPr>
          <w:p w14:paraId="61463CC0" w14:textId="77777777" w:rsidR="00324BE4" w:rsidRPr="00DC6AF3" w:rsidRDefault="00324BE4" w:rsidP="00FE0062">
            <w:pPr>
              <w:spacing w:line="360" w:lineRule="auto"/>
              <w:jc w:val="both"/>
              <w:rPr>
                <w:rFonts w:ascii="Times New Roman" w:hAnsi="Times New Roman" w:cs="Times New Roman"/>
                <w:sz w:val="24"/>
                <w:szCs w:val="24"/>
              </w:rPr>
            </w:pPr>
            <w:r w:rsidRPr="00DC6AF3">
              <w:rPr>
                <w:rFonts w:ascii="Times New Roman" w:eastAsia="Calibri" w:hAnsi="Times New Roman" w:cs="Times New Roman"/>
                <w:sz w:val="18"/>
                <w:szCs w:val="18"/>
              </w:rPr>
              <w:t>Fuente: elaboración propia a partir de micro datos de la EPH-INDEC</w:t>
            </w:r>
          </w:p>
        </w:tc>
      </w:tr>
    </w:tbl>
    <w:p w14:paraId="3FBD4A04" w14:textId="74E62910" w:rsidR="006A47B9" w:rsidRDefault="4C001CDC" w:rsidP="000036CD">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lang w:val="es-MX"/>
        </w:rPr>
        <w:t>En</w:t>
      </w:r>
      <w:r w:rsidRPr="00DC6AF3">
        <w:rPr>
          <w:rFonts w:ascii="Times New Roman" w:hAnsi="Times New Roman" w:cs="Times New Roman"/>
          <w:sz w:val="24"/>
          <w:szCs w:val="24"/>
        </w:rPr>
        <w:t xml:space="preserve"> el año 2021, a pesar de que se advirtió una leve disminución en el déficit, ninguno de los estratos socio-ocupacionales logro recuperar la situación en la que se encontraba en el 2019. La excepción se da en los hogares encabezados por asalariados informales que son los que </w:t>
      </w:r>
      <w:r w:rsidR="00DA32F9" w:rsidRPr="00DC6AF3">
        <w:rPr>
          <w:rFonts w:ascii="Times New Roman" w:hAnsi="Times New Roman" w:cs="Times New Roman"/>
          <w:sz w:val="24"/>
          <w:szCs w:val="24"/>
        </w:rPr>
        <w:t>más</w:t>
      </w:r>
      <w:r w:rsidRPr="00DC6AF3">
        <w:rPr>
          <w:rFonts w:ascii="Times New Roman" w:hAnsi="Times New Roman" w:cs="Times New Roman"/>
          <w:sz w:val="24"/>
          <w:szCs w:val="24"/>
        </w:rPr>
        <w:t xml:space="preserve"> mejoraron su </w:t>
      </w:r>
      <w:r w:rsidRPr="00DC6AF3">
        <w:rPr>
          <w:rFonts w:ascii="Times New Roman" w:hAnsi="Times New Roman" w:cs="Times New Roman"/>
          <w:sz w:val="24"/>
          <w:szCs w:val="24"/>
        </w:rPr>
        <w:lastRenderedPageBreak/>
        <w:t>situación deficitaria con respecto al 2019. Esto puede explicarse por el dinamismo en este sector con respecto a la obtención de empleo en el 2021.</w:t>
      </w:r>
      <w:r w:rsidR="009469CE">
        <w:rPr>
          <w:rFonts w:ascii="Times New Roman" w:hAnsi="Times New Roman" w:cs="Times New Roman"/>
          <w:sz w:val="24"/>
          <w:szCs w:val="24"/>
        </w:rPr>
        <w:t xml:space="preserve"> Los hogares que se vieron </w:t>
      </w:r>
      <w:r w:rsidR="00CC2973">
        <w:rPr>
          <w:rFonts w:ascii="Times New Roman" w:hAnsi="Times New Roman" w:cs="Times New Roman"/>
          <w:sz w:val="24"/>
          <w:szCs w:val="24"/>
        </w:rPr>
        <w:t>más</w:t>
      </w:r>
      <w:r w:rsidR="009469CE">
        <w:rPr>
          <w:rFonts w:ascii="Times New Roman" w:hAnsi="Times New Roman" w:cs="Times New Roman"/>
          <w:sz w:val="24"/>
          <w:szCs w:val="24"/>
        </w:rPr>
        <w:t xml:space="preserve"> afectados fueron los encabezados por microempresarios o TCP informales</w:t>
      </w:r>
      <w:r w:rsidR="002F5D77">
        <w:rPr>
          <w:rFonts w:ascii="Times New Roman" w:hAnsi="Times New Roman" w:cs="Times New Roman"/>
          <w:sz w:val="24"/>
          <w:szCs w:val="24"/>
        </w:rPr>
        <w:t xml:space="preserve">, los cuales aumentos 6.3 </w:t>
      </w:r>
      <w:proofErr w:type="spellStart"/>
      <w:r w:rsidR="002F5D77">
        <w:rPr>
          <w:rFonts w:ascii="Times New Roman" w:hAnsi="Times New Roman" w:cs="Times New Roman"/>
          <w:sz w:val="24"/>
          <w:szCs w:val="24"/>
        </w:rPr>
        <w:t>pp</w:t>
      </w:r>
      <w:proofErr w:type="spellEnd"/>
      <w:r w:rsidR="002F5D77">
        <w:rPr>
          <w:rFonts w:ascii="Times New Roman" w:hAnsi="Times New Roman" w:cs="Times New Roman"/>
          <w:sz w:val="24"/>
          <w:szCs w:val="24"/>
        </w:rPr>
        <w:t xml:space="preserve"> su déficit y los hogares encabezados por desocupados/inactivos</w:t>
      </w:r>
      <w:r w:rsidR="00CF411B">
        <w:rPr>
          <w:rFonts w:ascii="Times New Roman" w:hAnsi="Times New Roman" w:cs="Times New Roman"/>
          <w:sz w:val="24"/>
          <w:szCs w:val="24"/>
        </w:rPr>
        <w:t xml:space="preserve">, los cuales lo hicieron en 10pp. </w:t>
      </w:r>
    </w:p>
    <w:p w14:paraId="44DB9EE6" w14:textId="197C2B4A" w:rsidR="00DA6876" w:rsidRPr="00DC6AF3" w:rsidRDefault="00A5324A" w:rsidP="000036CD">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Este balance negativo en la reproducción de los hogares puede explicarse por la caída de los perceptores laborales y del ingreso laboral en todos los sectores socio-ocupacionales en el año 2020. La pandemia implico una crisis que paralizo la actividad económica y la pérdida de empleos, especialmente en los trabajadores cuenta propia e informales. En ese sentido, los hogares encabezados por trabajadores informales perdieron 0.16 perceptores laborales por hogar. La inestabilidad de estos empleos hizo que muchos de esos trabajadores no pudieran salir a trabajar, pasando a la inactividad o la desocupación, lo que explica la perdida de perceptores laborales.</w:t>
      </w:r>
      <w:r w:rsidR="000D274F">
        <w:rPr>
          <w:rFonts w:ascii="Times New Roman" w:hAnsi="Times New Roman" w:cs="Times New Roman"/>
          <w:sz w:val="24"/>
          <w:szCs w:val="24"/>
        </w:rPr>
        <w:t xml:space="preserve"> </w:t>
      </w:r>
    </w:p>
    <w:tbl>
      <w:tblPr>
        <w:tblStyle w:val="Tablaconcuadrcula"/>
        <w:tblW w:w="10602" w:type="dxa"/>
        <w:tblLook w:val="04A0" w:firstRow="1" w:lastRow="0" w:firstColumn="1" w:lastColumn="0" w:noHBand="0" w:noVBand="1"/>
      </w:tblPr>
      <w:tblGrid>
        <w:gridCol w:w="2376"/>
        <w:gridCol w:w="1399"/>
        <w:gridCol w:w="1399"/>
        <w:gridCol w:w="1399"/>
        <w:gridCol w:w="1343"/>
        <w:gridCol w:w="1343"/>
        <w:gridCol w:w="1343"/>
      </w:tblGrid>
      <w:tr w:rsidR="001A011A" w:rsidRPr="00DC6AF3" w14:paraId="6BBA4DC7" w14:textId="77777777" w:rsidTr="00FE0062">
        <w:trPr>
          <w:trHeight w:val="397"/>
        </w:trPr>
        <w:tc>
          <w:tcPr>
            <w:tcW w:w="10602" w:type="dxa"/>
            <w:gridSpan w:val="7"/>
            <w:tcBorders>
              <w:top w:val="nil"/>
              <w:left w:val="nil"/>
              <w:bottom w:val="single" w:sz="4" w:space="0" w:color="auto"/>
              <w:right w:val="nil"/>
            </w:tcBorders>
          </w:tcPr>
          <w:p w14:paraId="22DF4DD9" w14:textId="786FCA7D" w:rsidR="001A011A" w:rsidRPr="00DC6AF3" w:rsidRDefault="00674A54" w:rsidP="00FE0062">
            <w:pPr>
              <w:spacing w:line="360" w:lineRule="auto"/>
              <w:jc w:val="both"/>
              <w:rPr>
                <w:rFonts w:ascii="Times New Roman" w:hAnsi="Times New Roman" w:cs="Times New Roman"/>
                <w:sz w:val="24"/>
                <w:szCs w:val="24"/>
              </w:rPr>
            </w:pPr>
            <w:r w:rsidRPr="00DC6AF3">
              <w:rPr>
                <w:rFonts w:ascii="Times New Roman" w:hAnsi="Times New Roman" w:cs="Times New Roman"/>
                <w:b/>
                <w:bCs/>
                <w:lang w:val="es-MX"/>
              </w:rPr>
              <w:t xml:space="preserve">Cuadro </w:t>
            </w:r>
            <w:r w:rsidR="002F2CE7">
              <w:rPr>
                <w:rFonts w:ascii="Times New Roman" w:hAnsi="Times New Roman" w:cs="Times New Roman"/>
                <w:b/>
                <w:bCs/>
                <w:lang w:val="es-MX"/>
              </w:rPr>
              <w:t>0</w:t>
            </w:r>
            <w:r w:rsidRPr="00DC6AF3">
              <w:rPr>
                <w:rFonts w:ascii="Times New Roman" w:hAnsi="Times New Roman" w:cs="Times New Roman"/>
                <w:b/>
                <w:bCs/>
                <w:lang w:val="es-MX"/>
              </w:rPr>
              <w:t>5. Evolución de los perceptores laborales según posición socio-ocupacional del jefe de hogar.  Hogares con PSH ocupado, total de aglomerados urbanos, Argentina, 2019-2021 (</w:t>
            </w:r>
            <w:r w:rsidRPr="00DC6AF3">
              <w:rPr>
                <w:rFonts w:ascii="Times New Roman" w:hAnsi="Times New Roman" w:cs="Times New Roman"/>
                <w:b/>
                <w:bCs/>
                <w:i/>
                <w:iCs/>
                <w:lang w:val="es-MX"/>
              </w:rPr>
              <w:t>en media de perceptores por hogar</w:t>
            </w:r>
            <w:r w:rsidRPr="00DC6AF3">
              <w:rPr>
                <w:rFonts w:ascii="Times New Roman" w:hAnsi="Times New Roman" w:cs="Times New Roman"/>
                <w:b/>
                <w:bCs/>
                <w:lang w:val="es-MX"/>
              </w:rPr>
              <w:t>)</w:t>
            </w:r>
          </w:p>
        </w:tc>
      </w:tr>
      <w:tr w:rsidR="001A011A" w:rsidRPr="00DC6AF3" w14:paraId="4B2BF264" w14:textId="77777777" w:rsidTr="00FE0062">
        <w:trPr>
          <w:trHeight w:val="397"/>
        </w:trPr>
        <w:tc>
          <w:tcPr>
            <w:tcW w:w="2376" w:type="dxa"/>
            <w:tcBorders>
              <w:top w:val="single" w:sz="4" w:space="0" w:color="auto"/>
              <w:left w:val="single" w:sz="4" w:space="0" w:color="auto"/>
              <w:bottom w:val="nil"/>
              <w:right w:val="nil"/>
            </w:tcBorders>
          </w:tcPr>
          <w:p w14:paraId="6546C43A" w14:textId="77777777" w:rsidR="001A011A" w:rsidRPr="00DC6AF3" w:rsidRDefault="001A011A" w:rsidP="00FE0062">
            <w:pPr>
              <w:spacing w:line="360" w:lineRule="auto"/>
              <w:jc w:val="both"/>
              <w:rPr>
                <w:rFonts w:ascii="Times New Roman" w:hAnsi="Times New Roman" w:cs="Times New Roman"/>
                <w:sz w:val="24"/>
                <w:szCs w:val="24"/>
              </w:rPr>
            </w:pPr>
          </w:p>
        </w:tc>
        <w:tc>
          <w:tcPr>
            <w:tcW w:w="1399" w:type="dxa"/>
            <w:vMerge w:val="restart"/>
            <w:tcBorders>
              <w:top w:val="single" w:sz="4" w:space="0" w:color="auto"/>
              <w:left w:val="nil"/>
              <w:bottom w:val="nil"/>
              <w:right w:val="nil"/>
            </w:tcBorders>
            <w:vAlign w:val="center"/>
          </w:tcPr>
          <w:p w14:paraId="66E2C580" w14:textId="77777777" w:rsidR="001A011A" w:rsidRPr="00DC6AF3" w:rsidRDefault="001A011A"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 IIIT</w:t>
            </w:r>
          </w:p>
        </w:tc>
        <w:tc>
          <w:tcPr>
            <w:tcW w:w="1399" w:type="dxa"/>
            <w:vMerge w:val="restart"/>
            <w:tcBorders>
              <w:top w:val="single" w:sz="4" w:space="0" w:color="auto"/>
              <w:left w:val="nil"/>
              <w:bottom w:val="nil"/>
              <w:right w:val="nil"/>
            </w:tcBorders>
            <w:vAlign w:val="center"/>
          </w:tcPr>
          <w:p w14:paraId="24BFB6F0" w14:textId="77777777" w:rsidR="001A011A" w:rsidRPr="00DC6AF3" w:rsidRDefault="001A011A"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 IIIT</w:t>
            </w:r>
          </w:p>
        </w:tc>
        <w:tc>
          <w:tcPr>
            <w:tcW w:w="1399" w:type="dxa"/>
            <w:vMerge w:val="restart"/>
            <w:tcBorders>
              <w:top w:val="single" w:sz="4" w:space="0" w:color="auto"/>
              <w:left w:val="nil"/>
              <w:bottom w:val="nil"/>
              <w:right w:val="single" w:sz="4" w:space="0" w:color="auto"/>
            </w:tcBorders>
            <w:vAlign w:val="center"/>
          </w:tcPr>
          <w:p w14:paraId="69D9DD31" w14:textId="77777777" w:rsidR="001A011A" w:rsidRPr="00DC6AF3" w:rsidRDefault="001A011A"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2021 IIIT</w:t>
            </w:r>
          </w:p>
        </w:tc>
        <w:tc>
          <w:tcPr>
            <w:tcW w:w="4029" w:type="dxa"/>
            <w:gridSpan w:val="3"/>
            <w:tcBorders>
              <w:top w:val="single" w:sz="4" w:space="0" w:color="auto"/>
              <w:left w:val="single" w:sz="4" w:space="0" w:color="auto"/>
            </w:tcBorders>
            <w:shd w:val="clear" w:color="auto" w:fill="F2F2F2" w:themeFill="background1" w:themeFillShade="F2"/>
          </w:tcPr>
          <w:p w14:paraId="66078FFE" w14:textId="6806312B" w:rsidR="001A011A" w:rsidRPr="00DC6AF3" w:rsidRDefault="001A011A" w:rsidP="00FE0062">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 xml:space="preserve">Variación </w:t>
            </w:r>
            <w:r w:rsidR="00810F91">
              <w:rPr>
                <w:rFonts w:ascii="Times New Roman" w:eastAsia="Times New Roman" w:hAnsi="Times New Roman" w:cs="Times New Roman"/>
                <w:b/>
                <w:bCs/>
                <w:color w:val="000000" w:themeColor="text1"/>
                <w:sz w:val="24"/>
                <w:szCs w:val="24"/>
              </w:rPr>
              <w:t>porcentual</w:t>
            </w:r>
          </w:p>
        </w:tc>
      </w:tr>
      <w:tr w:rsidR="001A011A" w:rsidRPr="00DC6AF3" w14:paraId="68BB7D26" w14:textId="77777777" w:rsidTr="00FE0062">
        <w:trPr>
          <w:trHeight w:val="397"/>
        </w:trPr>
        <w:tc>
          <w:tcPr>
            <w:tcW w:w="2376" w:type="dxa"/>
            <w:tcBorders>
              <w:top w:val="nil"/>
              <w:left w:val="single" w:sz="4" w:space="0" w:color="auto"/>
              <w:bottom w:val="single" w:sz="4" w:space="0" w:color="auto"/>
              <w:right w:val="nil"/>
            </w:tcBorders>
          </w:tcPr>
          <w:p w14:paraId="6FFECE7A" w14:textId="77777777" w:rsidR="001A011A" w:rsidRPr="00DC6AF3" w:rsidRDefault="001A011A"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1D440A98" w14:textId="77777777" w:rsidR="001A011A" w:rsidRPr="00DC6AF3" w:rsidRDefault="001A011A"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56572ED3" w14:textId="77777777" w:rsidR="001A011A" w:rsidRPr="00DC6AF3" w:rsidRDefault="001A011A" w:rsidP="00FE0062">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single" w:sz="4" w:space="0" w:color="auto"/>
            </w:tcBorders>
          </w:tcPr>
          <w:p w14:paraId="69AC4B09" w14:textId="77777777" w:rsidR="001A011A" w:rsidRPr="00DC6AF3" w:rsidRDefault="001A011A" w:rsidP="00FE0062">
            <w:pPr>
              <w:spacing w:line="360" w:lineRule="auto"/>
              <w:jc w:val="both"/>
              <w:rPr>
                <w:rFonts w:ascii="Times New Roman" w:hAnsi="Times New Roman" w:cs="Times New Roman"/>
                <w:sz w:val="24"/>
                <w:szCs w:val="24"/>
              </w:rPr>
            </w:pPr>
          </w:p>
        </w:tc>
        <w:tc>
          <w:tcPr>
            <w:tcW w:w="1343" w:type="dxa"/>
            <w:tcBorders>
              <w:left w:val="single" w:sz="4" w:space="0" w:color="auto"/>
            </w:tcBorders>
            <w:shd w:val="clear" w:color="auto" w:fill="F2F2F2" w:themeFill="background1" w:themeFillShade="F2"/>
          </w:tcPr>
          <w:p w14:paraId="11C7982D" w14:textId="77777777" w:rsidR="001A011A" w:rsidRPr="00DC6AF3" w:rsidRDefault="001A011A"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2019-2020</w:t>
            </w:r>
          </w:p>
        </w:tc>
        <w:tc>
          <w:tcPr>
            <w:tcW w:w="1343" w:type="dxa"/>
            <w:shd w:val="clear" w:color="auto" w:fill="F2F2F2" w:themeFill="background1" w:themeFillShade="F2"/>
          </w:tcPr>
          <w:p w14:paraId="3125AC26" w14:textId="77777777" w:rsidR="001A011A" w:rsidRPr="00DC6AF3" w:rsidRDefault="001A011A"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2020-2021</w:t>
            </w:r>
          </w:p>
        </w:tc>
        <w:tc>
          <w:tcPr>
            <w:tcW w:w="1343" w:type="dxa"/>
            <w:shd w:val="clear" w:color="auto" w:fill="F2F2F2" w:themeFill="background1" w:themeFillShade="F2"/>
          </w:tcPr>
          <w:p w14:paraId="0D49F152" w14:textId="77777777" w:rsidR="001A011A" w:rsidRPr="00DC6AF3" w:rsidRDefault="001A011A" w:rsidP="00FE0062">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2019-2021</w:t>
            </w:r>
          </w:p>
        </w:tc>
      </w:tr>
      <w:tr w:rsidR="00560C26" w:rsidRPr="00DC6AF3" w14:paraId="3F958862" w14:textId="77777777" w:rsidTr="004448CA">
        <w:trPr>
          <w:trHeight w:val="680"/>
        </w:trPr>
        <w:tc>
          <w:tcPr>
            <w:tcW w:w="2376" w:type="dxa"/>
            <w:tcBorders>
              <w:top w:val="single" w:sz="4" w:space="0" w:color="auto"/>
            </w:tcBorders>
          </w:tcPr>
          <w:p w14:paraId="7BBD1B01" w14:textId="77777777" w:rsidR="00560C26" w:rsidRPr="00DC6AF3" w:rsidRDefault="00560C26" w:rsidP="00560C26">
            <w:pPr>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Empleadores/as y TCP formales</w:t>
            </w:r>
          </w:p>
        </w:tc>
        <w:tc>
          <w:tcPr>
            <w:tcW w:w="1399" w:type="dxa"/>
            <w:tcBorders>
              <w:top w:val="single" w:sz="4" w:space="0" w:color="auto"/>
            </w:tcBorders>
            <w:vAlign w:val="center"/>
          </w:tcPr>
          <w:p w14:paraId="20C1ED67" w14:textId="1EC9BB67"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1.70</w:t>
            </w:r>
          </w:p>
        </w:tc>
        <w:tc>
          <w:tcPr>
            <w:tcW w:w="1399" w:type="dxa"/>
            <w:tcBorders>
              <w:top w:val="single" w:sz="4" w:space="0" w:color="auto"/>
            </w:tcBorders>
            <w:vAlign w:val="center"/>
          </w:tcPr>
          <w:p w14:paraId="4ABD3B98" w14:textId="45CBC2FD"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1.35</w:t>
            </w:r>
          </w:p>
        </w:tc>
        <w:tc>
          <w:tcPr>
            <w:tcW w:w="1399" w:type="dxa"/>
            <w:tcBorders>
              <w:top w:val="single" w:sz="4" w:space="0" w:color="auto"/>
            </w:tcBorders>
            <w:vAlign w:val="center"/>
          </w:tcPr>
          <w:p w14:paraId="58A41261" w14:textId="7D1B336E"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1.57</w:t>
            </w:r>
          </w:p>
        </w:tc>
        <w:tc>
          <w:tcPr>
            <w:tcW w:w="1343" w:type="dxa"/>
            <w:shd w:val="clear" w:color="auto" w:fill="F2F2F2" w:themeFill="background1" w:themeFillShade="F2"/>
            <w:vAlign w:val="center"/>
          </w:tcPr>
          <w:p w14:paraId="2961FD1D" w14:textId="771F9027"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-0.20</w:t>
            </w:r>
          </w:p>
        </w:tc>
        <w:tc>
          <w:tcPr>
            <w:tcW w:w="1343" w:type="dxa"/>
            <w:shd w:val="clear" w:color="auto" w:fill="F2F2F2" w:themeFill="background1" w:themeFillShade="F2"/>
            <w:vAlign w:val="center"/>
          </w:tcPr>
          <w:p w14:paraId="2F380E43" w14:textId="029170E3"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0.16</w:t>
            </w:r>
          </w:p>
        </w:tc>
        <w:tc>
          <w:tcPr>
            <w:tcW w:w="1343" w:type="dxa"/>
            <w:shd w:val="clear" w:color="auto" w:fill="F2F2F2" w:themeFill="background1" w:themeFillShade="F2"/>
            <w:vAlign w:val="center"/>
          </w:tcPr>
          <w:p w14:paraId="1487FA2F" w14:textId="5BD015C5"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-0.07</w:t>
            </w:r>
          </w:p>
        </w:tc>
      </w:tr>
      <w:tr w:rsidR="00560C26" w:rsidRPr="00DC6AF3" w14:paraId="7FCF3706" w14:textId="77777777" w:rsidTr="004448CA">
        <w:trPr>
          <w:trHeight w:val="680"/>
        </w:trPr>
        <w:tc>
          <w:tcPr>
            <w:tcW w:w="2376" w:type="dxa"/>
          </w:tcPr>
          <w:p w14:paraId="669DF0FD" w14:textId="77777777" w:rsidR="00560C26" w:rsidRPr="00DC6AF3" w:rsidRDefault="00560C26" w:rsidP="00560C2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formales</w:t>
            </w:r>
          </w:p>
        </w:tc>
        <w:tc>
          <w:tcPr>
            <w:tcW w:w="1399" w:type="dxa"/>
            <w:vAlign w:val="center"/>
          </w:tcPr>
          <w:p w14:paraId="54330E7F" w14:textId="2C0D91DA"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1.66</w:t>
            </w:r>
          </w:p>
        </w:tc>
        <w:tc>
          <w:tcPr>
            <w:tcW w:w="1399" w:type="dxa"/>
            <w:vAlign w:val="center"/>
          </w:tcPr>
          <w:p w14:paraId="45C01041" w14:textId="02D05A10"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1.58</w:t>
            </w:r>
          </w:p>
        </w:tc>
        <w:tc>
          <w:tcPr>
            <w:tcW w:w="1399" w:type="dxa"/>
            <w:vAlign w:val="center"/>
          </w:tcPr>
          <w:p w14:paraId="743C5996" w14:textId="5A475395"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1.67</w:t>
            </w:r>
          </w:p>
        </w:tc>
        <w:tc>
          <w:tcPr>
            <w:tcW w:w="1343" w:type="dxa"/>
            <w:shd w:val="clear" w:color="auto" w:fill="F2F2F2" w:themeFill="background1" w:themeFillShade="F2"/>
            <w:vAlign w:val="center"/>
          </w:tcPr>
          <w:p w14:paraId="4A45D6BD" w14:textId="272E486B"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-0.05</w:t>
            </w:r>
          </w:p>
        </w:tc>
        <w:tc>
          <w:tcPr>
            <w:tcW w:w="1343" w:type="dxa"/>
            <w:shd w:val="clear" w:color="auto" w:fill="F2F2F2" w:themeFill="background1" w:themeFillShade="F2"/>
            <w:vAlign w:val="center"/>
          </w:tcPr>
          <w:p w14:paraId="744BE540" w14:textId="6021AE4B"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0.06</w:t>
            </w:r>
          </w:p>
        </w:tc>
        <w:tc>
          <w:tcPr>
            <w:tcW w:w="1343" w:type="dxa"/>
            <w:shd w:val="clear" w:color="auto" w:fill="F2F2F2" w:themeFill="background1" w:themeFillShade="F2"/>
            <w:vAlign w:val="center"/>
          </w:tcPr>
          <w:p w14:paraId="1EA6CB3A" w14:textId="33976ED5"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0.00</w:t>
            </w:r>
          </w:p>
        </w:tc>
      </w:tr>
      <w:tr w:rsidR="00560C26" w:rsidRPr="00DC6AF3" w14:paraId="197D2338" w14:textId="77777777" w:rsidTr="004448CA">
        <w:trPr>
          <w:trHeight w:val="680"/>
        </w:trPr>
        <w:tc>
          <w:tcPr>
            <w:tcW w:w="2376" w:type="dxa"/>
          </w:tcPr>
          <w:p w14:paraId="4B7EE1E8" w14:textId="77777777" w:rsidR="00560C26" w:rsidRPr="00DC6AF3" w:rsidRDefault="00560C26" w:rsidP="00560C2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Microempresarios/as y TCP informales</w:t>
            </w:r>
          </w:p>
        </w:tc>
        <w:tc>
          <w:tcPr>
            <w:tcW w:w="1399" w:type="dxa"/>
            <w:vAlign w:val="center"/>
          </w:tcPr>
          <w:p w14:paraId="5DAD5D84" w14:textId="3C188EB1"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1.57</w:t>
            </w:r>
          </w:p>
        </w:tc>
        <w:tc>
          <w:tcPr>
            <w:tcW w:w="1399" w:type="dxa"/>
            <w:vAlign w:val="center"/>
          </w:tcPr>
          <w:p w14:paraId="5EE981CB" w14:textId="132DAFB6"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1.41</w:t>
            </w:r>
          </w:p>
        </w:tc>
        <w:tc>
          <w:tcPr>
            <w:tcW w:w="1399" w:type="dxa"/>
            <w:vAlign w:val="center"/>
          </w:tcPr>
          <w:p w14:paraId="3F2537B7" w14:textId="40886236"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1.57</w:t>
            </w:r>
          </w:p>
        </w:tc>
        <w:tc>
          <w:tcPr>
            <w:tcW w:w="1343" w:type="dxa"/>
            <w:shd w:val="clear" w:color="auto" w:fill="F2F2F2" w:themeFill="background1" w:themeFillShade="F2"/>
            <w:vAlign w:val="center"/>
          </w:tcPr>
          <w:p w14:paraId="11D741B3" w14:textId="7F226B7A"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-0.10</w:t>
            </w:r>
          </w:p>
        </w:tc>
        <w:tc>
          <w:tcPr>
            <w:tcW w:w="1343" w:type="dxa"/>
            <w:shd w:val="clear" w:color="auto" w:fill="F2F2F2" w:themeFill="background1" w:themeFillShade="F2"/>
            <w:vAlign w:val="center"/>
          </w:tcPr>
          <w:p w14:paraId="0A0017D1" w14:textId="2C43F9A2"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0.11</w:t>
            </w:r>
          </w:p>
        </w:tc>
        <w:tc>
          <w:tcPr>
            <w:tcW w:w="1343" w:type="dxa"/>
            <w:shd w:val="clear" w:color="auto" w:fill="F2F2F2" w:themeFill="background1" w:themeFillShade="F2"/>
            <w:vAlign w:val="center"/>
          </w:tcPr>
          <w:p w14:paraId="409E71B6" w14:textId="2E2AC06B"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0.00</w:t>
            </w:r>
          </w:p>
        </w:tc>
      </w:tr>
      <w:tr w:rsidR="00560C26" w:rsidRPr="00DC6AF3" w14:paraId="51BD1CA3" w14:textId="77777777" w:rsidTr="004448CA">
        <w:trPr>
          <w:trHeight w:val="680"/>
        </w:trPr>
        <w:tc>
          <w:tcPr>
            <w:tcW w:w="2376" w:type="dxa"/>
          </w:tcPr>
          <w:p w14:paraId="70BCD57C" w14:textId="77777777" w:rsidR="00560C26" w:rsidRPr="00DC6AF3" w:rsidRDefault="00560C26" w:rsidP="00560C2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informales</w:t>
            </w:r>
          </w:p>
        </w:tc>
        <w:tc>
          <w:tcPr>
            <w:tcW w:w="1399" w:type="dxa"/>
            <w:vAlign w:val="center"/>
          </w:tcPr>
          <w:p w14:paraId="1756F474" w14:textId="25C7F5EE"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1.51</w:t>
            </w:r>
          </w:p>
        </w:tc>
        <w:tc>
          <w:tcPr>
            <w:tcW w:w="1399" w:type="dxa"/>
            <w:vAlign w:val="center"/>
          </w:tcPr>
          <w:p w14:paraId="7DECCA19" w14:textId="40A175A4"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1.35</w:t>
            </w:r>
          </w:p>
        </w:tc>
        <w:tc>
          <w:tcPr>
            <w:tcW w:w="1399" w:type="dxa"/>
            <w:vAlign w:val="center"/>
          </w:tcPr>
          <w:p w14:paraId="0012179F" w14:textId="4345C4D5" w:rsidR="00560C26" w:rsidRPr="00DC6AF3" w:rsidRDefault="00560C26" w:rsidP="00560C2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1.53</w:t>
            </w:r>
          </w:p>
        </w:tc>
        <w:tc>
          <w:tcPr>
            <w:tcW w:w="1343" w:type="dxa"/>
            <w:shd w:val="clear" w:color="auto" w:fill="F2F2F2" w:themeFill="background1" w:themeFillShade="F2"/>
            <w:vAlign w:val="center"/>
          </w:tcPr>
          <w:p w14:paraId="5120F006" w14:textId="4C15E237"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-0.11</w:t>
            </w:r>
          </w:p>
        </w:tc>
        <w:tc>
          <w:tcPr>
            <w:tcW w:w="1343" w:type="dxa"/>
            <w:shd w:val="clear" w:color="auto" w:fill="F2F2F2" w:themeFill="background1" w:themeFillShade="F2"/>
            <w:vAlign w:val="center"/>
          </w:tcPr>
          <w:p w14:paraId="77A4F809" w14:textId="1428CF68"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0.13</w:t>
            </w:r>
          </w:p>
        </w:tc>
        <w:tc>
          <w:tcPr>
            <w:tcW w:w="1343" w:type="dxa"/>
            <w:shd w:val="clear" w:color="auto" w:fill="F2F2F2" w:themeFill="background1" w:themeFillShade="F2"/>
            <w:vAlign w:val="center"/>
          </w:tcPr>
          <w:p w14:paraId="0ECC614A" w14:textId="0EBFEE41" w:rsidR="00560C26" w:rsidRPr="00DC6AF3" w:rsidRDefault="00560C26" w:rsidP="004448CA">
            <w:pPr>
              <w:spacing w:line="360" w:lineRule="auto"/>
              <w:jc w:val="center"/>
              <w:rPr>
                <w:rFonts w:ascii="Times New Roman" w:hAnsi="Times New Roman" w:cs="Times New Roman"/>
                <w:sz w:val="24"/>
                <w:szCs w:val="24"/>
              </w:rPr>
            </w:pPr>
            <w:r w:rsidRPr="004448CA">
              <w:rPr>
                <w:rFonts w:ascii="Times New Roman" w:hAnsi="Times New Roman" w:cs="Times New Roman"/>
                <w:sz w:val="24"/>
                <w:szCs w:val="24"/>
              </w:rPr>
              <w:t>0.01</w:t>
            </w:r>
          </w:p>
        </w:tc>
      </w:tr>
      <w:tr w:rsidR="00F34A7E" w:rsidRPr="00DC6AF3" w14:paraId="58ECF118" w14:textId="77777777" w:rsidTr="004448CA">
        <w:trPr>
          <w:trHeight w:val="680"/>
        </w:trPr>
        <w:tc>
          <w:tcPr>
            <w:tcW w:w="2376" w:type="dxa"/>
            <w:tcBorders>
              <w:bottom w:val="single" w:sz="4" w:space="0" w:color="auto"/>
            </w:tcBorders>
          </w:tcPr>
          <w:p w14:paraId="7432C3C2" w14:textId="77777777" w:rsidR="00F34A7E" w:rsidRPr="00DC6AF3" w:rsidRDefault="00F34A7E" w:rsidP="00F34A7E">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 xml:space="preserve">Total </w:t>
            </w:r>
          </w:p>
        </w:tc>
        <w:tc>
          <w:tcPr>
            <w:tcW w:w="1399" w:type="dxa"/>
            <w:tcBorders>
              <w:bottom w:val="single" w:sz="4" w:space="0" w:color="auto"/>
            </w:tcBorders>
            <w:vAlign w:val="center"/>
          </w:tcPr>
          <w:p w14:paraId="5A8CE3D5" w14:textId="65CCB927" w:rsidR="00F34A7E" w:rsidRPr="00DC6AF3" w:rsidRDefault="00F34A7E" w:rsidP="00F34A7E">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1.55</w:t>
            </w:r>
          </w:p>
        </w:tc>
        <w:tc>
          <w:tcPr>
            <w:tcW w:w="1399" w:type="dxa"/>
            <w:tcBorders>
              <w:bottom w:val="single" w:sz="4" w:space="0" w:color="auto"/>
            </w:tcBorders>
            <w:vAlign w:val="center"/>
          </w:tcPr>
          <w:p w14:paraId="6A0D540B" w14:textId="537BA808" w:rsidR="00F34A7E" w:rsidRPr="00DC6AF3" w:rsidRDefault="00F34A7E" w:rsidP="00F34A7E">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1.39</w:t>
            </w:r>
          </w:p>
        </w:tc>
        <w:tc>
          <w:tcPr>
            <w:tcW w:w="1399" w:type="dxa"/>
            <w:tcBorders>
              <w:bottom w:val="single" w:sz="4" w:space="0" w:color="auto"/>
            </w:tcBorders>
            <w:vAlign w:val="center"/>
          </w:tcPr>
          <w:p w14:paraId="1C5E18E4" w14:textId="35BD22F4" w:rsidR="00F34A7E" w:rsidRPr="00DC6AF3" w:rsidRDefault="00F34A7E" w:rsidP="00F34A7E">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1.56</w:t>
            </w:r>
          </w:p>
        </w:tc>
        <w:tc>
          <w:tcPr>
            <w:tcW w:w="1343" w:type="dxa"/>
            <w:tcBorders>
              <w:bottom w:val="single" w:sz="4" w:space="0" w:color="auto"/>
            </w:tcBorders>
            <w:shd w:val="clear" w:color="auto" w:fill="F2F2F2" w:themeFill="background1" w:themeFillShade="F2"/>
            <w:vAlign w:val="center"/>
          </w:tcPr>
          <w:p w14:paraId="60EDB612" w14:textId="1FFFD516" w:rsidR="00F34A7E" w:rsidRPr="004448CA" w:rsidRDefault="00F34A7E" w:rsidP="004448CA">
            <w:pPr>
              <w:spacing w:line="360" w:lineRule="auto"/>
              <w:jc w:val="center"/>
              <w:rPr>
                <w:rFonts w:ascii="Times New Roman" w:hAnsi="Times New Roman" w:cs="Times New Roman"/>
                <w:b/>
                <w:bCs/>
                <w:sz w:val="24"/>
                <w:szCs w:val="24"/>
              </w:rPr>
            </w:pPr>
            <w:r w:rsidRPr="004448CA">
              <w:rPr>
                <w:rFonts w:ascii="Times New Roman" w:hAnsi="Times New Roman" w:cs="Times New Roman"/>
                <w:b/>
                <w:bCs/>
                <w:sz w:val="24"/>
                <w:szCs w:val="24"/>
              </w:rPr>
              <w:t>-0.11</w:t>
            </w:r>
          </w:p>
        </w:tc>
        <w:tc>
          <w:tcPr>
            <w:tcW w:w="1343" w:type="dxa"/>
            <w:tcBorders>
              <w:bottom w:val="single" w:sz="4" w:space="0" w:color="auto"/>
            </w:tcBorders>
            <w:shd w:val="clear" w:color="auto" w:fill="F2F2F2" w:themeFill="background1" w:themeFillShade="F2"/>
            <w:vAlign w:val="center"/>
          </w:tcPr>
          <w:p w14:paraId="1A6EC92D" w14:textId="3ECA4085" w:rsidR="00F34A7E" w:rsidRPr="004448CA" w:rsidRDefault="00F34A7E" w:rsidP="004448CA">
            <w:pPr>
              <w:spacing w:line="360" w:lineRule="auto"/>
              <w:jc w:val="center"/>
              <w:rPr>
                <w:rFonts w:ascii="Times New Roman" w:hAnsi="Times New Roman" w:cs="Times New Roman"/>
                <w:b/>
                <w:bCs/>
                <w:sz w:val="24"/>
                <w:szCs w:val="24"/>
              </w:rPr>
            </w:pPr>
            <w:r w:rsidRPr="004448CA">
              <w:rPr>
                <w:rFonts w:ascii="Times New Roman" w:hAnsi="Times New Roman" w:cs="Times New Roman"/>
                <w:b/>
                <w:bCs/>
                <w:sz w:val="24"/>
                <w:szCs w:val="24"/>
              </w:rPr>
              <w:t>0.13</w:t>
            </w:r>
          </w:p>
        </w:tc>
        <w:tc>
          <w:tcPr>
            <w:tcW w:w="1343" w:type="dxa"/>
            <w:tcBorders>
              <w:bottom w:val="single" w:sz="4" w:space="0" w:color="auto"/>
            </w:tcBorders>
            <w:shd w:val="clear" w:color="auto" w:fill="F2F2F2" w:themeFill="background1" w:themeFillShade="F2"/>
            <w:vAlign w:val="center"/>
          </w:tcPr>
          <w:p w14:paraId="272887C2" w14:textId="30AF441A" w:rsidR="00F34A7E" w:rsidRPr="004448CA" w:rsidRDefault="00F34A7E" w:rsidP="004448CA">
            <w:pPr>
              <w:spacing w:line="360" w:lineRule="auto"/>
              <w:jc w:val="center"/>
              <w:rPr>
                <w:rFonts w:ascii="Times New Roman" w:hAnsi="Times New Roman" w:cs="Times New Roman"/>
                <w:b/>
                <w:bCs/>
                <w:sz w:val="24"/>
                <w:szCs w:val="24"/>
              </w:rPr>
            </w:pPr>
            <w:r w:rsidRPr="004448CA">
              <w:rPr>
                <w:rFonts w:ascii="Times New Roman" w:hAnsi="Times New Roman" w:cs="Times New Roman"/>
                <w:b/>
                <w:bCs/>
                <w:sz w:val="24"/>
                <w:szCs w:val="24"/>
              </w:rPr>
              <w:t>0.01</w:t>
            </w:r>
          </w:p>
        </w:tc>
      </w:tr>
      <w:tr w:rsidR="001A011A" w:rsidRPr="00DC6AF3" w14:paraId="7414338B" w14:textId="77777777" w:rsidTr="00FE0062">
        <w:trPr>
          <w:trHeight w:val="680"/>
        </w:trPr>
        <w:tc>
          <w:tcPr>
            <w:tcW w:w="10602" w:type="dxa"/>
            <w:gridSpan w:val="7"/>
            <w:tcBorders>
              <w:top w:val="single" w:sz="4" w:space="0" w:color="auto"/>
              <w:left w:val="nil"/>
              <w:bottom w:val="nil"/>
              <w:right w:val="nil"/>
            </w:tcBorders>
          </w:tcPr>
          <w:p w14:paraId="2FA1C5F1" w14:textId="77777777" w:rsidR="00EA6656" w:rsidRPr="00DC6AF3" w:rsidRDefault="00EA6656" w:rsidP="00EA6656">
            <w:pPr>
              <w:spacing w:line="360" w:lineRule="auto"/>
              <w:jc w:val="both"/>
              <w:rPr>
                <w:rFonts w:ascii="Times New Roman" w:eastAsia="Calibri" w:hAnsi="Times New Roman" w:cs="Times New Roman"/>
                <w:sz w:val="18"/>
                <w:szCs w:val="18"/>
              </w:rPr>
            </w:pPr>
            <w:r w:rsidRPr="00DC6AF3">
              <w:rPr>
                <w:rFonts w:ascii="Times New Roman" w:eastAsia="Calibri" w:hAnsi="Times New Roman" w:cs="Times New Roman"/>
                <w:sz w:val="18"/>
                <w:szCs w:val="18"/>
              </w:rPr>
              <w:t>Fuente: elaboración propia a partir de micro datos de la EPH-INDEC.</w:t>
            </w:r>
          </w:p>
          <w:p w14:paraId="14EA1AD6" w14:textId="6C3370C9" w:rsidR="001A011A" w:rsidRPr="00DC6AF3" w:rsidRDefault="00EA6656" w:rsidP="00EA6656">
            <w:pPr>
              <w:spacing w:line="360" w:lineRule="auto"/>
              <w:jc w:val="both"/>
              <w:rPr>
                <w:rFonts w:ascii="Times New Roman" w:hAnsi="Times New Roman" w:cs="Times New Roman"/>
                <w:sz w:val="24"/>
                <w:szCs w:val="24"/>
              </w:rPr>
            </w:pPr>
            <w:r w:rsidRPr="00DC6AF3">
              <w:rPr>
                <w:rFonts w:ascii="Times New Roman" w:eastAsia="Calibri" w:hAnsi="Times New Roman" w:cs="Times New Roman"/>
                <w:sz w:val="18"/>
                <w:szCs w:val="18"/>
              </w:rPr>
              <w:t xml:space="preserve">Nota. </w:t>
            </w:r>
            <w:r>
              <w:rPr>
                <w:rFonts w:ascii="Times New Roman" w:eastAsia="Calibri" w:hAnsi="Times New Roman" w:cs="Times New Roman"/>
                <w:sz w:val="18"/>
                <w:szCs w:val="18"/>
              </w:rPr>
              <w:t>Los</w:t>
            </w:r>
            <w:r w:rsidRPr="00DC6AF3">
              <w:rPr>
                <w:rFonts w:ascii="Times New Roman" w:eastAsia="Calibri" w:hAnsi="Times New Roman" w:cs="Times New Roman"/>
                <w:sz w:val="18"/>
                <w:szCs w:val="18"/>
              </w:rPr>
              <w:t xml:space="preserve"> “Desocupados sin ocupación anterior e inactivos no jubilados ni pensionados” </w:t>
            </w:r>
            <w:r>
              <w:rPr>
                <w:rFonts w:ascii="Times New Roman" w:eastAsia="Calibri" w:hAnsi="Times New Roman" w:cs="Times New Roman"/>
                <w:sz w:val="18"/>
                <w:szCs w:val="18"/>
              </w:rPr>
              <w:t xml:space="preserve">fueron excluidos </w:t>
            </w:r>
            <w:r w:rsidRPr="00DC6AF3">
              <w:rPr>
                <w:rFonts w:ascii="Times New Roman" w:eastAsia="Calibri" w:hAnsi="Times New Roman" w:cs="Times New Roman"/>
                <w:sz w:val="18"/>
                <w:szCs w:val="18"/>
              </w:rPr>
              <w:t>debido al tamaño pequeño de los casos</w:t>
            </w:r>
          </w:p>
        </w:tc>
      </w:tr>
    </w:tbl>
    <w:p w14:paraId="42578385" w14:textId="77777777" w:rsidR="00DA6876" w:rsidRDefault="00DA6876" w:rsidP="00047296">
      <w:pPr>
        <w:spacing w:line="360" w:lineRule="auto"/>
        <w:jc w:val="both"/>
        <w:rPr>
          <w:rFonts w:ascii="Times New Roman" w:hAnsi="Times New Roman" w:cs="Times New Roman"/>
          <w:sz w:val="24"/>
          <w:szCs w:val="24"/>
        </w:rPr>
      </w:pPr>
    </w:p>
    <w:p w14:paraId="188E36EE" w14:textId="2471F1D7" w:rsidR="00EC5F00" w:rsidRDefault="00843CEE" w:rsidP="000472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caída en los perceptores </w:t>
      </w:r>
      <w:r w:rsidR="00627E5F">
        <w:rPr>
          <w:rFonts w:ascii="Times New Roman" w:hAnsi="Times New Roman" w:cs="Times New Roman"/>
          <w:sz w:val="24"/>
          <w:szCs w:val="24"/>
        </w:rPr>
        <w:t>laborales</w:t>
      </w:r>
      <w:r>
        <w:rPr>
          <w:rFonts w:ascii="Times New Roman" w:hAnsi="Times New Roman" w:cs="Times New Roman"/>
          <w:sz w:val="24"/>
          <w:szCs w:val="24"/>
        </w:rPr>
        <w:t xml:space="preserve"> se vio claramente reflejada en la caída de los ingresos laborales. El cuadro 6 nos muestra como este ingreso cayo 18.1 en los hogares con PSH ocupado. </w:t>
      </w:r>
      <w:r w:rsidR="00363CFD" w:rsidRPr="00DC6AF3">
        <w:rPr>
          <w:rFonts w:ascii="Times New Roman" w:hAnsi="Times New Roman" w:cs="Times New Roman"/>
          <w:sz w:val="24"/>
          <w:szCs w:val="24"/>
        </w:rPr>
        <w:t xml:space="preserve">Los sectores informales de la economía fueron de los más perdieron en ese sentido. Tanto los </w:t>
      </w:r>
      <w:r w:rsidR="00363CFD" w:rsidRPr="00DC6AF3">
        <w:rPr>
          <w:rFonts w:ascii="Times New Roman" w:hAnsi="Times New Roman" w:cs="Times New Roman"/>
          <w:sz w:val="24"/>
          <w:szCs w:val="24"/>
        </w:rPr>
        <w:lastRenderedPageBreak/>
        <w:t>hogares encabezados por asalariados informales como por microempresarios perdieron aproximadamente un 25% de sus ingresos laborales entre el 2019 y el 2020.</w:t>
      </w:r>
    </w:p>
    <w:p w14:paraId="1D344A89" w14:textId="4C5C8109" w:rsidR="00543BBC" w:rsidRDefault="00543BBC" w:rsidP="00047296">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Los hogares encabezados por asalariados formales son los que menos perdieron en el año 2020, ya que sus ingresos formales sufrieron una caída de aprox. del 8,2% de su ingreso con respecto al 2019 y la menor en comparación a los otros estratos socio-ocupacionales. Esto se puede explicar en parte por lo que se ve en el cuadro 5, los hogares encabezados por asalariados formales son los que menos perceptores laborales perdieron en pandemia. Es decir, son los que lograron retener personas ocupadas en el mercado laboral a pesar de las restricciones. Asimismo, programas como la asistencia de emergencia al trabajo y a la producción (ATP) y la prohibición de despidos permitieron que no haya una caída tan alta del empleo formal, así como mantener ese ingreso estable. A pesar de esto, son los únicos que perdieron, aunque levemente, en términos de ingresos laborales con respecto al 2020. Esta perdida en el ingreso familiar desde el año 2019, se ve reflejada en la disminución del salario laboral real de estos hogares.</w:t>
      </w:r>
      <w:r w:rsidR="003B7FC3" w:rsidRPr="003B7FC3">
        <w:rPr>
          <w:rFonts w:ascii="Times New Roman" w:hAnsi="Times New Roman" w:cs="Times New Roman"/>
          <w:sz w:val="24"/>
          <w:szCs w:val="24"/>
        </w:rPr>
        <w:t xml:space="preserve"> </w:t>
      </w:r>
    </w:p>
    <w:tbl>
      <w:tblPr>
        <w:tblStyle w:val="Tablaconcuadrcula"/>
        <w:tblW w:w="10602" w:type="dxa"/>
        <w:tblLook w:val="04A0" w:firstRow="1" w:lastRow="0" w:firstColumn="1" w:lastColumn="0" w:noHBand="0" w:noVBand="1"/>
      </w:tblPr>
      <w:tblGrid>
        <w:gridCol w:w="2376"/>
        <w:gridCol w:w="1399"/>
        <w:gridCol w:w="1399"/>
        <w:gridCol w:w="1399"/>
        <w:gridCol w:w="1343"/>
        <w:gridCol w:w="1343"/>
        <w:gridCol w:w="1343"/>
      </w:tblGrid>
      <w:tr w:rsidR="007A6C42" w:rsidRPr="00DC6AF3" w14:paraId="12A1C9DC" w14:textId="77777777" w:rsidTr="00FD1196">
        <w:trPr>
          <w:trHeight w:val="397"/>
        </w:trPr>
        <w:tc>
          <w:tcPr>
            <w:tcW w:w="10602" w:type="dxa"/>
            <w:gridSpan w:val="7"/>
            <w:tcBorders>
              <w:top w:val="nil"/>
              <w:left w:val="nil"/>
              <w:bottom w:val="single" w:sz="4" w:space="0" w:color="auto"/>
              <w:right w:val="nil"/>
            </w:tcBorders>
          </w:tcPr>
          <w:p w14:paraId="03709F74" w14:textId="73B80722"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hAnsi="Times New Roman" w:cs="Times New Roman"/>
                <w:b/>
                <w:bCs/>
              </w:rPr>
              <w:t xml:space="preserve">Cuadro </w:t>
            </w:r>
            <w:r w:rsidR="002F2CE7">
              <w:rPr>
                <w:rFonts w:ascii="Times New Roman" w:hAnsi="Times New Roman" w:cs="Times New Roman"/>
                <w:b/>
                <w:bCs/>
              </w:rPr>
              <w:t>0</w:t>
            </w:r>
            <w:r w:rsidRPr="00DC6AF3">
              <w:rPr>
                <w:rFonts w:ascii="Times New Roman" w:hAnsi="Times New Roman" w:cs="Times New Roman"/>
                <w:b/>
                <w:bCs/>
              </w:rPr>
              <w:t xml:space="preserve">6. Evolución del ingreso laboral per cápita según posición socio-ocupacional del jefe de hogar.  Hogares con PSH ocupado, total de aglomerados urbanos, Argentina, 2019-2021 </w:t>
            </w:r>
            <w:r w:rsidRPr="00DC6AF3">
              <w:rPr>
                <w:rFonts w:ascii="Times New Roman" w:hAnsi="Times New Roman" w:cs="Times New Roman"/>
                <w:b/>
                <w:bCs/>
                <w:i/>
                <w:iCs/>
              </w:rPr>
              <w:t>(en base 2019=100)</w:t>
            </w:r>
          </w:p>
        </w:tc>
      </w:tr>
      <w:tr w:rsidR="007A6C42" w:rsidRPr="00DC6AF3" w14:paraId="38BFB13F" w14:textId="77777777" w:rsidTr="00FD1196">
        <w:trPr>
          <w:trHeight w:val="397"/>
        </w:trPr>
        <w:tc>
          <w:tcPr>
            <w:tcW w:w="2376" w:type="dxa"/>
            <w:tcBorders>
              <w:top w:val="single" w:sz="4" w:space="0" w:color="auto"/>
              <w:left w:val="single" w:sz="4" w:space="0" w:color="auto"/>
              <w:bottom w:val="nil"/>
              <w:right w:val="nil"/>
            </w:tcBorders>
          </w:tcPr>
          <w:p w14:paraId="63C9B08C"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val="restart"/>
            <w:tcBorders>
              <w:top w:val="single" w:sz="4" w:space="0" w:color="auto"/>
              <w:left w:val="nil"/>
              <w:bottom w:val="nil"/>
              <w:right w:val="nil"/>
            </w:tcBorders>
            <w:vAlign w:val="center"/>
          </w:tcPr>
          <w:p w14:paraId="4B86CA78"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 IIIT</w:t>
            </w:r>
          </w:p>
        </w:tc>
        <w:tc>
          <w:tcPr>
            <w:tcW w:w="1399" w:type="dxa"/>
            <w:vMerge w:val="restart"/>
            <w:tcBorders>
              <w:top w:val="single" w:sz="4" w:space="0" w:color="auto"/>
              <w:left w:val="nil"/>
              <w:bottom w:val="nil"/>
              <w:right w:val="nil"/>
            </w:tcBorders>
            <w:vAlign w:val="center"/>
          </w:tcPr>
          <w:p w14:paraId="0D122EBF"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 IIIT</w:t>
            </w:r>
          </w:p>
        </w:tc>
        <w:tc>
          <w:tcPr>
            <w:tcW w:w="1399" w:type="dxa"/>
            <w:vMerge w:val="restart"/>
            <w:tcBorders>
              <w:top w:val="single" w:sz="4" w:space="0" w:color="auto"/>
              <w:left w:val="nil"/>
              <w:bottom w:val="nil"/>
              <w:right w:val="single" w:sz="4" w:space="0" w:color="auto"/>
            </w:tcBorders>
            <w:vAlign w:val="center"/>
          </w:tcPr>
          <w:p w14:paraId="0D97FE00"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2021 IIIT</w:t>
            </w:r>
          </w:p>
        </w:tc>
        <w:tc>
          <w:tcPr>
            <w:tcW w:w="4029" w:type="dxa"/>
            <w:gridSpan w:val="3"/>
            <w:tcBorders>
              <w:top w:val="single" w:sz="4" w:space="0" w:color="auto"/>
              <w:left w:val="single" w:sz="4" w:space="0" w:color="auto"/>
            </w:tcBorders>
            <w:shd w:val="clear" w:color="auto" w:fill="F2F2F2" w:themeFill="background1" w:themeFillShade="F2"/>
          </w:tcPr>
          <w:p w14:paraId="1AF80AB6"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Variación (p.p.)</w:t>
            </w:r>
          </w:p>
        </w:tc>
      </w:tr>
      <w:tr w:rsidR="007A6C42" w:rsidRPr="00DC6AF3" w14:paraId="4A8B4A97" w14:textId="77777777" w:rsidTr="00FD1196">
        <w:trPr>
          <w:trHeight w:val="397"/>
        </w:trPr>
        <w:tc>
          <w:tcPr>
            <w:tcW w:w="2376" w:type="dxa"/>
            <w:tcBorders>
              <w:top w:val="nil"/>
              <w:left w:val="single" w:sz="4" w:space="0" w:color="auto"/>
              <w:bottom w:val="single" w:sz="4" w:space="0" w:color="auto"/>
              <w:right w:val="nil"/>
            </w:tcBorders>
          </w:tcPr>
          <w:p w14:paraId="2CFFA284"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660A799E"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3AE8902B"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single" w:sz="4" w:space="0" w:color="auto"/>
            </w:tcBorders>
          </w:tcPr>
          <w:p w14:paraId="06EF9F6F" w14:textId="77777777" w:rsidR="007A6C42" w:rsidRPr="00DC6AF3" w:rsidRDefault="007A6C42" w:rsidP="00FD1196">
            <w:pPr>
              <w:spacing w:line="360" w:lineRule="auto"/>
              <w:jc w:val="both"/>
              <w:rPr>
                <w:rFonts w:ascii="Times New Roman" w:hAnsi="Times New Roman" w:cs="Times New Roman"/>
                <w:sz w:val="24"/>
                <w:szCs w:val="24"/>
              </w:rPr>
            </w:pPr>
          </w:p>
        </w:tc>
        <w:tc>
          <w:tcPr>
            <w:tcW w:w="1343" w:type="dxa"/>
            <w:tcBorders>
              <w:left w:val="single" w:sz="4" w:space="0" w:color="auto"/>
            </w:tcBorders>
            <w:shd w:val="clear" w:color="auto" w:fill="F2F2F2" w:themeFill="background1" w:themeFillShade="F2"/>
          </w:tcPr>
          <w:p w14:paraId="31C428B0"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2019-2020</w:t>
            </w:r>
          </w:p>
        </w:tc>
        <w:tc>
          <w:tcPr>
            <w:tcW w:w="1343" w:type="dxa"/>
            <w:shd w:val="clear" w:color="auto" w:fill="F2F2F2" w:themeFill="background1" w:themeFillShade="F2"/>
          </w:tcPr>
          <w:p w14:paraId="4D59A6BA"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2020-2021</w:t>
            </w:r>
          </w:p>
        </w:tc>
        <w:tc>
          <w:tcPr>
            <w:tcW w:w="1343" w:type="dxa"/>
            <w:shd w:val="clear" w:color="auto" w:fill="F2F2F2" w:themeFill="background1" w:themeFillShade="F2"/>
          </w:tcPr>
          <w:p w14:paraId="035E0FA8"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2019-2021</w:t>
            </w:r>
          </w:p>
        </w:tc>
      </w:tr>
      <w:tr w:rsidR="007A6C42" w:rsidRPr="00DC6AF3" w14:paraId="51232751" w14:textId="77777777" w:rsidTr="00FD1196">
        <w:trPr>
          <w:trHeight w:val="680"/>
        </w:trPr>
        <w:tc>
          <w:tcPr>
            <w:tcW w:w="2376" w:type="dxa"/>
            <w:tcBorders>
              <w:top w:val="single" w:sz="4" w:space="0" w:color="auto"/>
            </w:tcBorders>
          </w:tcPr>
          <w:p w14:paraId="5CB96349" w14:textId="77777777" w:rsidR="007A6C42" w:rsidRPr="00DC6AF3" w:rsidRDefault="007A6C42" w:rsidP="00FD1196">
            <w:pPr>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Empleadores/as y TCP formales</w:t>
            </w:r>
          </w:p>
        </w:tc>
        <w:tc>
          <w:tcPr>
            <w:tcW w:w="1399" w:type="dxa"/>
            <w:tcBorders>
              <w:top w:val="single" w:sz="4" w:space="0" w:color="auto"/>
            </w:tcBorders>
            <w:vAlign w:val="center"/>
          </w:tcPr>
          <w:p w14:paraId="4F22DEF4"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tcBorders>
              <w:top w:val="single" w:sz="4" w:space="0" w:color="auto"/>
            </w:tcBorders>
            <w:vAlign w:val="center"/>
          </w:tcPr>
          <w:p w14:paraId="07D02504"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62.0</w:t>
            </w:r>
          </w:p>
        </w:tc>
        <w:tc>
          <w:tcPr>
            <w:tcW w:w="1399" w:type="dxa"/>
            <w:tcBorders>
              <w:top w:val="single" w:sz="4" w:space="0" w:color="auto"/>
            </w:tcBorders>
            <w:vAlign w:val="center"/>
          </w:tcPr>
          <w:p w14:paraId="5728ACEB"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80.5</w:t>
            </w:r>
          </w:p>
        </w:tc>
        <w:tc>
          <w:tcPr>
            <w:tcW w:w="1343" w:type="dxa"/>
            <w:shd w:val="clear" w:color="auto" w:fill="F2F2F2" w:themeFill="background1" w:themeFillShade="F2"/>
            <w:vAlign w:val="center"/>
          </w:tcPr>
          <w:p w14:paraId="4E7EA27D"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-38.0</w:t>
            </w:r>
          </w:p>
        </w:tc>
        <w:tc>
          <w:tcPr>
            <w:tcW w:w="1343" w:type="dxa"/>
            <w:shd w:val="clear" w:color="auto" w:fill="F2F2F2" w:themeFill="background1" w:themeFillShade="F2"/>
            <w:vAlign w:val="center"/>
          </w:tcPr>
          <w:p w14:paraId="6B2C7D8F"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18.5</w:t>
            </w:r>
          </w:p>
        </w:tc>
        <w:tc>
          <w:tcPr>
            <w:tcW w:w="1343" w:type="dxa"/>
            <w:shd w:val="clear" w:color="auto" w:fill="F2F2F2" w:themeFill="background1" w:themeFillShade="F2"/>
            <w:vAlign w:val="center"/>
          </w:tcPr>
          <w:p w14:paraId="24D9C339"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-19.5</w:t>
            </w:r>
          </w:p>
        </w:tc>
      </w:tr>
      <w:tr w:rsidR="007A6C42" w:rsidRPr="00DC6AF3" w14:paraId="2522FA0F" w14:textId="77777777" w:rsidTr="00FD1196">
        <w:trPr>
          <w:trHeight w:val="680"/>
        </w:trPr>
        <w:tc>
          <w:tcPr>
            <w:tcW w:w="2376" w:type="dxa"/>
          </w:tcPr>
          <w:p w14:paraId="4CA81E73"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formales</w:t>
            </w:r>
          </w:p>
        </w:tc>
        <w:tc>
          <w:tcPr>
            <w:tcW w:w="1399" w:type="dxa"/>
            <w:vAlign w:val="center"/>
          </w:tcPr>
          <w:p w14:paraId="68A4FB51"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1C4A2E97"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91.8</w:t>
            </w:r>
          </w:p>
        </w:tc>
        <w:tc>
          <w:tcPr>
            <w:tcW w:w="1399" w:type="dxa"/>
            <w:vAlign w:val="center"/>
          </w:tcPr>
          <w:p w14:paraId="64EA1A5D"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88.3</w:t>
            </w:r>
          </w:p>
        </w:tc>
        <w:tc>
          <w:tcPr>
            <w:tcW w:w="1343" w:type="dxa"/>
            <w:shd w:val="clear" w:color="auto" w:fill="F2F2F2" w:themeFill="background1" w:themeFillShade="F2"/>
            <w:vAlign w:val="center"/>
          </w:tcPr>
          <w:p w14:paraId="040254E1"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-8.2</w:t>
            </w:r>
          </w:p>
        </w:tc>
        <w:tc>
          <w:tcPr>
            <w:tcW w:w="1343" w:type="dxa"/>
            <w:shd w:val="clear" w:color="auto" w:fill="F2F2F2" w:themeFill="background1" w:themeFillShade="F2"/>
            <w:vAlign w:val="center"/>
          </w:tcPr>
          <w:p w14:paraId="687EEF36"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-3.5</w:t>
            </w:r>
          </w:p>
        </w:tc>
        <w:tc>
          <w:tcPr>
            <w:tcW w:w="1343" w:type="dxa"/>
            <w:shd w:val="clear" w:color="auto" w:fill="F2F2F2" w:themeFill="background1" w:themeFillShade="F2"/>
            <w:vAlign w:val="center"/>
          </w:tcPr>
          <w:p w14:paraId="68ABE2A6"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-11.7</w:t>
            </w:r>
          </w:p>
        </w:tc>
      </w:tr>
      <w:tr w:rsidR="007A6C42" w:rsidRPr="00DC6AF3" w14:paraId="0F6CB467" w14:textId="77777777" w:rsidTr="00FD1196">
        <w:trPr>
          <w:trHeight w:val="680"/>
        </w:trPr>
        <w:tc>
          <w:tcPr>
            <w:tcW w:w="2376" w:type="dxa"/>
          </w:tcPr>
          <w:p w14:paraId="49DFDFAD"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Microempresarios/as y TCP informales</w:t>
            </w:r>
          </w:p>
        </w:tc>
        <w:tc>
          <w:tcPr>
            <w:tcW w:w="1399" w:type="dxa"/>
            <w:vAlign w:val="center"/>
          </w:tcPr>
          <w:p w14:paraId="2C94BB9A"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60EDCEEC"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74.6</w:t>
            </w:r>
          </w:p>
        </w:tc>
        <w:tc>
          <w:tcPr>
            <w:tcW w:w="1399" w:type="dxa"/>
            <w:vAlign w:val="center"/>
          </w:tcPr>
          <w:p w14:paraId="1E28149E"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93.8</w:t>
            </w:r>
          </w:p>
        </w:tc>
        <w:tc>
          <w:tcPr>
            <w:tcW w:w="1343" w:type="dxa"/>
            <w:shd w:val="clear" w:color="auto" w:fill="F2F2F2" w:themeFill="background1" w:themeFillShade="F2"/>
            <w:vAlign w:val="center"/>
          </w:tcPr>
          <w:p w14:paraId="02ABC5EC"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-25.4</w:t>
            </w:r>
          </w:p>
        </w:tc>
        <w:tc>
          <w:tcPr>
            <w:tcW w:w="1343" w:type="dxa"/>
            <w:shd w:val="clear" w:color="auto" w:fill="F2F2F2" w:themeFill="background1" w:themeFillShade="F2"/>
            <w:vAlign w:val="center"/>
          </w:tcPr>
          <w:p w14:paraId="12D49E04"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19.3</w:t>
            </w:r>
          </w:p>
        </w:tc>
        <w:tc>
          <w:tcPr>
            <w:tcW w:w="1343" w:type="dxa"/>
            <w:shd w:val="clear" w:color="auto" w:fill="F2F2F2" w:themeFill="background1" w:themeFillShade="F2"/>
            <w:vAlign w:val="center"/>
          </w:tcPr>
          <w:p w14:paraId="01BECA8A"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-6.2</w:t>
            </w:r>
          </w:p>
        </w:tc>
      </w:tr>
      <w:tr w:rsidR="007A6C42" w:rsidRPr="00DC6AF3" w14:paraId="13F19FFF" w14:textId="77777777" w:rsidTr="00FD1196">
        <w:trPr>
          <w:trHeight w:val="680"/>
        </w:trPr>
        <w:tc>
          <w:tcPr>
            <w:tcW w:w="2376" w:type="dxa"/>
          </w:tcPr>
          <w:p w14:paraId="58518399"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informales</w:t>
            </w:r>
          </w:p>
        </w:tc>
        <w:tc>
          <w:tcPr>
            <w:tcW w:w="1399" w:type="dxa"/>
            <w:vAlign w:val="center"/>
          </w:tcPr>
          <w:p w14:paraId="4A326D8E"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100.0</w:t>
            </w:r>
          </w:p>
        </w:tc>
        <w:tc>
          <w:tcPr>
            <w:tcW w:w="1399" w:type="dxa"/>
            <w:vAlign w:val="center"/>
          </w:tcPr>
          <w:p w14:paraId="0BA1CCC9"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75.4</w:t>
            </w:r>
          </w:p>
        </w:tc>
        <w:tc>
          <w:tcPr>
            <w:tcW w:w="1399" w:type="dxa"/>
            <w:vAlign w:val="center"/>
          </w:tcPr>
          <w:p w14:paraId="5939F995"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93.6</w:t>
            </w:r>
          </w:p>
        </w:tc>
        <w:tc>
          <w:tcPr>
            <w:tcW w:w="1343" w:type="dxa"/>
            <w:shd w:val="clear" w:color="auto" w:fill="F2F2F2" w:themeFill="background1" w:themeFillShade="F2"/>
            <w:vAlign w:val="center"/>
          </w:tcPr>
          <w:p w14:paraId="2028BCAC"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-24.6</w:t>
            </w:r>
          </w:p>
        </w:tc>
        <w:tc>
          <w:tcPr>
            <w:tcW w:w="1343" w:type="dxa"/>
            <w:shd w:val="clear" w:color="auto" w:fill="F2F2F2" w:themeFill="background1" w:themeFillShade="F2"/>
            <w:vAlign w:val="center"/>
          </w:tcPr>
          <w:p w14:paraId="55DAC968"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18.1</w:t>
            </w:r>
          </w:p>
        </w:tc>
        <w:tc>
          <w:tcPr>
            <w:tcW w:w="1343" w:type="dxa"/>
            <w:shd w:val="clear" w:color="auto" w:fill="F2F2F2" w:themeFill="background1" w:themeFillShade="F2"/>
            <w:vAlign w:val="center"/>
          </w:tcPr>
          <w:p w14:paraId="456D7A17"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-6.4</w:t>
            </w:r>
          </w:p>
        </w:tc>
      </w:tr>
      <w:tr w:rsidR="007A6C42" w:rsidRPr="00DC6AF3" w14:paraId="2C90FD05" w14:textId="77777777" w:rsidTr="00FD1196">
        <w:trPr>
          <w:trHeight w:val="680"/>
        </w:trPr>
        <w:tc>
          <w:tcPr>
            <w:tcW w:w="2376" w:type="dxa"/>
            <w:tcBorders>
              <w:bottom w:val="single" w:sz="4" w:space="0" w:color="auto"/>
            </w:tcBorders>
          </w:tcPr>
          <w:p w14:paraId="3793B2BC"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 xml:space="preserve">Total </w:t>
            </w:r>
          </w:p>
        </w:tc>
        <w:tc>
          <w:tcPr>
            <w:tcW w:w="1399" w:type="dxa"/>
            <w:tcBorders>
              <w:bottom w:val="single" w:sz="4" w:space="0" w:color="auto"/>
            </w:tcBorders>
            <w:vAlign w:val="center"/>
          </w:tcPr>
          <w:p w14:paraId="383C9982"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100.0</w:t>
            </w:r>
          </w:p>
        </w:tc>
        <w:tc>
          <w:tcPr>
            <w:tcW w:w="1399" w:type="dxa"/>
            <w:tcBorders>
              <w:bottom w:val="single" w:sz="4" w:space="0" w:color="auto"/>
            </w:tcBorders>
            <w:vAlign w:val="center"/>
          </w:tcPr>
          <w:p w14:paraId="07D9E772"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81.9</w:t>
            </w:r>
          </w:p>
        </w:tc>
        <w:tc>
          <w:tcPr>
            <w:tcW w:w="1399" w:type="dxa"/>
            <w:tcBorders>
              <w:bottom w:val="single" w:sz="4" w:space="0" w:color="auto"/>
            </w:tcBorders>
            <w:vAlign w:val="center"/>
          </w:tcPr>
          <w:p w14:paraId="4D90C460"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89.5</w:t>
            </w:r>
          </w:p>
        </w:tc>
        <w:tc>
          <w:tcPr>
            <w:tcW w:w="1343" w:type="dxa"/>
            <w:tcBorders>
              <w:bottom w:val="single" w:sz="4" w:space="0" w:color="auto"/>
            </w:tcBorders>
            <w:shd w:val="clear" w:color="auto" w:fill="F2F2F2" w:themeFill="background1" w:themeFillShade="F2"/>
            <w:vAlign w:val="center"/>
          </w:tcPr>
          <w:p w14:paraId="45CA670C"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-18.1</w:t>
            </w:r>
          </w:p>
        </w:tc>
        <w:tc>
          <w:tcPr>
            <w:tcW w:w="1343" w:type="dxa"/>
            <w:tcBorders>
              <w:bottom w:val="single" w:sz="4" w:space="0" w:color="auto"/>
            </w:tcBorders>
            <w:shd w:val="clear" w:color="auto" w:fill="F2F2F2" w:themeFill="background1" w:themeFillShade="F2"/>
            <w:vAlign w:val="center"/>
          </w:tcPr>
          <w:p w14:paraId="00E01ED7"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7.6</w:t>
            </w:r>
          </w:p>
        </w:tc>
        <w:tc>
          <w:tcPr>
            <w:tcW w:w="1343" w:type="dxa"/>
            <w:tcBorders>
              <w:bottom w:val="single" w:sz="4" w:space="0" w:color="auto"/>
            </w:tcBorders>
            <w:shd w:val="clear" w:color="auto" w:fill="F2F2F2" w:themeFill="background1" w:themeFillShade="F2"/>
            <w:vAlign w:val="center"/>
          </w:tcPr>
          <w:p w14:paraId="310BCBAA"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-10.5</w:t>
            </w:r>
          </w:p>
        </w:tc>
      </w:tr>
      <w:tr w:rsidR="007A6C42" w:rsidRPr="00DC6AF3" w14:paraId="75036471" w14:textId="77777777" w:rsidTr="00FD1196">
        <w:trPr>
          <w:trHeight w:val="680"/>
        </w:trPr>
        <w:tc>
          <w:tcPr>
            <w:tcW w:w="10602" w:type="dxa"/>
            <w:gridSpan w:val="7"/>
            <w:tcBorders>
              <w:top w:val="single" w:sz="4" w:space="0" w:color="auto"/>
              <w:left w:val="nil"/>
              <w:bottom w:val="nil"/>
              <w:right w:val="nil"/>
            </w:tcBorders>
          </w:tcPr>
          <w:p w14:paraId="51477A00" w14:textId="77777777" w:rsidR="007A6C42" w:rsidRPr="00DC6AF3" w:rsidRDefault="007A6C42" w:rsidP="00FD1196">
            <w:pPr>
              <w:spacing w:line="360" w:lineRule="auto"/>
              <w:jc w:val="both"/>
              <w:rPr>
                <w:rFonts w:ascii="Times New Roman" w:eastAsia="Calibri" w:hAnsi="Times New Roman" w:cs="Times New Roman"/>
                <w:sz w:val="18"/>
                <w:szCs w:val="18"/>
              </w:rPr>
            </w:pPr>
            <w:r w:rsidRPr="00DC6AF3">
              <w:rPr>
                <w:rFonts w:ascii="Times New Roman" w:eastAsia="Calibri" w:hAnsi="Times New Roman" w:cs="Times New Roman"/>
                <w:sz w:val="18"/>
                <w:szCs w:val="18"/>
              </w:rPr>
              <w:t>Fuente: elaboración propia a partir de micro datos de la EPH-INDEC.</w:t>
            </w:r>
          </w:p>
          <w:p w14:paraId="3E2037A4" w14:textId="77777777" w:rsidR="007A6C42" w:rsidRPr="00DC6AF3" w:rsidRDefault="007A6C42" w:rsidP="00FD1196">
            <w:pPr>
              <w:spacing w:line="360" w:lineRule="auto"/>
              <w:jc w:val="both"/>
              <w:rPr>
                <w:rFonts w:ascii="Times New Roman" w:hAnsi="Times New Roman" w:cs="Times New Roman"/>
                <w:sz w:val="24"/>
                <w:szCs w:val="24"/>
                <w:lang w:val="es-MX"/>
              </w:rPr>
            </w:pPr>
            <w:r w:rsidRPr="00DC6AF3">
              <w:rPr>
                <w:rFonts w:ascii="Times New Roman" w:eastAsia="Calibri" w:hAnsi="Times New Roman" w:cs="Times New Roman"/>
                <w:sz w:val="18"/>
                <w:szCs w:val="18"/>
              </w:rPr>
              <w:t xml:space="preserve">Nota. </w:t>
            </w:r>
            <w:r>
              <w:rPr>
                <w:rFonts w:ascii="Times New Roman" w:eastAsia="Calibri" w:hAnsi="Times New Roman" w:cs="Times New Roman"/>
                <w:sz w:val="18"/>
                <w:szCs w:val="18"/>
              </w:rPr>
              <w:t>Los</w:t>
            </w:r>
            <w:r w:rsidRPr="00DC6AF3">
              <w:rPr>
                <w:rFonts w:ascii="Times New Roman" w:eastAsia="Calibri" w:hAnsi="Times New Roman" w:cs="Times New Roman"/>
                <w:sz w:val="18"/>
                <w:szCs w:val="18"/>
              </w:rPr>
              <w:t xml:space="preserve"> “Desocupados sin ocupación anterior e inactivos no jubilados ni pensionados” </w:t>
            </w:r>
            <w:r>
              <w:rPr>
                <w:rFonts w:ascii="Times New Roman" w:eastAsia="Calibri" w:hAnsi="Times New Roman" w:cs="Times New Roman"/>
                <w:sz w:val="18"/>
                <w:szCs w:val="18"/>
              </w:rPr>
              <w:t xml:space="preserve">fueron excluidos </w:t>
            </w:r>
            <w:r w:rsidRPr="00DC6AF3">
              <w:rPr>
                <w:rFonts w:ascii="Times New Roman" w:eastAsia="Calibri" w:hAnsi="Times New Roman" w:cs="Times New Roman"/>
                <w:sz w:val="18"/>
                <w:szCs w:val="18"/>
              </w:rPr>
              <w:t>debido al tamaño pequeño de los casos</w:t>
            </w:r>
          </w:p>
        </w:tc>
      </w:tr>
    </w:tbl>
    <w:p w14:paraId="7B333431" w14:textId="77777777" w:rsidR="007A6C42" w:rsidRDefault="007A6C42" w:rsidP="00047296">
      <w:pPr>
        <w:spacing w:line="360" w:lineRule="auto"/>
        <w:jc w:val="both"/>
        <w:rPr>
          <w:rFonts w:ascii="Times New Roman" w:hAnsi="Times New Roman" w:cs="Times New Roman"/>
          <w:sz w:val="24"/>
          <w:szCs w:val="24"/>
        </w:rPr>
      </w:pPr>
    </w:p>
    <w:p w14:paraId="3BF3ABBD" w14:textId="2E3922D1" w:rsidR="00A1658D" w:rsidRDefault="4C001CDC" w:rsidP="003D2A4E">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lastRenderedPageBreak/>
        <w:t>En el 2021, todos los grupos socioeconómicos, exceptuando los hogares encabezados por empleadores y TCP formales, volvieron al número de perceptores laborales por hogar del año 2019. Esta reactivación en términos de actividad no fue acompañada por un aumento de los ingresos laborales. Como podemos ver en el cuadro 6,</w:t>
      </w:r>
      <w:r w:rsidR="005800AC">
        <w:rPr>
          <w:rFonts w:ascii="Times New Roman" w:hAnsi="Times New Roman" w:cs="Times New Roman"/>
          <w:sz w:val="24"/>
          <w:szCs w:val="24"/>
        </w:rPr>
        <w:t xml:space="preserve"> entre el 2019 y el 2021 los hog</w:t>
      </w:r>
      <w:r w:rsidR="00780306">
        <w:rPr>
          <w:rFonts w:ascii="Times New Roman" w:hAnsi="Times New Roman" w:cs="Times New Roman"/>
          <w:sz w:val="24"/>
          <w:szCs w:val="24"/>
        </w:rPr>
        <w:t>a</w:t>
      </w:r>
      <w:r w:rsidR="005800AC">
        <w:rPr>
          <w:rFonts w:ascii="Times New Roman" w:hAnsi="Times New Roman" w:cs="Times New Roman"/>
          <w:sz w:val="24"/>
          <w:szCs w:val="24"/>
        </w:rPr>
        <w:t xml:space="preserve">res perdieron 10pp en términos de ingresos laborales. </w:t>
      </w:r>
      <w:r w:rsidR="003B7FC3">
        <w:rPr>
          <w:rFonts w:ascii="Times New Roman" w:hAnsi="Times New Roman" w:cs="Times New Roman"/>
          <w:sz w:val="24"/>
          <w:szCs w:val="24"/>
        </w:rPr>
        <w:t xml:space="preserve">Asimismo, los hogares informales y cuenta recuperaron </w:t>
      </w:r>
      <w:r w:rsidR="00BC23CC">
        <w:rPr>
          <w:rFonts w:ascii="Times New Roman" w:hAnsi="Times New Roman" w:cs="Times New Roman"/>
          <w:sz w:val="24"/>
          <w:szCs w:val="24"/>
        </w:rPr>
        <w:t xml:space="preserve">rápidamente </w:t>
      </w:r>
      <w:r w:rsidR="003B7FC3">
        <w:rPr>
          <w:rFonts w:ascii="Times New Roman" w:hAnsi="Times New Roman" w:cs="Times New Roman"/>
          <w:sz w:val="24"/>
          <w:szCs w:val="24"/>
        </w:rPr>
        <w:t xml:space="preserve">tanto perceptores como ingresos laborales. </w:t>
      </w:r>
      <w:r w:rsidR="00363CFD">
        <w:rPr>
          <w:rFonts w:ascii="Times New Roman" w:hAnsi="Times New Roman" w:cs="Times New Roman"/>
          <w:sz w:val="24"/>
          <w:szCs w:val="24"/>
        </w:rPr>
        <w:t xml:space="preserve">A pesar </w:t>
      </w:r>
      <w:r w:rsidR="00AC4249">
        <w:rPr>
          <w:rFonts w:ascii="Times New Roman" w:hAnsi="Times New Roman" w:cs="Times New Roman"/>
          <w:sz w:val="24"/>
          <w:szCs w:val="24"/>
        </w:rPr>
        <w:t xml:space="preserve">de la </w:t>
      </w:r>
      <w:proofErr w:type="spellStart"/>
      <w:r w:rsidR="00AC4249">
        <w:rPr>
          <w:rFonts w:ascii="Times New Roman" w:hAnsi="Times New Roman" w:cs="Times New Roman"/>
          <w:sz w:val="24"/>
          <w:szCs w:val="24"/>
        </w:rPr>
        <w:t>recuperaci</w:t>
      </w:r>
      <w:r w:rsidR="00AC4249">
        <w:rPr>
          <w:rFonts w:ascii="Times New Roman" w:hAnsi="Times New Roman" w:cs="Times New Roman"/>
          <w:sz w:val="24"/>
          <w:szCs w:val="24"/>
          <w:lang w:val="es-MX"/>
        </w:rPr>
        <w:t>ón</w:t>
      </w:r>
      <w:proofErr w:type="spellEnd"/>
      <w:r w:rsidR="00AC4249">
        <w:rPr>
          <w:rFonts w:ascii="Times New Roman" w:hAnsi="Times New Roman" w:cs="Times New Roman"/>
          <w:sz w:val="24"/>
          <w:szCs w:val="24"/>
          <w:lang w:val="es-MX"/>
        </w:rPr>
        <w:t xml:space="preserve"> en la actividad</w:t>
      </w:r>
      <w:r w:rsidR="00363CFD">
        <w:rPr>
          <w:rFonts w:ascii="Times New Roman" w:hAnsi="Times New Roman" w:cs="Times New Roman"/>
          <w:sz w:val="24"/>
          <w:szCs w:val="24"/>
        </w:rPr>
        <w:t xml:space="preserve"> vemos que el balance es en todos los casos negativos</w:t>
      </w:r>
      <w:r w:rsidR="00D63BA1">
        <w:rPr>
          <w:rFonts w:ascii="Times New Roman" w:hAnsi="Times New Roman" w:cs="Times New Roman"/>
          <w:sz w:val="24"/>
          <w:szCs w:val="24"/>
        </w:rPr>
        <w:t xml:space="preserve"> en términos d</w:t>
      </w:r>
      <w:r w:rsidR="00AC4249">
        <w:rPr>
          <w:rFonts w:ascii="Times New Roman" w:hAnsi="Times New Roman" w:cs="Times New Roman"/>
          <w:sz w:val="24"/>
          <w:szCs w:val="24"/>
        </w:rPr>
        <w:t xml:space="preserve">e ingresos laborales. </w:t>
      </w:r>
    </w:p>
    <w:tbl>
      <w:tblPr>
        <w:tblStyle w:val="Tablaconcuadrcula"/>
        <w:tblW w:w="10602" w:type="dxa"/>
        <w:tblLook w:val="04A0" w:firstRow="1" w:lastRow="0" w:firstColumn="1" w:lastColumn="0" w:noHBand="0" w:noVBand="1"/>
      </w:tblPr>
      <w:tblGrid>
        <w:gridCol w:w="2376"/>
        <w:gridCol w:w="1399"/>
        <w:gridCol w:w="1399"/>
        <w:gridCol w:w="1399"/>
        <w:gridCol w:w="1343"/>
        <w:gridCol w:w="1343"/>
        <w:gridCol w:w="1343"/>
      </w:tblGrid>
      <w:tr w:rsidR="007A6C42" w:rsidRPr="00DC6AF3" w14:paraId="4B642AC7" w14:textId="77777777" w:rsidTr="00FD1196">
        <w:trPr>
          <w:trHeight w:val="397"/>
        </w:trPr>
        <w:tc>
          <w:tcPr>
            <w:tcW w:w="10602" w:type="dxa"/>
            <w:gridSpan w:val="7"/>
            <w:tcBorders>
              <w:top w:val="nil"/>
              <w:left w:val="nil"/>
              <w:bottom w:val="single" w:sz="4" w:space="0" w:color="auto"/>
              <w:right w:val="nil"/>
            </w:tcBorders>
          </w:tcPr>
          <w:p w14:paraId="378D8641" w14:textId="75F68894"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hAnsi="Times New Roman" w:cs="Times New Roman"/>
                <w:b/>
                <w:bCs/>
              </w:rPr>
              <w:t xml:space="preserve">Cuadro </w:t>
            </w:r>
            <w:r w:rsidR="002F2CE7">
              <w:rPr>
                <w:rFonts w:ascii="Times New Roman" w:hAnsi="Times New Roman" w:cs="Times New Roman"/>
                <w:b/>
                <w:bCs/>
              </w:rPr>
              <w:t>0</w:t>
            </w:r>
            <w:r w:rsidRPr="00DC6AF3">
              <w:rPr>
                <w:rFonts w:ascii="Times New Roman" w:hAnsi="Times New Roman" w:cs="Times New Roman"/>
                <w:b/>
                <w:bCs/>
              </w:rPr>
              <w:t xml:space="preserve">7.  Evolución del porcentaje relativo de los ingresos por programas sociales sobre el ingreso total según posición socio-ocupacional del jefe de hogar.  Hogares con PSH </w:t>
            </w:r>
            <w:r>
              <w:rPr>
                <w:rFonts w:ascii="Times New Roman" w:hAnsi="Times New Roman" w:cs="Times New Roman"/>
                <w:b/>
                <w:bCs/>
              </w:rPr>
              <w:t>activo</w:t>
            </w:r>
            <w:r w:rsidRPr="00DC6AF3">
              <w:rPr>
                <w:rFonts w:ascii="Times New Roman" w:hAnsi="Times New Roman" w:cs="Times New Roman"/>
                <w:b/>
                <w:bCs/>
              </w:rPr>
              <w:t>, total de aglomerados urbanos, Argentina, 2019-2021 (</w:t>
            </w:r>
            <w:r w:rsidRPr="00DC6AF3">
              <w:rPr>
                <w:rFonts w:ascii="Times New Roman" w:hAnsi="Times New Roman" w:cs="Times New Roman"/>
                <w:b/>
                <w:bCs/>
                <w:i/>
                <w:iCs/>
              </w:rPr>
              <w:t>en base 2019=100</w:t>
            </w:r>
            <w:r w:rsidRPr="00DC6AF3">
              <w:rPr>
                <w:rFonts w:ascii="Times New Roman" w:hAnsi="Times New Roman" w:cs="Times New Roman"/>
                <w:b/>
                <w:bCs/>
              </w:rPr>
              <w:t>)</w:t>
            </w:r>
          </w:p>
        </w:tc>
      </w:tr>
      <w:tr w:rsidR="007A6C42" w:rsidRPr="00DC6AF3" w14:paraId="5D74D996" w14:textId="77777777" w:rsidTr="00FD1196">
        <w:trPr>
          <w:trHeight w:val="397"/>
        </w:trPr>
        <w:tc>
          <w:tcPr>
            <w:tcW w:w="2376" w:type="dxa"/>
            <w:tcBorders>
              <w:top w:val="single" w:sz="4" w:space="0" w:color="auto"/>
              <w:left w:val="single" w:sz="4" w:space="0" w:color="auto"/>
              <w:bottom w:val="nil"/>
              <w:right w:val="nil"/>
            </w:tcBorders>
          </w:tcPr>
          <w:p w14:paraId="5CC9F2DA"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val="restart"/>
            <w:tcBorders>
              <w:top w:val="single" w:sz="4" w:space="0" w:color="auto"/>
              <w:left w:val="nil"/>
              <w:bottom w:val="nil"/>
              <w:right w:val="nil"/>
            </w:tcBorders>
            <w:vAlign w:val="center"/>
          </w:tcPr>
          <w:p w14:paraId="4A7677E0"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 IIIT</w:t>
            </w:r>
          </w:p>
        </w:tc>
        <w:tc>
          <w:tcPr>
            <w:tcW w:w="1399" w:type="dxa"/>
            <w:vMerge w:val="restart"/>
            <w:tcBorders>
              <w:top w:val="single" w:sz="4" w:space="0" w:color="auto"/>
              <w:left w:val="nil"/>
              <w:bottom w:val="nil"/>
              <w:right w:val="nil"/>
            </w:tcBorders>
            <w:vAlign w:val="center"/>
          </w:tcPr>
          <w:p w14:paraId="3DE1AEAE"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 IIIT</w:t>
            </w:r>
          </w:p>
        </w:tc>
        <w:tc>
          <w:tcPr>
            <w:tcW w:w="1399" w:type="dxa"/>
            <w:vMerge w:val="restart"/>
            <w:tcBorders>
              <w:top w:val="single" w:sz="4" w:space="0" w:color="auto"/>
              <w:left w:val="nil"/>
              <w:bottom w:val="nil"/>
              <w:right w:val="single" w:sz="4" w:space="0" w:color="auto"/>
            </w:tcBorders>
            <w:vAlign w:val="center"/>
          </w:tcPr>
          <w:p w14:paraId="15F72F0B"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2021 IIIT</w:t>
            </w:r>
          </w:p>
        </w:tc>
        <w:tc>
          <w:tcPr>
            <w:tcW w:w="4029" w:type="dxa"/>
            <w:gridSpan w:val="3"/>
            <w:tcBorders>
              <w:top w:val="single" w:sz="4" w:space="0" w:color="auto"/>
              <w:left w:val="single" w:sz="4" w:space="0" w:color="auto"/>
            </w:tcBorders>
            <w:shd w:val="clear" w:color="auto" w:fill="F2F2F2" w:themeFill="background1" w:themeFillShade="F2"/>
          </w:tcPr>
          <w:p w14:paraId="46D466B4"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Variación (p.p.)</w:t>
            </w:r>
          </w:p>
        </w:tc>
      </w:tr>
      <w:tr w:rsidR="007A6C42" w:rsidRPr="00DC6AF3" w14:paraId="10188306" w14:textId="77777777" w:rsidTr="00FD1196">
        <w:trPr>
          <w:trHeight w:val="397"/>
        </w:trPr>
        <w:tc>
          <w:tcPr>
            <w:tcW w:w="2376" w:type="dxa"/>
            <w:tcBorders>
              <w:top w:val="nil"/>
              <w:left w:val="single" w:sz="4" w:space="0" w:color="auto"/>
              <w:bottom w:val="single" w:sz="4" w:space="0" w:color="auto"/>
              <w:right w:val="nil"/>
            </w:tcBorders>
          </w:tcPr>
          <w:p w14:paraId="66CC334B"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42D8C25A"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nil"/>
            </w:tcBorders>
          </w:tcPr>
          <w:p w14:paraId="10A4C513" w14:textId="77777777" w:rsidR="007A6C42" w:rsidRPr="00DC6AF3" w:rsidRDefault="007A6C42" w:rsidP="00FD1196">
            <w:pPr>
              <w:spacing w:line="360" w:lineRule="auto"/>
              <w:jc w:val="both"/>
              <w:rPr>
                <w:rFonts w:ascii="Times New Roman" w:hAnsi="Times New Roman" w:cs="Times New Roman"/>
                <w:sz w:val="24"/>
                <w:szCs w:val="24"/>
              </w:rPr>
            </w:pPr>
          </w:p>
        </w:tc>
        <w:tc>
          <w:tcPr>
            <w:tcW w:w="1399" w:type="dxa"/>
            <w:vMerge/>
            <w:tcBorders>
              <w:top w:val="nil"/>
              <w:left w:val="nil"/>
              <w:bottom w:val="single" w:sz="4" w:space="0" w:color="auto"/>
              <w:right w:val="single" w:sz="4" w:space="0" w:color="auto"/>
            </w:tcBorders>
          </w:tcPr>
          <w:p w14:paraId="1C291D3B" w14:textId="77777777" w:rsidR="007A6C42" w:rsidRPr="00DC6AF3" w:rsidRDefault="007A6C42" w:rsidP="00FD1196">
            <w:pPr>
              <w:spacing w:line="360" w:lineRule="auto"/>
              <w:jc w:val="both"/>
              <w:rPr>
                <w:rFonts w:ascii="Times New Roman" w:hAnsi="Times New Roman" w:cs="Times New Roman"/>
                <w:sz w:val="24"/>
                <w:szCs w:val="24"/>
              </w:rPr>
            </w:pPr>
          </w:p>
        </w:tc>
        <w:tc>
          <w:tcPr>
            <w:tcW w:w="1343" w:type="dxa"/>
            <w:tcBorders>
              <w:left w:val="single" w:sz="4" w:space="0" w:color="auto"/>
            </w:tcBorders>
            <w:shd w:val="clear" w:color="auto" w:fill="F2F2F2" w:themeFill="background1" w:themeFillShade="F2"/>
          </w:tcPr>
          <w:p w14:paraId="7053242B"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2019-2020</w:t>
            </w:r>
          </w:p>
        </w:tc>
        <w:tc>
          <w:tcPr>
            <w:tcW w:w="1343" w:type="dxa"/>
            <w:shd w:val="clear" w:color="auto" w:fill="F2F2F2" w:themeFill="background1" w:themeFillShade="F2"/>
          </w:tcPr>
          <w:p w14:paraId="409F6741"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2020-2021</w:t>
            </w:r>
          </w:p>
        </w:tc>
        <w:tc>
          <w:tcPr>
            <w:tcW w:w="1343" w:type="dxa"/>
            <w:shd w:val="clear" w:color="auto" w:fill="F2F2F2" w:themeFill="background1" w:themeFillShade="F2"/>
          </w:tcPr>
          <w:p w14:paraId="3E48F62A" w14:textId="77777777" w:rsidR="007A6C42" w:rsidRPr="00DC6AF3" w:rsidRDefault="007A6C42" w:rsidP="00FD1196">
            <w:pPr>
              <w:spacing w:line="360" w:lineRule="auto"/>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2019-2021</w:t>
            </w:r>
          </w:p>
        </w:tc>
      </w:tr>
      <w:tr w:rsidR="007A6C42" w:rsidRPr="00DC6AF3" w14:paraId="450A2097" w14:textId="77777777" w:rsidTr="00FD1196">
        <w:trPr>
          <w:trHeight w:val="680"/>
        </w:trPr>
        <w:tc>
          <w:tcPr>
            <w:tcW w:w="2376" w:type="dxa"/>
            <w:tcBorders>
              <w:top w:val="single" w:sz="4" w:space="0" w:color="auto"/>
            </w:tcBorders>
          </w:tcPr>
          <w:p w14:paraId="176747E3" w14:textId="77777777" w:rsidR="007A6C42" w:rsidRPr="00DC6AF3" w:rsidRDefault="007A6C42" w:rsidP="00FD1196">
            <w:pPr>
              <w:jc w:val="both"/>
              <w:rPr>
                <w:rFonts w:ascii="Times New Roman" w:hAnsi="Times New Roman" w:cs="Times New Roman"/>
                <w:sz w:val="24"/>
                <w:szCs w:val="24"/>
              </w:rPr>
            </w:pPr>
            <w:r w:rsidRPr="00DC6AF3">
              <w:rPr>
                <w:rFonts w:ascii="Times New Roman" w:eastAsia="Times New Roman" w:hAnsi="Times New Roman" w:cs="Times New Roman"/>
                <w:b/>
                <w:bCs/>
                <w:color w:val="000000" w:themeColor="text1"/>
                <w:sz w:val="24"/>
                <w:szCs w:val="24"/>
              </w:rPr>
              <w:t>Empleadores/as y TCP formales</w:t>
            </w:r>
          </w:p>
        </w:tc>
        <w:tc>
          <w:tcPr>
            <w:tcW w:w="1399" w:type="dxa"/>
            <w:tcBorders>
              <w:top w:val="single" w:sz="4" w:space="0" w:color="auto"/>
            </w:tcBorders>
            <w:vAlign w:val="center"/>
          </w:tcPr>
          <w:p w14:paraId="703D869C"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0.5%</w:t>
            </w:r>
          </w:p>
        </w:tc>
        <w:tc>
          <w:tcPr>
            <w:tcW w:w="1399" w:type="dxa"/>
            <w:tcBorders>
              <w:top w:val="single" w:sz="4" w:space="0" w:color="auto"/>
            </w:tcBorders>
            <w:vAlign w:val="center"/>
          </w:tcPr>
          <w:p w14:paraId="036202E4"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3.3%</w:t>
            </w:r>
          </w:p>
        </w:tc>
        <w:tc>
          <w:tcPr>
            <w:tcW w:w="1399" w:type="dxa"/>
            <w:tcBorders>
              <w:top w:val="single" w:sz="4" w:space="0" w:color="auto"/>
            </w:tcBorders>
            <w:vAlign w:val="center"/>
          </w:tcPr>
          <w:p w14:paraId="62158DD0"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0.6%</w:t>
            </w:r>
          </w:p>
        </w:tc>
        <w:tc>
          <w:tcPr>
            <w:tcW w:w="1343" w:type="dxa"/>
            <w:shd w:val="clear" w:color="auto" w:fill="F2F2F2" w:themeFill="background1" w:themeFillShade="F2"/>
            <w:vAlign w:val="center"/>
          </w:tcPr>
          <w:p w14:paraId="6FEE4C1C"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2.8</w:t>
            </w:r>
          </w:p>
        </w:tc>
        <w:tc>
          <w:tcPr>
            <w:tcW w:w="1343" w:type="dxa"/>
            <w:shd w:val="clear" w:color="auto" w:fill="F2F2F2" w:themeFill="background1" w:themeFillShade="F2"/>
            <w:vAlign w:val="center"/>
          </w:tcPr>
          <w:p w14:paraId="23EACF6D"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-2.7</w:t>
            </w:r>
          </w:p>
        </w:tc>
        <w:tc>
          <w:tcPr>
            <w:tcW w:w="1343" w:type="dxa"/>
            <w:shd w:val="clear" w:color="auto" w:fill="F2F2F2" w:themeFill="background1" w:themeFillShade="F2"/>
            <w:vAlign w:val="center"/>
          </w:tcPr>
          <w:p w14:paraId="022448D1"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0.1</w:t>
            </w:r>
          </w:p>
        </w:tc>
      </w:tr>
      <w:tr w:rsidR="007A6C42" w:rsidRPr="00DC6AF3" w14:paraId="61F0FDF9" w14:textId="77777777" w:rsidTr="00FD1196">
        <w:trPr>
          <w:trHeight w:val="680"/>
        </w:trPr>
        <w:tc>
          <w:tcPr>
            <w:tcW w:w="2376" w:type="dxa"/>
          </w:tcPr>
          <w:p w14:paraId="30911035"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formales</w:t>
            </w:r>
          </w:p>
        </w:tc>
        <w:tc>
          <w:tcPr>
            <w:tcW w:w="1399" w:type="dxa"/>
            <w:vAlign w:val="center"/>
          </w:tcPr>
          <w:p w14:paraId="48279972"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0.3%</w:t>
            </w:r>
          </w:p>
        </w:tc>
        <w:tc>
          <w:tcPr>
            <w:tcW w:w="1399" w:type="dxa"/>
            <w:vAlign w:val="center"/>
          </w:tcPr>
          <w:p w14:paraId="32367C3D"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0.4%</w:t>
            </w:r>
          </w:p>
        </w:tc>
        <w:tc>
          <w:tcPr>
            <w:tcW w:w="1399" w:type="dxa"/>
            <w:vAlign w:val="center"/>
          </w:tcPr>
          <w:p w14:paraId="6F48F11F"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0.3%</w:t>
            </w:r>
          </w:p>
        </w:tc>
        <w:tc>
          <w:tcPr>
            <w:tcW w:w="1343" w:type="dxa"/>
            <w:shd w:val="clear" w:color="auto" w:fill="F2F2F2" w:themeFill="background1" w:themeFillShade="F2"/>
            <w:vAlign w:val="center"/>
          </w:tcPr>
          <w:p w14:paraId="5C571E9B"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0.1</w:t>
            </w:r>
          </w:p>
        </w:tc>
        <w:tc>
          <w:tcPr>
            <w:tcW w:w="1343" w:type="dxa"/>
            <w:shd w:val="clear" w:color="auto" w:fill="F2F2F2" w:themeFill="background1" w:themeFillShade="F2"/>
            <w:vAlign w:val="center"/>
          </w:tcPr>
          <w:p w14:paraId="153E1354"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-0.1</w:t>
            </w:r>
          </w:p>
        </w:tc>
        <w:tc>
          <w:tcPr>
            <w:tcW w:w="1343" w:type="dxa"/>
            <w:shd w:val="clear" w:color="auto" w:fill="F2F2F2" w:themeFill="background1" w:themeFillShade="F2"/>
            <w:vAlign w:val="center"/>
          </w:tcPr>
          <w:p w14:paraId="09782A07"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0.0</w:t>
            </w:r>
          </w:p>
        </w:tc>
      </w:tr>
      <w:tr w:rsidR="007A6C42" w:rsidRPr="00DC6AF3" w14:paraId="486039A4" w14:textId="77777777" w:rsidTr="00FD1196">
        <w:trPr>
          <w:trHeight w:val="680"/>
        </w:trPr>
        <w:tc>
          <w:tcPr>
            <w:tcW w:w="2376" w:type="dxa"/>
          </w:tcPr>
          <w:p w14:paraId="754C1278"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Microempresarios/as y TCP informales</w:t>
            </w:r>
          </w:p>
        </w:tc>
        <w:tc>
          <w:tcPr>
            <w:tcW w:w="1399" w:type="dxa"/>
            <w:vAlign w:val="center"/>
          </w:tcPr>
          <w:p w14:paraId="026D7DB5"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2.5%</w:t>
            </w:r>
          </w:p>
        </w:tc>
        <w:tc>
          <w:tcPr>
            <w:tcW w:w="1399" w:type="dxa"/>
            <w:vAlign w:val="center"/>
          </w:tcPr>
          <w:p w14:paraId="3D7C42D3"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12.3%</w:t>
            </w:r>
          </w:p>
        </w:tc>
        <w:tc>
          <w:tcPr>
            <w:tcW w:w="1399" w:type="dxa"/>
            <w:vAlign w:val="center"/>
          </w:tcPr>
          <w:p w14:paraId="631C69BA"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3.4%</w:t>
            </w:r>
          </w:p>
        </w:tc>
        <w:tc>
          <w:tcPr>
            <w:tcW w:w="1343" w:type="dxa"/>
            <w:shd w:val="clear" w:color="auto" w:fill="F2F2F2" w:themeFill="background1" w:themeFillShade="F2"/>
            <w:vAlign w:val="center"/>
          </w:tcPr>
          <w:p w14:paraId="5410E394"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9.8</w:t>
            </w:r>
          </w:p>
        </w:tc>
        <w:tc>
          <w:tcPr>
            <w:tcW w:w="1343" w:type="dxa"/>
            <w:shd w:val="clear" w:color="auto" w:fill="F2F2F2" w:themeFill="background1" w:themeFillShade="F2"/>
            <w:vAlign w:val="center"/>
          </w:tcPr>
          <w:p w14:paraId="26F78AE5"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-8.9</w:t>
            </w:r>
          </w:p>
        </w:tc>
        <w:tc>
          <w:tcPr>
            <w:tcW w:w="1343" w:type="dxa"/>
            <w:shd w:val="clear" w:color="auto" w:fill="F2F2F2" w:themeFill="background1" w:themeFillShade="F2"/>
            <w:vAlign w:val="center"/>
          </w:tcPr>
          <w:p w14:paraId="01983CC6"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0.9</w:t>
            </w:r>
          </w:p>
        </w:tc>
      </w:tr>
      <w:tr w:rsidR="007A6C42" w:rsidRPr="00DC6AF3" w14:paraId="74945D9E" w14:textId="77777777" w:rsidTr="00FD1196">
        <w:trPr>
          <w:trHeight w:val="680"/>
        </w:trPr>
        <w:tc>
          <w:tcPr>
            <w:tcW w:w="2376" w:type="dxa"/>
          </w:tcPr>
          <w:p w14:paraId="2E902DE2"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Asalariados/as informales</w:t>
            </w:r>
          </w:p>
        </w:tc>
        <w:tc>
          <w:tcPr>
            <w:tcW w:w="1399" w:type="dxa"/>
            <w:vAlign w:val="center"/>
          </w:tcPr>
          <w:p w14:paraId="6C3D0C38"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5.2%</w:t>
            </w:r>
          </w:p>
        </w:tc>
        <w:tc>
          <w:tcPr>
            <w:tcW w:w="1399" w:type="dxa"/>
            <w:vAlign w:val="center"/>
          </w:tcPr>
          <w:p w14:paraId="7D0AA75E"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16.4%</w:t>
            </w:r>
          </w:p>
        </w:tc>
        <w:tc>
          <w:tcPr>
            <w:tcW w:w="1399" w:type="dxa"/>
            <w:vAlign w:val="center"/>
          </w:tcPr>
          <w:p w14:paraId="1CC3B810"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5.6%</w:t>
            </w:r>
          </w:p>
        </w:tc>
        <w:tc>
          <w:tcPr>
            <w:tcW w:w="1343" w:type="dxa"/>
            <w:shd w:val="clear" w:color="auto" w:fill="F2F2F2" w:themeFill="background1" w:themeFillShade="F2"/>
            <w:vAlign w:val="center"/>
          </w:tcPr>
          <w:p w14:paraId="1B78FB7B"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11.2</w:t>
            </w:r>
          </w:p>
        </w:tc>
        <w:tc>
          <w:tcPr>
            <w:tcW w:w="1343" w:type="dxa"/>
            <w:shd w:val="clear" w:color="auto" w:fill="F2F2F2" w:themeFill="background1" w:themeFillShade="F2"/>
            <w:vAlign w:val="center"/>
          </w:tcPr>
          <w:p w14:paraId="0B5463F8"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-10.7</w:t>
            </w:r>
          </w:p>
        </w:tc>
        <w:tc>
          <w:tcPr>
            <w:tcW w:w="1343" w:type="dxa"/>
            <w:shd w:val="clear" w:color="auto" w:fill="F2F2F2" w:themeFill="background1" w:themeFillShade="F2"/>
            <w:vAlign w:val="center"/>
          </w:tcPr>
          <w:p w14:paraId="3F8BE31B"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0.5</w:t>
            </w:r>
          </w:p>
        </w:tc>
      </w:tr>
      <w:tr w:rsidR="007A6C42" w:rsidRPr="00DC6AF3" w14:paraId="3D6DC742" w14:textId="77777777" w:rsidTr="00FD1196">
        <w:trPr>
          <w:trHeight w:val="680"/>
        </w:trPr>
        <w:tc>
          <w:tcPr>
            <w:tcW w:w="2376" w:type="dxa"/>
          </w:tcPr>
          <w:p w14:paraId="7AD87C4B"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Desocupados sin ocupación anterior e inactivos no jubilados ni pensionados</w:t>
            </w:r>
          </w:p>
        </w:tc>
        <w:tc>
          <w:tcPr>
            <w:tcW w:w="1399" w:type="dxa"/>
            <w:vAlign w:val="center"/>
          </w:tcPr>
          <w:p w14:paraId="5E2539DD"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28.5%</w:t>
            </w:r>
          </w:p>
        </w:tc>
        <w:tc>
          <w:tcPr>
            <w:tcW w:w="1399" w:type="dxa"/>
            <w:vAlign w:val="center"/>
          </w:tcPr>
          <w:p w14:paraId="5529AD6C"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51.4%</w:t>
            </w:r>
          </w:p>
        </w:tc>
        <w:tc>
          <w:tcPr>
            <w:tcW w:w="1399" w:type="dxa"/>
            <w:vAlign w:val="center"/>
          </w:tcPr>
          <w:p w14:paraId="3AEEF5C8" w14:textId="77777777" w:rsidR="007A6C42" w:rsidRPr="00DC6AF3" w:rsidRDefault="007A6C42" w:rsidP="00FD1196">
            <w:pPr>
              <w:spacing w:line="360" w:lineRule="auto"/>
              <w:jc w:val="center"/>
              <w:rPr>
                <w:rFonts w:ascii="Times New Roman" w:hAnsi="Times New Roman" w:cs="Times New Roman"/>
                <w:sz w:val="24"/>
                <w:szCs w:val="24"/>
              </w:rPr>
            </w:pPr>
            <w:r w:rsidRPr="00DC6AF3">
              <w:rPr>
                <w:rFonts w:ascii="Times New Roman" w:hAnsi="Times New Roman" w:cs="Times New Roman"/>
                <w:sz w:val="24"/>
                <w:szCs w:val="24"/>
              </w:rPr>
              <w:t>33.5%</w:t>
            </w:r>
          </w:p>
        </w:tc>
        <w:tc>
          <w:tcPr>
            <w:tcW w:w="1343" w:type="dxa"/>
            <w:shd w:val="clear" w:color="auto" w:fill="F2F2F2" w:themeFill="background1" w:themeFillShade="F2"/>
            <w:vAlign w:val="center"/>
          </w:tcPr>
          <w:p w14:paraId="7C57C28F"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22.9</w:t>
            </w:r>
          </w:p>
        </w:tc>
        <w:tc>
          <w:tcPr>
            <w:tcW w:w="1343" w:type="dxa"/>
            <w:shd w:val="clear" w:color="auto" w:fill="F2F2F2" w:themeFill="background1" w:themeFillShade="F2"/>
            <w:vAlign w:val="center"/>
          </w:tcPr>
          <w:p w14:paraId="4DCFDE09"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-17.8</w:t>
            </w:r>
          </w:p>
        </w:tc>
        <w:tc>
          <w:tcPr>
            <w:tcW w:w="1343" w:type="dxa"/>
            <w:shd w:val="clear" w:color="auto" w:fill="F2F2F2" w:themeFill="background1" w:themeFillShade="F2"/>
            <w:vAlign w:val="center"/>
          </w:tcPr>
          <w:p w14:paraId="3A85E34D" w14:textId="77777777" w:rsidR="007A6C42" w:rsidRPr="00C1783C" w:rsidRDefault="007A6C42" w:rsidP="00FD1196">
            <w:pPr>
              <w:spacing w:line="360" w:lineRule="auto"/>
              <w:jc w:val="center"/>
              <w:rPr>
                <w:rFonts w:ascii="Times New Roman" w:hAnsi="Times New Roman" w:cs="Times New Roman"/>
                <w:sz w:val="24"/>
                <w:szCs w:val="24"/>
              </w:rPr>
            </w:pPr>
            <w:r w:rsidRPr="00C1783C">
              <w:rPr>
                <w:rFonts w:ascii="Times New Roman" w:hAnsi="Times New Roman" w:cs="Times New Roman"/>
                <w:sz w:val="24"/>
                <w:szCs w:val="24"/>
              </w:rPr>
              <w:t>5.1</w:t>
            </w:r>
          </w:p>
        </w:tc>
      </w:tr>
      <w:tr w:rsidR="007A6C42" w:rsidRPr="00DC6AF3" w14:paraId="1AA101E6" w14:textId="77777777" w:rsidTr="00FD1196">
        <w:trPr>
          <w:trHeight w:val="680"/>
        </w:trPr>
        <w:tc>
          <w:tcPr>
            <w:tcW w:w="2376" w:type="dxa"/>
            <w:tcBorders>
              <w:bottom w:val="single" w:sz="4" w:space="0" w:color="auto"/>
            </w:tcBorders>
          </w:tcPr>
          <w:p w14:paraId="3781F0FD" w14:textId="77777777" w:rsidR="007A6C42" w:rsidRPr="00DC6AF3" w:rsidRDefault="007A6C42" w:rsidP="00FD1196">
            <w:pPr>
              <w:jc w:val="both"/>
              <w:rPr>
                <w:rFonts w:ascii="Times New Roman" w:eastAsia="Times New Roman" w:hAnsi="Times New Roman" w:cs="Times New Roman"/>
                <w:b/>
                <w:bCs/>
                <w:color w:val="000000" w:themeColor="text1"/>
                <w:sz w:val="24"/>
                <w:szCs w:val="24"/>
              </w:rPr>
            </w:pPr>
            <w:r w:rsidRPr="00DC6AF3">
              <w:rPr>
                <w:rFonts w:ascii="Times New Roman" w:eastAsia="Times New Roman" w:hAnsi="Times New Roman" w:cs="Times New Roman"/>
                <w:b/>
                <w:bCs/>
                <w:color w:val="000000" w:themeColor="text1"/>
                <w:sz w:val="24"/>
                <w:szCs w:val="24"/>
              </w:rPr>
              <w:t xml:space="preserve">Total </w:t>
            </w:r>
          </w:p>
        </w:tc>
        <w:tc>
          <w:tcPr>
            <w:tcW w:w="1399" w:type="dxa"/>
            <w:tcBorders>
              <w:bottom w:val="single" w:sz="4" w:space="0" w:color="auto"/>
            </w:tcBorders>
            <w:vAlign w:val="center"/>
          </w:tcPr>
          <w:p w14:paraId="0F06F4BA"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2.8%</w:t>
            </w:r>
          </w:p>
        </w:tc>
        <w:tc>
          <w:tcPr>
            <w:tcW w:w="1399" w:type="dxa"/>
            <w:tcBorders>
              <w:bottom w:val="single" w:sz="4" w:space="0" w:color="auto"/>
            </w:tcBorders>
            <w:vAlign w:val="center"/>
          </w:tcPr>
          <w:p w14:paraId="18E73CBE"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9.5%</w:t>
            </w:r>
          </w:p>
        </w:tc>
        <w:tc>
          <w:tcPr>
            <w:tcW w:w="1399" w:type="dxa"/>
            <w:tcBorders>
              <w:bottom w:val="single" w:sz="4" w:space="0" w:color="auto"/>
            </w:tcBorders>
            <w:vAlign w:val="center"/>
          </w:tcPr>
          <w:p w14:paraId="7A120F33" w14:textId="77777777" w:rsidR="007A6C42" w:rsidRPr="00DC6AF3" w:rsidRDefault="007A6C42" w:rsidP="00FD1196">
            <w:pPr>
              <w:spacing w:line="360" w:lineRule="auto"/>
              <w:jc w:val="center"/>
              <w:rPr>
                <w:rFonts w:ascii="Times New Roman" w:hAnsi="Times New Roman" w:cs="Times New Roman"/>
                <w:b/>
                <w:bCs/>
                <w:sz w:val="24"/>
                <w:szCs w:val="24"/>
              </w:rPr>
            </w:pPr>
            <w:r w:rsidRPr="00DC6AF3">
              <w:rPr>
                <w:rFonts w:ascii="Times New Roman" w:hAnsi="Times New Roman" w:cs="Times New Roman"/>
                <w:b/>
                <w:bCs/>
                <w:sz w:val="24"/>
                <w:szCs w:val="24"/>
              </w:rPr>
              <w:t>3.0%</w:t>
            </w:r>
          </w:p>
        </w:tc>
        <w:tc>
          <w:tcPr>
            <w:tcW w:w="1343" w:type="dxa"/>
            <w:tcBorders>
              <w:bottom w:val="single" w:sz="4" w:space="0" w:color="auto"/>
            </w:tcBorders>
            <w:shd w:val="clear" w:color="auto" w:fill="F2F2F2" w:themeFill="background1" w:themeFillShade="F2"/>
            <w:vAlign w:val="center"/>
          </w:tcPr>
          <w:p w14:paraId="21DE10FD" w14:textId="77777777" w:rsidR="007A6C42" w:rsidRPr="00C1783C" w:rsidRDefault="007A6C42" w:rsidP="00FD1196">
            <w:pPr>
              <w:spacing w:line="360" w:lineRule="auto"/>
              <w:jc w:val="center"/>
              <w:rPr>
                <w:rFonts w:ascii="Times New Roman" w:hAnsi="Times New Roman" w:cs="Times New Roman"/>
                <w:b/>
                <w:bCs/>
                <w:sz w:val="24"/>
                <w:szCs w:val="24"/>
              </w:rPr>
            </w:pPr>
            <w:r w:rsidRPr="00C1783C">
              <w:rPr>
                <w:rFonts w:ascii="Times New Roman" w:hAnsi="Times New Roman" w:cs="Times New Roman"/>
                <w:b/>
                <w:bCs/>
                <w:sz w:val="24"/>
                <w:szCs w:val="24"/>
              </w:rPr>
              <w:t>6.7</w:t>
            </w:r>
          </w:p>
        </w:tc>
        <w:tc>
          <w:tcPr>
            <w:tcW w:w="1343" w:type="dxa"/>
            <w:tcBorders>
              <w:bottom w:val="single" w:sz="4" w:space="0" w:color="auto"/>
            </w:tcBorders>
            <w:shd w:val="clear" w:color="auto" w:fill="F2F2F2" w:themeFill="background1" w:themeFillShade="F2"/>
            <w:vAlign w:val="center"/>
          </w:tcPr>
          <w:p w14:paraId="5F3E7E51" w14:textId="77777777" w:rsidR="007A6C42" w:rsidRPr="00C1783C" w:rsidRDefault="007A6C42" w:rsidP="00FD1196">
            <w:pPr>
              <w:spacing w:line="360" w:lineRule="auto"/>
              <w:jc w:val="center"/>
              <w:rPr>
                <w:rFonts w:ascii="Times New Roman" w:hAnsi="Times New Roman" w:cs="Times New Roman"/>
                <w:b/>
                <w:bCs/>
                <w:sz w:val="24"/>
                <w:szCs w:val="24"/>
              </w:rPr>
            </w:pPr>
            <w:r w:rsidRPr="00C1783C">
              <w:rPr>
                <w:rFonts w:ascii="Times New Roman" w:hAnsi="Times New Roman" w:cs="Times New Roman"/>
                <w:b/>
                <w:bCs/>
                <w:sz w:val="24"/>
                <w:szCs w:val="24"/>
              </w:rPr>
              <w:t>-6.6</w:t>
            </w:r>
          </w:p>
        </w:tc>
        <w:tc>
          <w:tcPr>
            <w:tcW w:w="1343" w:type="dxa"/>
            <w:tcBorders>
              <w:bottom w:val="single" w:sz="4" w:space="0" w:color="auto"/>
            </w:tcBorders>
            <w:shd w:val="clear" w:color="auto" w:fill="F2F2F2" w:themeFill="background1" w:themeFillShade="F2"/>
            <w:vAlign w:val="center"/>
          </w:tcPr>
          <w:p w14:paraId="7B80E368" w14:textId="77777777" w:rsidR="007A6C42" w:rsidRPr="00C1783C" w:rsidRDefault="007A6C42" w:rsidP="00FD1196">
            <w:pPr>
              <w:spacing w:line="360" w:lineRule="auto"/>
              <w:jc w:val="center"/>
              <w:rPr>
                <w:rFonts w:ascii="Times New Roman" w:hAnsi="Times New Roman" w:cs="Times New Roman"/>
                <w:b/>
                <w:bCs/>
                <w:sz w:val="24"/>
                <w:szCs w:val="24"/>
              </w:rPr>
            </w:pPr>
            <w:r w:rsidRPr="00C1783C">
              <w:rPr>
                <w:rFonts w:ascii="Times New Roman" w:hAnsi="Times New Roman" w:cs="Times New Roman"/>
                <w:b/>
                <w:bCs/>
                <w:sz w:val="24"/>
                <w:szCs w:val="24"/>
              </w:rPr>
              <w:t>0.1</w:t>
            </w:r>
          </w:p>
        </w:tc>
      </w:tr>
      <w:tr w:rsidR="007A6C42" w:rsidRPr="00DC6AF3" w14:paraId="002F72CA" w14:textId="77777777" w:rsidTr="00FD1196">
        <w:trPr>
          <w:trHeight w:val="680"/>
        </w:trPr>
        <w:tc>
          <w:tcPr>
            <w:tcW w:w="10602" w:type="dxa"/>
            <w:gridSpan w:val="7"/>
            <w:tcBorders>
              <w:top w:val="single" w:sz="4" w:space="0" w:color="auto"/>
              <w:left w:val="nil"/>
              <w:bottom w:val="nil"/>
              <w:right w:val="nil"/>
            </w:tcBorders>
          </w:tcPr>
          <w:p w14:paraId="2DD2846F" w14:textId="77777777" w:rsidR="007A6C42" w:rsidRPr="00DC6AF3" w:rsidRDefault="007A6C42" w:rsidP="00FD1196">
            <w:pPr>
              <w:spacing w:line="360" w:lineRule="auto"/>
              <w:jc w:val="both"/>
              <w:rPr>
                <w:rFonts w:ascii="Times New Roman" w:eastAsia="Calibri" w:hAnsi="Times New Roman" w:cs="Times New Roman"/>
                <w:sz w:val="18"/>
                <w:szCs w:val="18"/>
              </w:rPr>
            </w:pPr>
            <w:r w:rsidRPr="00DC6AF3">
              <w:rPr>
                <w:rFonts w:ascii="Times New Roman" w:eastAsia="Calibri" w:hAnsi="Times New Roman" w:cs="Times New Roman"/>
                <w:sz w:val="18"/>
                <w:szCs w:val="18"/>
              </w:rPr>
              <w:t>Fuente: elaboración propia a partir de micro datos de la EPH-INDEC.</w:t>
            </w:r>
          </w:p>
        </w:tc>
      </w:tr>
    </w:tbl>
    <w:p w14:paraId="55AF0CDE" w14:textId="77777777" w:rsidR="007A6C42" w:rsidRPr="007A6C42" w:rsidRDefault="007A6C42" w:rsidP="003D2A4E">
      <w:pPr>
        <w:spacing w:line="360" w:lineRule="auto"/>
        <w:jc w:val="both"/>
        <w:rPr>
          <w:rFonts w:ascii="Times New Roman" w:hAnsi="Times New Roman" w:cs="Times New Roman"/>
          <w:sz w:val="24"/>
          <w:szCs w:val="24"/>
        </w:rPr>
      </w:pPr>
    </w:p>
    <w:p w14:paraId="6ACC61AD" w14:textId="6CEB39E0" w:rsidR="00705D30" w:rsidRDefault="4C001CDC" w:rsidP="003D2A4E">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En relación con la segunda hipótesis, observamos a continuación los cambios en las políticas de intervención por parte del Estado. El </w:t>
      </w:r>
      <w:r w:rsidR="009C7389">
        <w:rPr>
          <w:rFonts w:ascii="Times New Roman" w:hAnsi="Times New Roman" w:cs="Times New Roman"/>
          <w:sz w:val="24"/>
          <w:szCs w:val="24"/>
        </w:rPr>
        <w:t>cuadro 7</w:t>
      </w:r>
      <w:r w:rsidRPr="00DC6AF3">
        <w:rPr>
          <w:rFonts w:ascii="Times New Roman" w:hAnsi="Times New Roman" w:cs="Times New Roman"/>
          <w:sz w:val="24"/>
          <w:szCs w:val="24"/>
        </w:rPr>
        <w:t xml:space="preserve"> muestra la importancia de las ayudas sociales sobre los ingresos totales de todos los hogares con PSH ocupado. </w:t>
      </w:r>
      <w:r w:rsidR="00307EF1">
        <w:rPr>
          <w:rFonts w:ascii="Times New Roman" w:hAnsi="Times New Roman" w:cs="Times New Roman"/>
          <w:sz w:val="24"/>
          <w:szCs w:val="24"/>
        </w:rPr>
        <w:t>L</w:t>
      </w:r>
      <w:r w:rsidR="00307EF1" w:rsidRPr="00DC6AF3">
        <w:rPr>
          <w:rFonts w:ascii="Times New Roman" w:hAnsi="Times New Roman" w:cs="Times New Roman"/>
          <w:sz w:val="24"/>
          <w:szCs w:val="24"/>
        </w:rPr>
        <w:t xml:space="preserve">os hogares aumentaron su ingreso por </w:t>
      </w:r>
      <w:r w:rsidR="00307EF1">
        <w:rPr>
          <w:rFonts w:ascii="Times New Roman" w:hAnsi="Times New Roman" w:cs="Times New Roman"/>
          <w:sz w:val="24"/>
          <w:szCs w:val="24"/>
        </w:rPr>
        <w:t>programas sociales</w:t>
      </w:r>
      <w:r w:rsidR="00307EF1" w:rsidRPr="00DC6AF3">
        <w:rPr>
          <w:rFonts w:ascii="Times New Roman" w:hAnsi="Times New Roman" w:cs="Times New Roman"/>
          <w:sz w:val="24"/>
          <w:szCs w:val="24"/>
        </w:rPr>
        <w:t xml:space="preserve"> del Estado en un </w:t>
      </w:r>
      <w:r w:rsidR="00307EF1">
        <w:rPr>
          <w:rFonts w:ascii="Times New Roman" w:hAnsi="Times New Roman" w:cs="Times New Roman"/>
          <w:sz w:val="24"/>
          <w:szCs w:val="24"/>
        </w:rPr>
        <w:t>9.5</w:t>
      </w:r>
      <w:r w:rsidR="00307EF1" w:rsidRPr="00DC6AF3">
        <w:rPr>
          <w:rFonts w:ascii="Times New Roman" w:hAnsi="Times New Roman" w:cs="Times New Roman"/>
          <w:sz w:val="24"/>
          <w:szCs w:val="24"/>
        </w:rPr>
        <w:t xml:space="preserve">% en términos reales con respecto al 2020. Este se vio </w:t>
      </w:r>
      <w:r w:rsidR="00307EF1" w:rsidRPr="00DC6AF3">
        <w:rPr>
          <w:rFonts w:ascii="Times New Roman" w:hAnsi="Times New Roman" w:cs="Times New Roman"/>
          <w:sz w:val="24"/>
          <w:szCs w:val="24"/>
        </w:rPr>
        <w:lastRenderedPageBreak/>
        <w:t xml:space="preserve">en especial en los hogares encabezados por informales. El IFE, como principal política social estaba especialmente apuntada para estos sectores. </w:t>
      </w:r>
      <w:r w:rsidR="00AF1297">
        <w:rPr>
          <w:rFonts w:ascii="Times New Roman" w:hAnsi="Times New Roman" w:cs="Times New Roman"/>
          <w:sz w:val="24"/>
          <w:szCs w:val="24"/>
        </w:rPr>
        <w:t xml:space="preserve">La importancia de los ingresos por programas sociales aumento 11.2 </w:t>
      </w:r>
      <w:proofErr w:type="spellStart"/>
      <w:r w:rsidR="00AF1297">
        <w:rPr>
          <w:rFonts w:ascii="Times New Roman" w:hAnsi="Times New Roman" w:cs="Times New Roman"/>
          <w:sz w:val="24"/>
          <w:szCs w:val="24"/>
        </w:rPr>
        <w:t>pp</w:t>
      </w:r>
      <w:proofErr w:type="spellEnd"/>
      <w:r w:rsidR="00AF1297">
        <w:rPr>
          <w:rFonts w:ascii="Times New Roman" w:hAnsi="Times New Roman" w:cs="Times New Roman"/>
          <w:sz w:val="24"/>
          <w:szCs w:val="24"/>
        </w:rPr>
        <w:t xml:space="preserve"> en los hogares encabezados por asalariados informales y unos </w:t>
      </w:r>
      <w:r w:rsidR="000602D3">
        <w:rPr>
          <w:rFonts w:ascii="Times New Roman" w:hAnsi="Times New Roman" w:cs="Times New Roman"/>
          <w:sz w:val="24"/>
          <w:szCs w:val="24"/>
        </w:rPr>
        <w:t xml:space="preserve">9.8 </w:t>
      </w:r>
      <w:proofErr w:type="spellStart"/>
      <w:r w:rsidR="000602D3">
        <w:rPr>
          <w:rFonts w:ascii="Times New Roman" w:hAnsi="Times New Roman" w:cs="Times New Roman"/>
          <w:sz w:val="24"/>
          <w:szCs w:val="24"/>
        </w:rPr>
        <w:t>pp</w:t>
      </w:r>
      <w:proofErr w:type="spellEnd"/>
      <w:r w:rsidR="000602D3">
        <w:rPr>
          <w:rFonts w:ascii="Times New Roman" w:hAnsi="Times New Roman" w:cs="Times New Roman"/>
          <w:sz w:val="24"/>
          <w:szCs w:val="24"/>
        </w:rPr>
        <w:t xml:space="preserve"> en los encabezados por microempresarios informales</w:t>
      </w:r>
      <w:r w:rsidR="00307EF1" w:rsidRPr="00DC6AF3">
        <w:rPr>
          <w:rFonts w:ascii="Times New Roman" w:hAnsi="Times New Roman" w:cs="Times New Roman"/>
          <w:sz w:val="24"/>
          <w:szCs w:val="24"/>
        </w:rPr>
        <w:t xml:space="preserve">. </w:t>
      </w:r>
    </w:p>
    <w:p w14:paraId="1755E497" w14:textId="44C841E7" w:rsidR="007A6C42" w:rsidRPr="00DC6AF3" w:rsidRDefault="00307EF1" w:rsidP="4C001CDC">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El otro sector que se vio sumamente beneficiado fueron los encabezados por los </w:t>
      </w:r>
      <w:r w:rsidR="000602D3">
        <w:rPr>
          <w:rFonts w:ascii="Times New Roman" w:hAnsi="Times New Roman" w:cs="Times New Roman"/>
          <w:sz w:val="24"/>
          <w:szCs w:val="24"/>
        </w:rPr>
        <w:t>desocupados/</w:t>
      </w:r>
      <w:r w:rsidRPr="00DC6AF3">
        <w:rPr>
          <w:rFonts w:ascii="Times New Roman" w:hAnsi="Times New Roman" w:cs="Times New Roman"/>
          <w:sz w:val="24"/>
          <w:szCs w:val="24"/>
        </w:rPr>
        <w:t xml:space="preserve">inactivos, que vieron </w:t>
      </w:r>
      <w:r w:rsidR="000602D3">
        <w:rPr>
          <w:rFonts w:ascii="Times New Roman" w:hAnsi="Times New Roman" w:cs="Times New Roman"/>
          <w:sz w:val="24"/>
          <w:szCs w:val="24"/>
        </w:rPr>
        <w:t>aumentado</w:t>
      </w:r>
      <w:r w:rsidRPr="00DC6AF3">
        <w:rPr>
          <w:rFonts w:ascii="Times New Roman" w:hAnsi="Times New Roman" w:cs="Times New Roman"/>
          <w:sz w:val="24"/>
          <w:szCs w:val="24"/>
        </w:rPr>
        <w:t xml:space="preserve"> su ingreso por </w:t>
      </w:r>
      <w:r w:rsidR="000602D3">
        <w:rPr>
          <w:rFonts w:ascii="Times New Roman" w:hAnsi="Times New Roman" w:cs="Times New Roman"/>
          <w:sz w:val="24"/>
          <w:szCs w:val="24"/>
        </w:rPr>
        <w:t>programas sociales un 22</w:t>
      </w:r>
      <w:r w:rsidR="000E2DDF">
        <w:rPr>
          <w:rFonts w:ascii="Times New Roman" w:hAnsi="Times New Roman" w:cs="Times New Roman"/>
          <w:sz w:val="24"/>
          <w:szCs w:val="24"/>
        </w:rPr>
        <w:t>%</w:t>
      </w:r>
      <w:r w:rsidRPr="00DC6AF3">
        <w:rPr>
          <w:rFonts w:ascii="Times New Roman" w:hAnsi="Times New Roman" w:cs="Times New Roman"/>
          <w:sz w:val="24"/>
          <w:szCs w:val="24"/>
        </w:rPr>
        <w:t xml:space="preserve"> entre estos años.</w:t>
      </w:r>
      <w:r w:rsidR="0096776D">
        <w:rPr>
          <w:rFonts w:ascii="Times New Roman" w:hAnsi="Times New Roman" w:cs="Times New Roman"/>
          <w:sz w:val="24"/>
          <w:szCs w:val="24"/>
        </w:rPr>
        <w:t xml:space="preserve"> L</w:t>
      </w:r>
      <w:r w:rsidR="4C001CDC" w:rsidRPr="00DC6AF3">
        <w:rPr>
          <w:rFonts w:ascii="Times New Roman" w:hAnsi="Times New Roman" w:cs="Times New Roman"/>
          <w:sz w:val="24"/>
          <w:szCs w:val="24"/>
        </w:rPr>
        <w:t>os programas sociales pasaron de explicar el 2</w:t>
      </w:r>
      <w:r w:rsidR="000E2DDF">
        <w:rPr>
          <w:rFonts w:ascii="Times New Roman" w:hAnsi="Times New Roman" w:cs="Times New Roman"/>
          <w:sz w:val="24"/>
          <w:szCs w:val="24"/>
        </w:rPr>
        <w:t>8.5</w:t>
      </w:r>
      <w:r w:rsidR="4C001CDC" w:rsidRPr="00DC6AF3">
        <w:rPr>
          <w:rFonts w:ascii="Times New Roman" w:hAnsi="Times New Roman" w:cs="Times New Roman"/>
          <w:sz w:val="24"/>
          <w:szCs w:val="24"/>
        </w:rPr>
        <w:t xml:space="preserve">% de los ingresos totales del hogar a casi un </w:t>
      </w:r>
      <w:r w:rsidR="000E2DDF">
        <w:rPr>
          <w:rFonts w:ascii="Times New Roman" w:hAnsi="Times New Roman" w:cs="Times New Roman"/>
          <w:sz w:val="24"/>
          <w:szCs w:val="24"/>
        </w:rPr>
        <w:t>51.4</w:t>
      </w:r>
      <w:r w:rsidR="4C001CDC" w:rsidRPr="00DC6AF3">
        <w:rPr>
          <w:rFonts w:ascii="Times New Roman" w:hAnsi="Times New Roman" w:cs="Times New Roman"/>
          <w:sz w:val="24"/>
          <w:szCs w:val="24"/>
        </w:rPr>
        <w:t>% de los ingresos totales del hogar</w:t>
      </w:r>
      <w:r w:rsidR="0096776D">
        <w:rPr>
          <w:rFonts w:ascii="Times New Roman" w:hAnsi="Times New Roman" w:cs="Times New Roman"/>
          <w:sz w:val="24"/>
          <w:szCs w:val="24"/>
        </w:rPr>
        <w:t xml:space="preserve">. </w:t>
      </w:r>
      <w:r w:rsidR="4C001CDC" w:rsidRPr="00DC6AF3">
        <w:rPr>
          <w:rFonts w:ascii="Times New Roman" w:hAnsi="Times New Roman" w:cs="Times New Roman"/>
          <w:sz w:val="24"/>
          <w:szCs w:val="24"/>
        </w:rPr>
        <w:t xml:space="preserve">En contraposición, en los hogares encabezados por asalariados formales, la importancia de las ayudas sociales mantuvo una importancia menor, </w:t>
      </w:r>
      <w:r w:rsidR="004B68E7">
        <w:rPr>
          <w:rFonts w:ascii="Times New Roman" w:hAnsi="Times New Roman" w:cs="Times New Roman"/>
          <w:sz w:val="24"/>
          <w:szCs w:val="24"/>
        </w:rPr>
        <w:t>menos del 1%</w:t>
      </w:r>
      <w:r w:rsidR="4C001CDC" w:rsidRPr="00DC6AF3">
        <w:rPr>
          <w:rFonts w:ascii="Times New Roman" w:hAnsi="Times New Roman" w:cs="Times New Roman"/>
          <w:sz w:val="24"/>
          <w:szCs w:val="24"/>
        </w:rPr>
        <w:t xml:space="preserve"> del presupuesto familiar</w:t>
      </w:r>
      <w:r w:rsidR="004B68E7">
        <w:rPr>
          <w:rFonts w:ascii="Times New Roman" w:hAnsi="Times New Roman" w:cs="Times New Roman"/>
          <w:sz w:val="24"/>
          <w:szCs w:val="24"/>
        </w:rPr>
        <w:t xml:space="preserve"> se explica por los programas sociales</w:t>
      </w:r>
      <w:r w:rsidR="4C001CDC" w:rsidRPr="00DC6AF3">
        <w:rPr>
          <w:rFonts w:ascii="Times New Roman" w:hAnsi="Times New Roman" w:cs="Times New Roman"/>
          <w:sz w:val="24"/>
          <w:szCs w:val="24"/>
        </w:rPr>
        <w:t xml:space="preserve"> </w:t>
      </w:r>
    </w:p>
    <w:p w14:paraId="7E4E3315" w14:textId="0AE48950" w:rsidR="00A0222A" w:rsidRPr="00DC6AF3" w:rsidRDefault="00A0222A" w:rsidP="00790ADC">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Estas variaciones en los ingresos no laborales y en las ayudas sociales explican lo que sucedía en el cuadro 3 en cuanto a los ingresos per cápita familiar. La caída de los ingresos familiares no fue tan pronunciada, especialmente en los sectores informales en contraposición a los hogares encabezados por empresarios o TCP formal, debido a estas transferencias monetarias por parte del Estado. </w:t>
      </w:r>
    </w:p>
    <w:p w14:paraId="6FDC8EC8" w14:textId="29227829" w:rsidR="003C73A1" w:rsidRPr="00DC6AF3" w:rsidRDefault="76E3AB01"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 xml:space="preserve">En cambio, en el 2021 hubo una retirada de los ingresos por transferencias dentro de los hogares, dándose en paralelo en todos los sectores socio-ocupacionales. Esta </w:t>
      </w:r>
      <w:r w:rsidR="0086608D" w:rsidRPr="00DC6AF3">
        <w:rPr>
          <w:rFonts w:ascii="Times New Roman" w:hAnsi="Times New Roman" w:cs="Times New Roman"/>
          <w:sz w:val="24"/>
          <w:szCs w:val="24"/>
        </w:rPr>
        <w:t>pérdida</w:t>
      </w:r>
      <w:r w:rsidRPr="00DC6AF3">
        <w:rPr>
          <w:rFonts w:ascii="Times New Roman" w:hAnsi="Times New Roman" w:cs="Times New Roman"/>
          <w:sz w:val="24"/>
          <w:szCs w:val="24"/>
        </w:rPr>
        <w:t xml:space="preserve"> de los ingresos por transferencias se dio de forma diferencial en los distintos sectores de la económica. Los hogares con PSH formal tuvieron caídas muchos </w:t>
      </w:r>
      <w:r w:rsidR="0086608D" w:rsidRPr="00DC6AF3">
        <w:rPr>
          <w:rFonts w:ascii="Times New Roman" w:hAnsi="Times New Roman" w:cs="Times New Roman"/>
          <w:sz w:val="24"/>
          <w:szCs w:val="24"/>
        </w:rPr>
        <w:t>más</w:t>
      </w:r>
      <w:r w:rsidRPr="00DC6AF3">
        <w:rPr>
          <w:rFonts w:ascii="Times New Roman" w:hAnsi="Times New Roman" w:cs="Times New Roman"/>
          <w:sz w:val="24"/>
          <w:szCs w:val="24"/>
        </w:rPr>
        <w:t xml:space="preserve"> leves en cuanto a los ingresos que los hogares encabezados por informales. En cuanto a la importancia dentro de los hogares de las ayudas sociales como el ingreso total, se volvió una situación de importancia similar a la del 2019 en todos los sectores.</w:t>
      </w:r>
    </w:p>
    <w:p w14:paraId="397778C7" w14:textId="04C55F93" w:rsidR="00B15B54" w:rsidRPr="00DC6AF3" w:rsidRDefault="00665DC5"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A p</w:t>
      </w:r>
      <w:r w:rsidR="00B15B54" w:rsidRPr="00DC6AF3">
        <w:rPr>
          <w:rFonts w:ascii="Times New Roman" w:hAnsi="Times New Roman" w:cs="Times New Roman"/>
          <w:sz w:val="24"/>
          <w:szCs w:val="24"/>
        </w:rPr>
        <w:t xml:space="preserve">esar de que en términos de cobertura </w:t>
      </w:r>
      <w:r w:rsidR="009D40EA" w:rsidRPr="00DC6AF3">
        <w:rPr>
          <w:rFonts w:ascii="Times New Roman" w:hAnsi="Times New Roman" w:cs="Times New Roman"/>
          <w:sz w:val="24"/>
          <w:szCs w:val="24"/>
        </w:rPr>
        <w:t xml:space="preserve">estos ingresos pudieron “amortiguar” </w:t>
      </w:r>
      <w:r w:rsidR="000F2693" w:rsidRPr="00DC6AF3">
        <w:rPr>
          <w:rFonts w:ascii="Times New Roman" w:hAnsi="Times New Roman" w:cs="Times New Roman"/>
          <w:sz w:val="24"/>
          <w:szCs w:val="24"/>
        </w:rPr>
        <w:t xml:space="preserve">y mantener niveles básicos de subsistencia entre el 2019-2020, en el año 2020-2021 </w:t>
      </w:r>
      <w:r w:rsidR="005830FA" w:rsidRPr="00DC6AF3">
        <w:rPr>
          <w:rFonts w:ascii="Times New Roman" w:hAnsi="Times New Roman" w:cs="Times New Roman"/>
          <w:sz w:val="24"/>
          <w:szCs w:val="24"/>
        </w:rPr>
        <w:t>los eventos laborales fueron los que mayor incidencia tuvieron en las tasas de salida de la pobreza de los hogares</w:t>
      </w:r>
      <w:r w:rsidR="00256265" w:rsidRPr="00DC6AF3">
        <w:rPr>
          <w:rFonts w:ascii="Times New Roman" w:hAnsi="Times New Roman" w:cs="Times New Roman"/>
          <w:sz w:val="24"/>
          <w:szCs w:val="24"/>
        </w:rPr>
        <w:t xml:space="preserve"> </w:t>
      </w:r>
      <w:r w:rsidR="005830FA" w:rsidRPr="00DC6AF3">
        <w:rPr>
          <w:rFonts w:ascii="Times New Roman" w:hAnsi="Times New Roman" w:cs="Times New Roman"/>
          <w:sz w:val="24"/>
          <w:szCs w:val="24"/>
        </w:rPr>
        <w:t>(</w:t>
      </w:r>
      <w:r w:rsidR="000168E8" w:rsidRPr="00DC6AF3">
        <w:rPr>
          <w:rFonts w:ascii="Times New Roman" w:hAnsi="Times New Roman" w:cs="Times New Roman"/>
          <w:sz w:val="24"/>
          <w:szCs w:val="24"/>
        </w:rPr>
        <w:t>Vera,</w:t>
      </w:r>
      <w:r w:rsidR="00137443" w:rsidRPr="00DC6AF3">
        <w:rPr>
          <w:rFonts w:ascii="Times New Roman" w:hAnsi="Times New Roman" w:cs="Times New Roman"/>
          <w:sz w:val="24"/>
          <w:szCs w:val="24"/>
        </w:rPr>
        <w:t xml:space="preserve"> </w:t>
      </w:r>
      <w:r w:rsidR="000168E8" w:rsidRPr="00DC6AF3">
        <w:rPr>
          <w:rFonts w:ascii="Times New Roman" w:hAnsi="Times New Roman" w:cs="Times New Roman"/>
          <w:sz w:val="24"/>
          <w:szCs w:val="24"/>
        </w:rPr>
        <w:t>2022). Esto explica el efecto que tuvo tanto en los ingresos familiares como en el déficit de capacidad de subsistencia</w:t>
      </w:r>
      <w:r w:rsidR="00F24F9B" w:rsidRPr="00DC6AF3">
        <w:rPr>
          <w:rFonts w:ascii="Times New Roman" w:hAnsi="Times New Roman" w:cs="Times New Roman"/>
          <w:sz w:val="24"/>
          <w:szCs w:val="24"/>
        </w:rPr>
        <w:t xml:space="preserve">, en especial en los hogares informales donde tuvo mayor incidencia </w:t>
      </w:r>
      <w:r w:rsidR="00256265" w:rsidRPr="00DC6AF3">
        <w:rPr>
          <w:rFonts w:ascii="Times New Roman" w:hAnsi="Times New Roman" w:cs="Times New Roman"/>
          <w:sz w:val="24"/>
          <w:szCs w:val="24"/>
        </w:rPr>
        <w:t xml:space="preserve">los programas sociales para la mantención de los ingresos sociales. </w:t>
      </w:r>
    </w:p>
    <w:p w14:paraId="4EBBE657" w14:textId="66FA68FF" w:rsidR="00607FAE" w:rsidRPr="00DC6AF3" w:rsidRDefault="76E3AB01" w:rsidP="00C239E4">
      <w:pPr>
        <w:pStyle w:val="Ttulo2"/>
        <w:rPr>
          <w:rFonts w:ascii="Times New Roman" w:hAnsi="Times New Roman" w:cs="Times New Roman"/>
        </w:rPr>
      </w:pPr>
      <w:bookmarkStart w:id="5" w:name="_Toc107868457"/>
      <w:r w:rsidRPr="00DC6AF3">
        <w:rPr>
          <w:rFonts w:ascii="Times New Roman" w:hAnsi="Times New Roman" w:cs="Times New Roman"/>
        </w:rPr>
        <w:lastRenderedPageBreak/>
        <w:t>Conclusiones</w:t>
      </w:r>
      <w:bookmarkEnd w:id="5"/>
    </w:p>
    <w:p w14:paraId="33812FBD" w14:textId="3E0E3243" w:rsidR="00A347E4" w:rsidRDefault="76E3AB01" w:rsidP="76E3AB01">
      <w:pPr>
        <w:spacing w:line="360" w:lineRule="auto"/>
        <w:jc w:val="both"/>
        <w:rPr>
          <w:rFonts w:ascii="Times New Roman" w:hAnsi="Times New Roman" w:cs="Times New Roman"/>
          <w:sz w:val="24"/>
          <w:szCs w:val="24"/>
        </w:rPr>
      </w:pPr>
      <w:r w:rsidRPr="00DC6AF3">
        <w:rPr>
          <w:rFonts w:ascii="Times New Roman" w:hAnsi="Times New Roman" w:cs="Times New Roman"/>
          <w:sz w:val="24"/>
          <w:szCs w:val="24"/>
        </w:rPr>
        <w:t>En términos generales</w:t>
      </w:r>
      <w:r w:rsidR="00C76755" w:rsidRPr="00DC6AF3">
        <w:rPr>
          <w:rFonts w:ascii="Times New Roman" w:hAnsi="Times New Roman" w:cs="Times New Roman"/>
          <w:sz w:val="24"/>
          <w:szCs w:val="24"/>
        </w:rPr>
        <w:t xml:space="preserve">, </w:t>
      </w:r>
      <w:r w:rsidR="00D02F4B" w:rsidRPr="00DC6AF3">
        <w:rPr>
          <w:rFonts w:ascii="Times New Roman" w:hAnsi="Times New Roman" w:cs="Times New Roman"/>
          <w:sz w:val="24"/>
          <w:szCs w:val="24"/>
        </w:rPr>
        <w:t xml:space="preserve">se puede decir que </w:t>
      </w:r>
      <w:r w:rsidR="00C76755" w:rsidRPr="00DC6AF3">
        <w:rPr>
          <w:rFonts w:ascii="Times New Roman" w:hAnsi="Times New Roman" w:cs="Times New Roman"/>
          <w:sz w:val="24"/>
          <w:szCs w:val="24"/>
        </w:rPr>
        <w:t xml:space="preserve">la crisis </w:t>
      </w:r>
      <w:r w:rsidR="003B378C" w:rsidRPr="00DC6AF3">
        <w:rPr>
          <w:rFonts w:ascii="Times New Roman" w:hAnsi="Times New Roman" w:cs="Times New Roman"/>
          <w:sz w:val="24"/>
          <w:szCs w:val="24"/>
        </w:rPr>
        <w:t>económica provocada por e</w:t>
      </w:r>
      <w:r w:rsidR="00C76755" w:rsidRPr="00DC6AF3">
        <w:rPr>
          <w:rFonts w:ascii="Times New Roman" w:hAnsi="Times New Roman" w:cs="Times New Roman"/>
          <w:sz w:val="24"/>
          <w:szCs w:val="24"/>
        </w:rPr>
        <w:t xml:space="preserve">l Covid-19 implico </w:t>
      </w:r>
      <w:r w:rsidR="00D02F4B" w:rsidRPr="00DC6AF3">
        <w:rPr>
          <w:rFonts w:ascii="Times New Roman" w:hAnsi="Times New Roman" w:cs="Times New Roman"/>
          <w:sz w:val="24"/>
          <w:szCs w:val="24"/>
        </w:rPr>
        <w:t>cambios tanto en la estructura laboral como en las intervenciones</w:t>
      </w:r>
      <w:r w:rsidR="003B378C" w:rsidRPr="00DC6AF3">
        <w:rPr>
          <w:rFonts w:ascii="Times New Roman" w:hAnsi="Times New Roman" w:cs="Times New Roman"/>
          <w:sz w:val="24"/>
          <w:szCs w:val="24"/>
        </w:rPr>
        <w:t xml:space="preserve"> por parte del Estado.</w:t>
      </w:r>
      <w:r w:rsidR="00063282" w:rsidRPr="00DC6AF3">
        <w:rPr>
          <w:rFonts w:ascii="Times New Roman" w:hAnsi="Times New Roman" w:cs="Times New Roman"/>
          <w:sz w:val="24"/>
          <w:szCs w:val="24"/>
        </w:rPr>
        <w:t xml:space="preserve"> </w:t>
      </w:r>
      <w:r w:rsidR="0077255B">
        <w:rPr>
          <w:rFonts w:ascii="Times New Roman" w:hAnsi="Times New Roman" w:cs="Times New Roman"/>
          <w:sz w:val="24"/>
          <w:szCs w:val="24"/>
        </w:rPr>
        <w:t xml:space="preserve">Estos </w:t>
      </w:r>
      <w:r w:rsidR="00D02F4B" w:rsidRPr="00DC6AF3">
        <w:rPr>
          <w:rFonts w:ascii="Times New Roman" w:hAnsi="Times New Roman" w:cs="Times New Roman"/>
          <w:sz w:val="24"/>
          <w:szCs w:val="24"/>
        </w:rPr>
        <w:t xml:space="preserve">tuvieron efectos en </w:t>
      </w:r>
      <w:r w:rsidR="00353954" w:rsidRPr="00DC6AF3">
        <w:rPr>
          <w:rFonts w:ascii="Times New Roman" w:hAnsi="Times New Roman" w:cs="Times New Roman"/>
          <w:sz w:val="24"/>
          <w:szCs w:val="24"/>
        </w:rPr>
        <w:t xml:space="preserve">la reproducción </w:t>
      </w:r>
      <w:r w:rsidR="0017492F" w:rsidRPr="00DC6AF3">
        <w:rPr>
          <w:rFonts w:ascii="Times New Roman" w:hAnsi="Times New Roman" w:cs="Times New Roman"/>
          <w:sz w:val="24"/>
          <w:szCs w:val="24"/>
        </w:rPr>
        <w:t xml:space="preserve">material </w:t>
      </w:r>
      <w:r w:rsidR="00353954" w:rsidRPr="00DC6AF3">
        <w:rPr>
          <w:rFonts w:ascii="Times New Roman" w:hAnsi="Times New Roman" w:cs="Times New Roman"/>
          <w:sz w:val="24"/>
          <w:szCs w:val="24"/>
        </w:rPr>
        <w:t>de los hogares</w:t>
      </w:r>
      <w:r w:rsidR="0008625C">
        <w:rPr>
          <w:rFonts w:ascii="Times New Roman" w:hAnsi="Times New Roman" w:cs="Times New Roman"/>
          <w:sz w:val="24"/>
          <w:szCs w:val="24"/>
        </w:rPr>
        <w:t>, generando un empobrecimiento de la sociedad en general.</w:t>
      </w:r>
      <w:r w:rsidR="00353954" w:rsidRPr="00DC6AF3">
        <w:rPr>
          <w:rFonts w:ascii="Times New Roman" w:hAnsi="Times New Roman" w:cs="Times New Roman"/>
          <w:sz w:val="24"/>
          <w:szCs w:val="24"/>
        </w:rPr>
        <w:t xml:space="preserve"> </w:t>
      </w:r>
      <w:r w:rsidR="004560F7">
        <w:rPr>
          <w:rFonts w:ascii="Times New Roman" w:hAnsi="Times New Roman" w:cs="Times New Roman"/>
          <w:sz w:val="24"/>
          <w:szCs w:val="24"/>
        </w:rPr>
        <w:t xml:space="preserve">Este </w:t>
      </w:r>
      <w:r w:rsidR="000076F0">
        <w:rPr>
          <w:rFonts w:ascii="Times New Roman" w:hAnsi="Times New Roman" w:cs="Times New Roman"/>
          <w:sz w:val="24"/>
          <w:szCs w:val="24"/>
        </w:rPr>
        <w:t>resultado</w:t>
      </w:r>
      <w:r w:rsidR="004560F7">
        <w:rPr>
          <w:rFonts w:ascii="Times New Roman" w:hAnsi="Times New Roman" w:cs="Times New Roman"/>
          <w:sz w:val="24"/>
          <w:szCs w:val="24"/>
        </w:rPr>
        <w:t xml:space="preserve"> lo</w:t>
      </w:r>
      <w:r w:rsidR="00987D75">
        <w:rPr>
          <w:rFonts w:ascii="Times New Roman" w:hAnsi="Times New Roman" w:cs="Times New Roman"/>
          <w:sz w:val="24"/>
          <w:szCs w:val="24"/>
        </w:rPr>
        <w:t xml:space="preserve"> podemos apreciar en la evolución del ingreso per </w:t>
      </w:r>
      <w:r w:rsidR="008E4559">
        <w:rPr>
          <w:rFonts w:ascii="Times New Roman" w:hAnsi="Times New Roman" w:cs="Times New Roman"/>
          <w:sz w:val="24"/>
          <w:szCs w:val="24"/>
        </w:rPr>
        <w:t>cápita</w:t>
      </w:r>
      <w:r w:rsidR="00987D75">
        <w:rPr>
          <w:rFonts w:ascii="Times New Roman" w:hAnsi="Times New Roman" w:cs="Times New Roman"/>
          <w:sz w:val="24"/>
          <w:szCs w:val="24"/>
        </w:rPr>
        <w:t xml:space="preserve"> familiar a lo largo del periodo</w:t>
      </w:r>
      <w:r w:rsidR="00357336">
        <w:rPr>
          <w:rFonts w:ascii="Times New Roman" w:hAnsi="Times New Roman" w:cs="Times New Roman"/>
          <w:sz w:val="24"/>
          <w:szCs w:val="24"/>
        </w:rPr>
        <w:t>, que tuvo un balance negativo en toda la estructura social</w:t>
      </w:r>
      <w:r w:rsidR="00B34CCE">
        <w:rPr>
          <w:rFonts w:ascii="Times New Roman" w:hAnsi="Times New Roman" w:cs="Times New Roman"/>
          <w:sz w:val="24"/>
          <w:szCs w:val="24"/>
        </w:rPr>
        <w:t xml:space="preserve">, especialmente traccionado por lo sucedido en el mercado laboral durante el año 2020. </w:t>
      </w:r>
    </w:p>
    <w:p w14:paraId="0CFCC778" w14:textId="2653DB6F" w:rsidR="00C81B48" w:rsidRDefault="00FB3724" w:rsidP="76E3AB01">
      <w:pPr>
        <w:spacing w:line="360" w:lineRule="auto"/>
        <w:jc w:val="both"/>
        <w:rPr>
          <w:rFonts w:ascii="Times New Roman" w:hAnsi="Times New Roman" w:cs="Times New Roman"/>
          <w:sz w:val="24"/>
          <w:szCs w:val="24"/>
        </w:rPr>
      </w:pPr>
      <w:r>
        <w:rPr>
          <w:rFonts w:ascii="Times New Roman" w:hAnsi="Times New Roman" w:cs="Times New Roman"/>
          <w:sz w:val="24"/>
          <w:szCs w:val="24"/>
        </w:rPr>
        <w:t>Con</w:t>
      </w:r>
      <w:r w:rsidR="00063282" w:rsidRPr="00DC6AF3">
        <w:rPr>
          <w:rFonts w:ascii="Times New Roman" w:hAnsi="Times New Roman" w:cs="Times New Roman"/>
          <w:sz w:val="24"/>
          <w:szCs w:val="24"/>
        </w:rPr>
        <w:t xml:space="preserve"> relación a</w:t>
      </w:r>
      <w:r w:rsidR="005C5A35" w:rsidRPr="00DC6AF3">
        <w:rPr>
          <w:rFonts w:ascii="Times New Roman" w:hAnsi="Times New Roman" w:cs="Times New Roman"/>
          <w:sz w:val="24"/>
          <w:szCs w:val="24"/>
        </w:rPr>
        <w:t xml:space="preserve"> la </w:t>
      </w:r>
      <w:r w:rsidR="00BF46C7" w:rsidRPr="00DC6AF3">
        <w:rPr>
          <w:rFonts w:ascii="Times New Roman" w:hAnsi="Times New Roman" w:cs="Times New Roman"/>
          <w:sz w:val="24"/>
          <w:szCs w:val="24"/>
        </w:rPr>
        <w:t>primera hipótesis</w:t>
      </w:r>
      <w:r w:rsidR="005C5A35" w:rsidRPr="00DC6AF3">
        <w:rPr>
          <w:rFonts w:ascii="Times New Roman" w:hAnsi="Times New Roman" w:cs="Times New Roman"/>
          <w:sz w:val="24"/>
          <w:szCs w:val="24"/>
        </w:rPr>
        <w:t xml:space="preserve">, </w:t>
      </w:r>
      <w:r w:rsidR="00C97A23" w:rsidRPr="00DC6AF3">
        <w:rPr>
          <w:rFonts w:ascii="Times New Roman" w:hAnsi="Times New Roman" w:cs="Times New Roman"/>
          <w:sz w:val="24"/>
          <w:szCs w:val="24"/>
        </w:rPr>
        <w:t>podemos ver que la crisis del Covid-19</w:t>
      </w:r>
      <w:r w:rsidR="005418F2" w:rsidRPr="00DC6AF3">
        <w:rPr>
          <w:rFonts w:ascii="Times New Roman" w:hAnsi="Times New Roman" w:cs="Times New Roman"/>
          <w:sz w:val="24"/>
          <w:szCs w:val="24"/>
        </w:rPr>
        <w:t xml:space="preserve"> </w:t>
      </w:r>
      <w:r w:rsidR="00BF46C7" w:rsidRPr="00DC6AF3">
        <w:rPr>
          <w:rFonts w:ascii="Times New Roman" w:hAnsi="Times New Roman" w:cs="Times New Roman"/>
          <w:sz w:val="24"/>
          <w:szCs w:val="24"/>
        </w:rPr>
        <w:t xml:space="preserve">replicó </w:t>
      </w:r>
      <w:r w:rsidR="005418F2" w:rsidRPr="00DC6AF3">
        <w:rPr>
          <w:rFonts w:ascii="Times New Roman" w:hAnsi="Times New Roman" w:cs="Times New Roman"/>
          <w:sz w:val="24"/>
          <w:szCs w:val="24"/>
        </w:rPr>
        <w:t xml:space="preserve">las desigualdades </w:t>
      </w:r>
      <w:r w:rsidR="00063282" w:rsidRPr="00DC6AF3">
        <w:rPr>
          <w:rFonts w:ascii="Times New Roman" w:hAnsi="Times New Roman" w:cs="Times New Roman"/>
          <w:sz w:val="24"/>
          <w:szCs w:val="24"/>
        </w:rPr>
        <w:t>ya existentes</w:t>
      </w:r>
      <w:r w:rsidR="002166FC">
        <w:rPr>
          <w:rFonts w:ascii="Times New Roman" w:hAnsi="Times New Roman" w:cs="Times New Roman"/>
          <w:sz w:val="24"/>
          <w:szCs w:val="24"/>
        </w:rPr>
        <w:t xml:space="preserve"> en la reproducción de los hogares</w:t>
      </w:r>
      <w:r w:rsidR="005418F2" w:rsidRPr="00DC6AF3">
        <w:rPr>
          <w:rFonts w:ascii="Times New Roman" w:hAnsi="Times New Roman" w:cs="Times New Roman"/>
          <w:sz w:val="24"/>
          <w:szCs w:val="24"/>
        </w:rPr>
        <w:t xml:space="preserve">. </w:t>
      </w:r>
      <w:r w:rsidR="00BE2781" w:rsidRPr="00DC6AF3">
        <w:rPr>
          <w:rFonts w:ascii="Times New Roman" w:hAnsi="Times New Roman" w:cs="Times New Roman"/>
          <w:sz w:val="24"/>
          <w:szCs w:val="24"/>
        </w:rPr>
        <w:t xml:space="preserve">Los </w:t>
      </w:r>
      <w:r w:rsidR="00D2026E" w:rsidRPr="00DC6AF3">
        <w:rPr>
          <w:rFonts w:ascii="Times New Roman" w:hAnsi="Times New Roman" w:cs="Times New Roman"/>
          <w:sz w:val="24"/>
          <w:szCs w:val="24"/>
        </w:rPr>
        <w:t>más</w:t>
      </w:r>
      <w:r w:rsidR="00BE2781" w:rsidRPr="00DC6AF3">
        <w:rPr>
          <w:rFonts w:ascii="Times New Roman" w:hAnsi="Times New Roman" w:cs="Times New Roman"/>
          <w:sz w:val="24"/>
          <w:szCs w:val="24"/>
        </w:rPr>
        <w:t xml:space="preserve"> afectados </w:t>
      </w:r>
      <w:r w:rsidR="00C378E0" w:rsidRPr="00DC6AF3">
        <w:rPr>
          <w:rFonts w:ascii="Times New Roman" w:hAnsi="Times New Roman" w:cs="Times New Roman"/>
          <w:sz w:val="24"/>
          <w:szCs w:val="24"/>
        </w:rPr>
        <w:t xml:space="preserve">fueron los encabezados por un </w:t>
      </w:r>
      <w:r w:rsidR="003D1459" w:rsidRPr="00DC6AF3">
        <w:rPr>
          <w:rFonts w:ascii="Times New Roman" w:hAnsi="Times New Roman" w:cs="Times New Roman"/>
          <w:sz w:val="24"/>
          <w:szCs w:val="24"/>
        </w:rPr>
        <w:t xml:space="preserve">informal, en especial </w:t>
      </w:r>
      <w:r w:rsidR="00CB2477" w:rsidRPr="00DC6AF3">
        <w:rPr>
          <w:rFonts w:ascii="Times New Roman" w:hAnsi="Times New Roman" w:cs="Times New Roman"/>
          <w:sz w:val="24"/>
          <w:szCs w:val="24"/>
        </w:rPr>
        <w:t xml:space="preserve">por presentar una posición ya desigual en la estructura laboral, poniéndolos en posición de vulnerabilidad en un contexto de paralización </w:t>
      </w:r>
      <w:r w:rsidR="00816492" w:rsidRPr="00DC6AF3">
        <w:rPr>
          <w:rFonts w:ascii="Times New Roman" w:hAnsi="Times New Roman" w:cs="Times New Roman"/>
          <w:sz w:val="24"/>
          <w:szCs w:val="24"/>
        </w:rPr>
        <w:t>de la actividad.</w:t>
      </w:r>
      <w:r w:rsidR="00C81B48">
        <w:rPr>
          <w:rFonts w:ascii="Times New Roman" w:hAnsi="Times New Roman" w:cs="Times New Roman"/>
          <w:sz w:val="24"/>
          <w:szCs w:val="24"/>
        </w:rPr>
        <w:t xml:space="preserve"> En paralelo podemos ver que hubo un aumento del déficit </w:t>
      </w:r>
      <w:r w:rsidR="00C80422">
        <w:rPr>
          <w:rFonts w:ascii="Times New Roman" w:hAnsi="Times New Roman" w:cs="Times New Roman"/>
          <w:sz w:val="24"/>
          <w:szCs w:val="24"/>
        </w:rPr>
        <w:t xml:space="preserve">de </w:t>
      </w:r>
      <w:r w:rsidR="00C81B48">
        <w:rPr>
          <w:rFonts w:ascii="Times New Roman" w:hAnsi="Times New Roman" w:cs="Times New Roman"/>
          <w:sz w:val="24"/>
          <w:szCs w:val="24"/>
        </w:rPr>
        <w:t>capacidad de subsistencia entre el año 2019 y el 2021, especialmente en los sectores informales, cuenta propia e inactivos.</w:t>
      </w:r>
      <w:r w:rsidR="005E682E">
        <w:rPr>
          <w:rFonts w:ascii="Times New Roman" w:hAnsi="Times New Roman" w:cs="Times New Roman"/>
          <w:sz w:val="24"/>
          <w:szCs w:val="24"/>
        </w:rPr>
        <w:t xml:space="preserve"> </w:t>
      </w:r>
    </w:p>
    <w:p w14:paraId="1F7411A7" w14:textId="7347A7F6" w:rsidR="00A0222A" w:rsidRDefault="00420358" w:rsidP="00BE098B">
      <w:pPr>
        <w:spacing w:line="360" w:lineRule="auto"/>
        <w:jc w:val="both"/>
        <w:rPr>
          <w:rFonts w:ascii="Times New Roman" w:hAnsi="Times New Roman" w:cs="Times New Roman"/>
          <w:sz w:val="24"/>
          <w:szCs w:val="24"/>
        </w:rPr>
      </w:pPr>
      <w:r>
        <w:rPr>
          <w:rFonts w:ascii="Times New Roman" w:hAnsi="Times New Roman" w:cs="Times New Roman"/>
          <w:sz w:val="24"/>
          <w:szCs w:val="24"/>
        </w:rPr>
        <w:t>Las</w:t>
      </w:r>
      <w:r w:rsidR="76E3AB01" w:rsidRPr="00DC6AF3">
        <w:rPr>
          <w:rFonts w:ascii="Times New Roman" w:hAnsi="Times New Roman" w:cs="Times New Roman"/>
          <w:sz w:val="24"/>
          <w:szCs w:val="24"/>
        </w:rPr>
        <w:t xml:space="preserve"> distintas intervenciones estatales en forma de transferencias y ayudas sociales lograron amortiguar los efectos negativos de la crisis económica producto del Covid-19, especialmente en los hogares encabezados por PSH informales. </w:t>
      </w:r>
      <w:r w:rsidR="008A5FBF">
        <w:rPr>
          <w:rFonts w:ascii="Times New Roman" w:hAnsi="Times New Roman" w:cs="Times New Roman"/>
          <w:sz w:val="24"/>
          <w:szCs w:val="24"/>
        </w:rPr>
        <w:t xml:space="preserve">Este efecto se puede ver evidente en el balance </w:t>
      </w:r>
      <w:r w:rsidR="005969FF">
        <w:rPr>
          <w:rFonts w:ascii="Times New Roman" w:hAnsi="Times New Roman" w:cs="Times New Roman"/>
          <w:sz w:val="24"/>
          <w:szCs w:val="24"/>
        </w:rPr>
        <w:t xml:space="preserve">del </w:t>
      </w:r>
      <w:proofErr w:type="spellStart"/>
      <w:r w:rsidR="005969FF">
        <w:rPr>
          <w:rFonts w:ascii="Times New Roman" w:hAnsi="Times New Roman" w:cs="Times New Roman"/>
          <w:sz w:val="24"/>
          <w:szCs w:val="24"/>
        </w:rPr>
        <w:t>ipcf</w:t>
      </w:r>
      <w:proofErr w:type="spellEnd"/>
      <w:r w:rsidR="005969FF">
        <w:rPr>
          <w:rFonts w:ascii="Times New Roman" w:hAnsi="Times New Roman" w:cs="Times New Roman"/>
          <w:sz w:val="24"/>
          <w:szCs w:val="24"/>
        </w:rPr>
        <w:t xml:space="preserve"> y en la importancia de los programas sociales durante el 2020. </w:t>
      </w:r>
      <w:r w:rsidR="00FF1A2B">
        <w:rPr>
          <w:rFonts w:ascii="Times New Roman" w:hAnsi="Times New Roman" w:cs="Times New Roman"/>
          <w:sz w:val="24"/>
          <w:szCs w:val="24"/>
        </w:rPr>
        <w:t>Pese a</w:t>
      </w:r>
      <w:r w:rsidR="76E3AB01" w:rsidRPr="00DC6AF3">
        <w:rPr>
          <w:rFonts w:ascii="Times New Roman" w:hAnsi="Times New Roman" w:cs="Times New Roman"/>
          <w:sz w:val="24"/>
          <w:szCs w:val="24"/>
        </w:rPr>
        <w:t xml:space="preserve"> </w:t>
      </w:r>
      <w:r w:rsidR="00B33BEB" w:rsidRPr="00DC6AF3">
        <w:rPr>
          <w:rFonts w:ascii="Times New Roman" w:hAnsi="Times New Roman" w:cs="Times New Roman"/>
          <w:sz w:val="24"/>
          <w:szCs w:val="24"/>
        </w:rPr>
        <w:t xml:space="preserve">evitar la entrada en la pobreza </w:t>
      </w:r>
      <w:r w:rsidR="00FF1A2B">
        <w:rPr>
          <w:rFonts w:ascii="Times New Roman" w:hAnsi="Times New Roman" w:cs="Times New Roman"/>
          <w:sz w:val="24"/>
          <w:szCs w:val="24"/>
        </w:rPr>
        <w:t xml:space="preserve">de muchos hogares </w:t>
      </w:r>
      <w:r w:rsidR="00B33BEB" w:rsidRPr="00DC6AF3">
        <w:rPr>
          <w:rFonts w:ascii="Times New Roman" w:hAnsi="Times New Roman" w:cs="Times New Roman"/>
          <w:sz w:val="24"/>
          <w:szCs w:val="24"/>
        </w:rPr>
        <w:t>durante la pandemia</w:t>
      </w:r>
      <w:r w:rsidR="76E3AB01" w:rsidRPr="00DC6AF3">
        <w:rPr>
          <w:rFonts w:ascii="Times New Roman" w:hAnsi="Times New Roman" w:cs="Times New Roman"/>
          <w:sz w:val="24"/>
          <w:szCs w:val="24"/>
        </w:rPr>
        <w:t xml:space="preserve">, </w:t>
      </w:r>
      <w:r w:rsidR="004E594A" w:rsidRPr="00DC6AF3">
        <w:rPr>
          <w:rFonts w:ascii="Times New Roman" w:hAnsi="Times New Roman" w:cs="Times New Roman"/>
          <w:sz w:val="24"/>
          <w:szCs w:val="24"/>
        </w:rPr>
        <w:t xml:space="preserve">no </w:t>
      </w:r>
      <w:r w:rsidR="007D5BDC" w:rsidRPr="00DC6AF3">
        <w:rPr>
          <w:rFonts w:ascii="Times New Roman" w:hAnsi="Times New Roman" w:cs="Times New Roman"/>
          <w:sz w:val="24"/>
          <w:szCs w:val="24"/>
        </w:rPr>
        <w:t xml:space="preserve">tuvo la importancia </w:t>
      </w:r>
      <w:r w:rsidR="00EB4295" w:rsidRPr="00DC6AF3">
        <w:rPr>
          <w:rFonts w:ascii="Times New Roman" w:hAnsi="Times New Roman" w:cs="Times New Roman"/>
          <w:sz w:val="24"/>
          <w:szCs w:val="24"/>
        </w:rPr>
        <w:t xml:space="preserve">de los ingresos laborales </w:t>
      </w:r>
      <w:r w:rsidR="00254150" w:rsidRPr="00DC6AF3">
        <w:rPr>
          <w:rFonts w:ascii="Times New Roman" w:hAnsi="Times New Roman" w:cs="Times New Roman"/>
          <w:sz w:val="24"/>
          <w:szCs w:val="24"/>
        </w:rPr>
        <w:t xml:space="preserve">en la recuperación </w:t>
      </w:r>
      <w:r w:rsidR="00200E5A" w:rsidRPr="00DC6AF3">
        <w:rPr>
          <w:rFonts w:ascii="Times New Roman" w:hAnsi="Times New Roman" w:cs="Times New Roman"/>
          <w:sz w:val="24"/>
          <w:szCs w:val="24"/>
        </w:rPr>
        <w:t>económica de los hogares y en la disminución de los déficit</w:t>
      </w:r>
      <w:r w:rsidR="00BF46C7" w:rsidRPr="00DC6AF3">
        <w:rPr>
          <w:rFonts w:ascii="Times New Roman" w:hAnsi="Times New Roman" w:cs="Times New Roman"/>
          <w:sz w:val="24"/>
          <w:szCs w:val="24"/>
        </w:rPr>
        <w:t>s</w:t>
      </w:r>
      <w:r w:rsidR="00200E5A" w:rsidRPr="00DC6AF3">
        <w:rPr>
          <w:rFonts w:ascii="Times New Roman" w:hAnsi="Times New Roman" w:cs="Times New Roman"/>
          <w:sz w:val="24"/>
          <w:szCs w:val="24"/>
        </w:rPr>
        <w:t xml:space="preserve"> ya preexistentes.</w:t>
      </w:r>
      <w:bookmarkStart w:id="6" w:name="_Toc107868458"/>
    </w:p>
    <w:p w14:paraId="2AB0342B" w14:textId="77777777" w:rsidR="002E4A2F" w:rsidRDefault="002E4A2F" w:rsidP="00BE098B">
      <w:pPr>
        <w:spacing w:line="360" w:lineRule="auto"/>
        <w:jc w:val="both"/>
        <w:rPr>
          <w:rFonts w:ascii="Times New Roman" w:hAnsi="Times New Roman" w:cs="Times New Roman"/>
          <w:sz w:val="24"/>
          <w:szCs w:val="24"/>
        </w:rPr>
      </w:pPr>
    </w:p>
    <w:p w14:paraId="35AD31DD" w14:textId="7C746A98" w:rsidR="00012DBF" w:rsidRPr="00DC6AF3" w:rsidRDefault="76E3AB01" w:rsidP="00E56534">
      <w:pPr>
        <w:pStyle w:val="Ttulo2"/>
        <w:rPr>
          <w:rFonts w:ascii="Times New Roman" w:hAnsi="Times New Roman" w:cs="Times New Roman"/>
        </w:rPr>
      </w:pPr>
      <w:r w:rsidRPr="00DC6AF3">
        <w:rPr>
          <w:rFonts w:ascii="Times New Roman" w:hAnsi="Times New Roman" w:cs="Times New Roman"/>
        </w:rPr>
        <w:t>Bibliografía</w:t>
      </w:r>
      <w:bookmarkEnd w:id="6"/>
    </w:p>
    <w:p w14:paraId="39117658"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rPr>
        <w:t>Borsotti</w:t>
      </w:r>
      <w:proofErr w:type="spellEnd"/>
      <w:r w:rsidRPr="00DC6AF3">
        <w:rPr>
          <w:rFonts w:ascii="Times New Roman" w:hAnsi="Times New Roman" w:cs="Times New Roman"/>
          <w:sz w:val="24"/>
          <w:szCs w:val="24"/>
        </w:rPr>
        <w:t xml:space="preserve">, C. A. (1981). La organización social de la reproducción de los agentes sociales: las unidades familiares y sus </w:t>
      </w:r>
      <w:proofErr w:type="spellStart"/>
      <w:r w:rsidRPr="00DC6AF3">
        <w:rPr>
          <w:rFonts w:ascii="Times New Roman" w:hAnsi="Times New Roman" w:cs="Times New Roman"/>
          <w:sz w:val="24"/>
          <w:szCs w:val="24"/>
        </w:rPr>
        <w:t>estratégias</w:t>
      </w:r>
      <w:proofErr w:type="spellEnd"/>
      <w:r w:rsidRPr="00DC6AF3">
        <w:rPr>
          <w:rFonts w:ascii="Times New Roman" w:hAnsi="Times New Roman" w:cs="Times New Roman"/>
          <w:sz w:val="24"/>
          <w:szCs w:val="24"/>
        </w:rPr>
        <w:t>. Centro de Estudios de Población. </w:t>
      </w:r>
    </w:p>
    <w:p w14:paraId="6DF5EC9A" w14:textId="77777777" w:rsidR="003C3E15" w:rsidRPr="00DC6AF3" w:rsidRDefault="003C3E15" w:rsidP="76E3AB01">
      <w:pPr>
        <w:pStyle w:val="Prrafodelista"/>
        <w:numPr>
          <w:ilvl w:val="0"/>
          <w:numId w:val="1"/>
        </w:numPr>
        <w:jc w:val="both"/>
        <w:rPr>
          <w:rFonts w:ascii="Times New Roman" w:hAnsi="Times New Roman" w:cs="Times New Roman"/>
          <w:sz w:val="24"/>
          <w:szCs w:val="24"/>
        </w:rPr>
      </w:pPr>
      <w:r w:rsidRPr="00DC6AF3">
        <w:rPr>
          <w:rFonts w:ascii="Times New Roman" w:hAnsi="Times New Roman" w:cs="Times New Roman"/>
          <w:sz w:val="24"/>
          <w:szCs w:val="24"/>
        </w:rPr>
        <w:t>Comas, G., &amp; Poy, S. (2020). Capacidades de subsistencia y estrategias económicas de los hogares durante etapas de expansión y crisis. Una mirada dinámica de la pobreza. Revista de la Carrera de Sociología, 10(10), 35-63.</w:t>
      </w:r>
    </w:p>
    <w:p w14:paraId="0E82B999" w14:textId="77777777" w:rsidR="003C3E15" w:rsidRPr="00DC6AF3" w:rsidRDefault="003C3E15" w:rsidP="76E3AB01">
      <w:pPr>
        <w:pStyle w:val="Prrafodelista"/>
        <w:numPr>
          <w:ilvl w:val="0"/>
          <w:numId w:val="1"/>
        </w:numPr>
        <w:jc w:val="both"/>
        <w:rPr>
          <w:rFonts w:ascii="Times New Roman" w:hAnsi="Times New Roman" w:cs="Times New Roman"/>
          <w:sz w:val="24"/>
          <w:szCs w:val="24"/>
        </w:rPr>
      </w:pPr>
      <w:r w:rsidRPr="00DC6AF3">
        <w:rPr>
          <w:rFonts w:ascii="Times New Roman" w:hAnsi="Times New Roman" w:cs="Times New Roman"/>
          <w:sz w:val="24"/>
          <w:szCs w:val="24"/>
          <w:lang w:val="pt-BR"/>
        </w:rPr>
        <w:t xml:space="preserve">Cortés, F., &amp; </w:t>
      </w:r>
      <w:proofErr w:type="spellStart"/>
      <w:r w:rsidRPr="00DC6AF3">
        <w:rPr>
          <w:rFonts w:ascii="Times New Roman" w:hAnsi="Times New Roman" w:cs="Times New Roman"/>
          <w:sz w:val="24"/>
          <w:szCs w:val="24"/>
          <w:lang w:val="pt-BR"/>
        </w:rPr>
        <w:t>Rubalcava</w:t>
      </w:r>
      <w:proofErr w:type="spellEnd"/>
      <w:r w:rsidRPr="00DC6AF3">
        <w:rPr>
          <w:rFonts w:ascii="Times New Roman" w:hAnsi="Times New Roman" w:cs="Times New Roman"/>
          <w:sz w:val="24"/>
          <w:szCs w:val="24"/>
          <w:lang w:val="pt-BR"/>
        </w:rPr>
        <w:t xml:space="preserve">, R. M. (1991). </w:t>
      </w:r>
      <w:proofErr w:type="spellStart"/>
      <w:r w:rsidRPr="00DC6AF3">
        <w:rPr>
          <w:rFonts w:ascii="Times New Roman" w:hAnsi="Times New Roman" w:cs="Times New Roman"/>
          <w:sz w:val="24"/>
          <w:szCs w:val="24"/>
        </w:rPr>
        <w:t>Autoexplotación</w:t>
      </w:r>
      <w:proofErr w:type="spellEnd"/>
      <w:r w:rsidRPr="00DC6AF3">
        <w:rPr>
          <w:rFonts w:ascii="Times New Roman" w:hAnsi="Times New Roman" w:cs="Times New Roman"/>
          <w:sz w:val="24"/>
          <w:szCs w:val="24"/>
        </w:rPr>
        <w:t xml:space="preserve"> forzada y equidad por empobrecimiento: la distribución del ingreso familiar en México,(1977-1984). Colegio de México, Centro de Estudios Sociológicos.</w:t>
      </w:r>
    </w:p>
    <w:p w14:paraId="4816DA8E" w14:textId="77777777" w:rsidR="003C3E15" w:rsidRPr="00DC6AF3" w:rsidRDefault="003C3E15" w:rsidP="76E3AB01">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Cuéllar, O. (1990). Balance, reproducción y oferta de fuerza de trabajo familiar. Notas sobre las estrategias de vida. En F. Cortés y O. Cuéllar (</w:t>
      </w:r>
      <w:proofErr w:type="spellStart"/>
      <w:r w:rsidRPr="00DC6AF3">
        <w:rPr>
          <w:rFonts w:ascii="Times New Roman" w:hAnsi="Times New Roman" w:cs="Times New Roman"/>
          <w:sz w:val="24"/>
          <w:szCs w:val="24"/>
        </w:rPr>
        <w:t>coords</w:t>
      </w:r>
      <w:proofErr w:type="spellEnd"/>
      <w:r w:rsidRPr="00DC6AF3">
        <w:rPr>
          <w:rFonts w:ascii="Times New Roman" w:hAnsi="Times New Roman" w:cs="Times New Roman"/>
          <w:sz w:val="24"/>
          <w:szCs w:val="24"/>
        </w:rPr>
        <w:t xml:space="preserve">.) Crisis y reproducción </w:t>
      </w:r>
      <w:r w:rsidRPr="00DC6AF3">
        <w:rPr>
          <w:rFonts w:ascii="Times New Roman" w:hAnsi="Times New Roman" w:cs="Times New Roman"/>
          <w:sz w:val="24"/>
          <w:szCs w:val="24"/>
        </w:rPr>
        <w:lastRenderedPageBreak/>
        <w:t xml:space="preserve">social. Los comerciantes del sector informal (pp. 30-60). México D. F.: FLACSO-Editorial Porrúa. </w:t>
      </w:r>
    </w:p>
    <w:p w14:paraId="2FCB475D" w14:textId="77777777" w:rsidR="003C3E15" w:rsidRPr="00DC6AF3" w:rsidRDefault="003C3E15" w:rsidP="00CD55E7">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rPr>
        <w:t>Donza</w:t>
      </w:r>
      <w:proofErr w:type="spellEnd"/>
      <w:r w:rsidRPr="00DC6AF3">
        <w:rPr>
          <w:rFonts w:ascii="Times New Roman" w:hAnsi="Times New Roman" w:cs="Times New Roman"/>
          <w:sz w:val="24"/>
          <w:szCs w:val="24"/>
        </w:rPr>
        <w:t>, E. (2020). La incidencia de la cuarentena en el escenario laboral del Área Metropolitana de Buenos Aires. Efectos del COVID‐19 en un contexto de precariedad estructural. Trabajo y Sociedad, 36 (22), 29-53.</w:t>
      </w:r>
    </w:p>
    <w:p w14:paraId="247D8318"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Duque, J., &amp; Pastrana, E. (1973). Las estrategias de supervivencia económica de las unidades familiares del sector popular urbano: una investigación exploratoria. Santiago de Chile: ELAS-CELADE. </w:t>
      </w:r>
    </w:p>
    <w:p w14:paraId="7E1AEE0E" w14:textId="77777777" w:rsidR="003C3E15" w:rsidRPr="00DC6AF3" w:rsidRDefault="003C3E15" w:rsidP="003C3E15">
      <w:pPr>
        <w:pStyle w:val="Prrafodelista"/>
        <w:numPr>
          <w:ilvl w:val="0"/>
          <w:numId w:val="1"/>
        </w:numPr>
        <w:spacing w:before="120" w:after="120"/>
        <w:jc w:val="both"/>
        <w:rPr>
          <w:rFonts w:ascii="Times New Roman" w:hAnsi="Times New Roman" w:cs="Times New Roman"/>
        </w:rPr>
      </w:pPr>
      <w:r w:rsidRPr="00DC6AF3">
        <w:rPr>
          <w:rFonts w:ascii="Times New Roman" w:hAnsi="Times New Roman" w:cs="Times New Roman"/>
          <w:lang w:val="en-US"/>
        </w:rPr>
        <w:t xml:space="preserve">Esping-Andersen, G. (1999). Social foundations of postindustrial economies. </w:t>
      </w:r>
      <w:r w:rsidRPr="00DC6AF3">
        <w:rPr>
          <w:rFonts w:ascii="Times New Roman" w:hAnsi="Times New Roman" w:cs="Times New Roman"/>
        </w:rPr>
        <w:t>OUP Oxford.</w:t>
      </w:r>
    </w:p>
    <w:p w14:paraId="6A2B9415" w14:textId="77777777" w:rsidR="003C3E15" w:rsidRPr="00DC6AF3" w:rsidRDefault="003C3E15" w:rsidP="76E3AB01">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rPr>
        <w:t>Feijóo</w:t>
      </w:r>
      <w:proofErr w:type="spellEnd"/>
      <w:r w:rsidRPr="00DC6AF3">
        <w:rPr>
          <w:rFonts w:ascii="Times New Roman" w:hAnsi="Times New Roman" w:cs="Times New Roman"/>
          <w:sz w:val="24"/>
          <w:szCs w:val="24"/>
        </w:rPr>
        <w:t>, M. C. (2001). Nuevo país, nueva pobreza. Buenos Aires: Fondo de Cultura Económica.</w:t>
      </w:r>
    </w:p>
    <w:p w14:paraId="24DCD35B" w14:textId="77777777" w:rsidR="003C3E15" w:rsidRPr="00DC6AF3" w:rsidRDefault="003C3E15" w:rsidP="76E3AB01">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rPr>
        <w:t>Geldstein</w:t>
      </w:r>
      <w:proofErr w:type="spellEnd"/>
      <w:r w:rsidRPr="00DC6AF3">
        <w:rPr>
          <w:rFonts w:ascii="Times New Roman" w:hAnsi="Times New Roman" w:cs="Times New Roman"/>
          <w:sz w:val="24"/>
          <w:szCs w:val="24"/>
        </w:rPr>
        <w:t xml:space="preserve">, R. (1994). Los roles de género en la crisis (Documento de Trabajo </w:t>
      </w:r>
      <w:proofErr w:type="spellStart"/>
      <w:r w:rsidRPr="00DC6AF3">
        <w:rPr>
          <w:rFonts w:ascii="Times New Roman" w:hAnsi="Times New Roman" w:cs="Times New Roman"/>
          <w:sz w:val="24"/>
          <w:szCs w:val="24"/>
        </w:rPr>
        <w:t>N°</w:t>
      </w:r>
      <w:proofErr w:type="spellEnd"/>
      <w:r w:rsidRPr="00DC6AF3">
        <w:rPr>
          <w:rFonts w:ascii="Times New Roman" w:hAnsi="Times New Roman" w:cs="Times New Roman"/>
          <w:sz w:val="24"/>
          <w:szCs w:val="24"/>
        </w:rPr>
        <w:t xml:space="preserve"> 50). Buenos Aires: Centro de Estudios de Población.</w:t>
      </w:r>
    </w:p>
    <w:p w14:paraId="46A508D9" w14:textId="77777777" w:rsidR="003C3E15" w:rsidRPr="00DC6AF3" w:rsidRDefault="003C3E15" w:rsidP="76E3AB01">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rPr>
        <w:t>Hintze</w:t>
      </w:r>
      <w:proofErr w:type="spellEnd"/>
      <w:r w:rsidRPr="00DC6AF3">
        <w:rPr>
          <w:rFonts w:ascii="Times New Roman" w:hAnsi="Times New Roman" w:cs="Times New Roman"/>
          <w:sz w:val="24"/>
          <w:szCs w:val="24"/>
        </w:rPr>
        <w:t>, S. (1989). Estrategias alimentarias de sobrevivencia. Un estudio de caso en el Gran Buenos Aires. Buenos Aires: Centro Editor de América Latina.</w:t>
      </w:r>
    </w:p>
    <w:p w14:paraId="44514EEA"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proofErr w:type="spellStart"/>
      <w:r w:rsidRPr="00DC6AF3">
        <w:rPr>
          <w:rFonts w:ascii="Times New Roman" w:hAnsi="Times New Roman" w:cs="Times New Roman"/>
          <w:sz w:val="24"/>
          <w:szCs w:val="24"/>
          <w:lang w:val="en-US"/>
        </w:rPr>
        <w:t>Hussmans</w:t>
      </w:r>
      <w:proofErr w:type="spellEnd"/>
      <w:r w:rsidRPr="00DC6AF3">
        <w:rPr>
          <w:rFonts w:ascii="Times New Roman" w:hAnsi="Times New Roman" w:cs="Times New Roman"/>
          <w:sz w:val="24"/>
          <w:szCs w:val="24"/>
          <w:lang w:val="en-US"/>
        </w:rPr>
        <w:t>, R. (2004). Measuring the Informal Economy: From Employment in the Informal Sector to Informal Employment (</w:t>
      </w:r>
      <w:proofErr w:type="spellStart"/>
      <w:r w:rsidRPr="00DC6AF3">
        <w:rPr>
          <w:rFonts w:ascii="Times New Roman" w:hAnsi="Times New Roman" w:cs="Times New Roman"/>
          <w:sz w:val="24"/>
          <w:szCs w:val="24"/>
          <w:lang w:val="en-US"/>
        </w:rPr>
        <w:t>Documento</w:t>
      </w:r>
      <w:proofErr w:type="spellEnd"/>
      <w:r w:rsidRPr="00DC6AF3">
        <w:rPr>
          <w:rFonts w:ascii="Times New Roman" w:hAnsi="Times New Roman" w:cs="Times New Roman"/>
          <w:sz w:val="24"/>
          <w:szCs w:val="24"/>
          <w:lang w:val="en-US"/>
        </w:rPr>
        <w:t xml:space="preserve"> de </w:t>
      </w:r>
      <w:proofErr w:type="spellStart"/>
      <w:r w:rsidRPr="00DC6AF3">
        <w:rPr>
          <w:rFonts w:ascii="Times New Roman" w:hAnsi="Times New Roman" w:cs="Times New Roman"/>
          <w:sz w:val="24"/>
          <w:szCs w:val="24"/>
          <w:lang w:val="en-US"/>
        </w:rPr>
        <w:t>Trabajo</w:t>
      </w:r>
      <w:proofErr w:type="spellEnd"/>
      <w:r w:rsidRPr="00DC6AF3">
        <w:rPr>
          <w:rFonts w:ascii="Times New Roman" w:hAnsi="Times New Roman" w:cs="Times New Roman"/>
          <w:sz w:val="24"/>
          <w:szCs w:val="24"/>
          <w:lang w:val="en-US"/>
        </w:rPr>
        <w:t xml:space="preserve"> N° 53). </w:t>
      </w:r>
      <w:r w:rsidRPr="00DC6AF3">
        <w:rPr>
          <w:rFonts w:ascii="Times New Roman" w:hAnsi="Times New Roman" w:cs="Times New Roman"/>
          <w:sz w:val="24"/>
          <w:szCs w:val="24"/>
        </w:rPr>
        <w:t>Ginebra: OIT.</w:t>
      </w:r>
    </w:p>
    <w:p w14:paraId="7E4D37ED" w14:textId="77777777" w:rsidR="003C3E15" w:rsidRPr="00DC6AF3" w:rsidRDefault="003C3E15" w:rsidP="76E3AB01">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Montoya García, M. V. (2017). Los hogares en la crisis: trabajo y condiciones de vida en México, 2008-2010, México D.F.: UNAM-IIE-CEPAL.</w:t>
      </w:r>
    </w:p>
    <w:p w14:paraId="736785E4" w14:textId="77777777" w:rsidR="003C3E15" w:rsidRPr="00DC6AF3" w:rsidRDefault="003C3E15" w:rsidP="00CD3F9F">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Oliveira, O. y Salles, V. (1989). Acerca del estudio de los grupos domésticos. Un enfoque sociodemográfico. En O. de Oliveira, M. </w:t>
      </w:r>
      <w:proofErr w:type="spellStart"/>
      <w:r w:rsidRPr="00DC6AF3">
        <w:rPr>
          <w:rFonts w:ascii="Times New Roman" w:hAnsi="Times New Roman" w:cs="Times New Roman"/>
          <w:sz w:val="24"/>
          <w:szCs w:val="24"/>
        </w:rPr>
        <w:t>Pepin</w:t>
      </w:r>
      <w:proofErr w:type="spellEnd"/>
      <w:r w:rsidRPr="00DC6AF3">
        <w:rPr>
          <w:rFonts w:ascii="Times New Roman" w:hAnsi="Times New Roman" w:cs="Times New Roman"/>
          <w:sz w:val="24"/>
          <w:szCs w:val="24"/>
        </w:rPr>
        <w:t xml:space="preserve"> </w:t>
      </w:r>
      <w:proofErr w:type="spellStart"/>
      <w:r w:rsidRPr="00DC6AF3">
        <w:rPr>
          <w:rFonts w:ascii="Times New Roman" w:hAnsi="Times New Roman" w:cs="Times New Roman"/>
          <w:sz w:val="24"/>
          <w:szCs w:val="24"/>
        </w:rPr>
        <w:t>Lehaller</w:t>
      </w:r>
      <w:proofErr w:type="spellEnd"/>
      <w:r w:rsidRPr="00DC6AF3">
        <w:rPr>
          <w:rFonts w:ascii="Times New Roman" w:hAnsi="Times New Roman" w:cs="Times New Roman"/>
          <w:sz w:val="24"/>
          <w:szCs w:val="24"/>
        </w:rPr>
        <w:t xml:space="preserve"> y V. Salles (</w:t>
      </w:r>
      <w:proofErr w:type="spellStart"/>
      <w:r w:rsidRPr="00DC6AF3">
        <w:rPr>
          <w:rFonts w:ascii="Times New Roman" w:hAnsi="Times New Roman" w:cs="Times New Roman"/>
          <w:sz w:val="24"/>
          <w:szCs w:val="24"/>
        </w:rPr>
        <w:t>comps</w:t>
      </w:r>
      <w:proofErr w:type="spellEnd"/>
      <w:r w:rsidRPr="00DC6AF3">
        <w:rPr>
          <w:rFonts w:ascii="Times New Roman" w:hAnsi="Times New Roman" w:cs="Times New Roman"/>
          <w:sz w:val="24"/>
          <w:szCs w:val="24"/>
        </w:rPr>
        <w:t>.), Grupos domésticos y reproducción cotidiana. México D.F.: UNAM-COLMEX.</w:t>
      </w:r>
    </w:p>
    <w:p w14:paraId="65887356"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Oliveira, O. y Salles, V. (2000). Reflexiones teóricas para el estudio de la reproducción de la fuerza de trabajo. En E. de la Garza Toledo (coord.) Tratado latinoamericano de sociología del trabajo (pp. 619-643). México D. F.: El Colegio de México, FLACSO, UNAM, Fondo de Cultura Económica. </w:t>
      </w:r>
    </w:p>
    <w:p w14:paraId="3EBD9FA8" w14:textId="77777777" w:rsidR="003C3E15" w:rsidRPr="00DC6AF3" w:rsidRDefault="003C3E15" w:rsidP="00CD3F9F">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Poy, S. (2020). Mercado de trabajo, políticas sociales y condiciones de vida. La reproducción de los hogares en la Argentina (2003-2014). Buenos Aires: </w:t>
      </w:r>
      <w:proofErr w:type="spellStart"/>
      <w:r w:rsidRPr="00DC6AF3">
        <w:rPr>
          <w:rFonts w:ascii="Times New Roman" w:hAnsi="Times New Roman" w:cs="Times New Roman"/>
          <w:sz w:val="24"/>
          <w:szCs w:val="24"/>
        </w:rPr>
        <w:t>TeseoPress</w:t>
      </w:r>
      <w:proofErr w:type="spellEnd"/>
      <w:r w:rsidRPr="00DC6AF3">
        <w:rPr>
          <w:rFonts w:ascii="Times New Roman" w:hAnsi="Times New Roman" w:cs="Times New Roman"/>
          <w:sz w:val="24"/>
          <w:szCs w:val="24"/>
        </w:rPr>
        <w:t>.</w:t>
      </w:r>
    </w:p>
    <w:p w14:paraId="0BA2BBB6"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Poy, S. (2022) Trayectorias laborales de corto plazo y duración de la pobreza entre 2019 y 2021. En Crisis y parcial recuperación del empleo en tiempos de COVID-19. Brechas estructurales en los mercados laborales de la Argentina urbana (2010-2021). Repositorio UCA. </w:t>
      </w:r>
    </w:p>
    <w:p w14:paraId="7D07FA1F"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Poy, S., Jara, R. y García </w:t>
      </w:r>
      <w:proofErr w:type="spellStart"/>
      <w:r w:rsidRPr="00DC6AF3">
        <w:rPr>
          <w:rFonts w:ascii="Times New Roman" w:hAnsi="Times New Roman" w:cs="Times New Roman"/>
          <w:sz w:val="24"/>
          <w:szCs w:val="24"/>
        </w:rPr>
        <w:t>Florez</w:t>
      </w:r>
      <w:proofErr w:type="spellEnd"/>
      <w:r w:rsidRPr="00DC6AF3">
        <w:rPr>
          <w:rFonts w:ascii="Times New Roman" w:hAnsi="Times New Roman" w:cs="Times New Roman"/>
          <w:sz w:val="24"/>
          <w:szCs w:val="24"/>
        </w:rPr>
        <w:t xml:space="preserve">, A. (2021). Desigualdades dinámicas en las capacidades de reproducción económica de los hogares de trabajadores ante la crisis por COVID-19. Ponencia presentada en el 15° Congreso Nacional de Estudios de Trabajo. Buenos Aires, Argentina. </w:t>
      </w:r>
    </w:p>
    <w:p w14:paraId="361382A1"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Salvia, A. (2012). La Trampa Neoliberal. Un estudio sobre los cambios en la heterogeneidad estructural y la distribución del ingreso en la Argentina: 1992-2003. Buenos Aires: EUDEBA. </w:t>
      </w:r>
    </w:p>
    <w:p w14:paraId="25872EA2" w14:textId="77777777" w:rsidR="003C3E15" w:rsidRPr="00DC6AF3" w:rsidRDefault="003C3E15" w:rsidP="00CD3F9F">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Salvia, A., Vera, J. y Poy, S. (2015). Cambios y continuidades en la estructura ocupacional urbana argentina. En J. </w:t>
      </w:r>
      <w:proofErr w:type="spellStart"/>
      <w:r w:rsidRPr="00DC6AF3">
        <w:rPr>
          <w:rFonts w:ascii="Times New Roman" w:hAnsi="Times New Roman" w:cs="Times New Roman"/>
          <w:sz w:val="24"/>
          <w:szCs w:val="24"/>
        </w:rPr>
        <w:t>Lindenboim</w:t>
      </w:r>
      <w:proofErr w:type="spellEnd"/>
      <w:r w:rsidRPr="00DC6AF3">
        <w:rPr>
          <w:rFonts w:ascii="Times New Roman" w:hAnsi="Times New Roman" w:cs="Times New Roman"/>
          <w:sz w:val="24"/>
          <w:szCs w:val="24"/>
        </w:rPr>
        <w:t xml:space="preserve"> y A. Salvia (</w:t>
      </w:r>
      <w:proofErr w:type="spellStart"/>
      <w:r w:rsidRPr="00DC6AF3">
        <w:rPr>
          <w:rFonts w:ascii="Times New Roman" w:hAnsi="Times New Roman" w:cs="Times New Roman"/>
          <w:sz w:val="24"/>
          <w:szCs w:val="24"/>
        </w:rPr>
        <w:t>coords</w:t>
      </w:r>
      <w:proofErr w:type="spellEnd"/>
      <w:r w:rsidRPr="00DC6AF3">
        <w:rPr>
          <w:rFonts w:ascii="Times New Roman" w:hAnsi="Times New Roman" w:cs="Times New Roman"/>
          <w:sz w:val="24"/>
          <w:szCs w:val="24"/>
        </w:rPr>
        <w:t xml:space="preserve">.), Hora de balance: proceso de </w:t>
      </w:r>
      <w:r w:rsidRPr="00DC6AF3">
        <w:rPr>
          <w:rFonts w:ascii="Times New Roman" w:hAnsi="Times New Roman" w:cs="Times New Roman"/>
          <w:sz w:val="24"/>
          <w:szCs w:val="24"/>
        </w:rPr>
        <w:lastRenderedPageBreak/>
        <w:t>acumulación, mercado de trabajo y bienestar. Argentina, 2002-2014 (pp. 133-172), Buenos Aires: EUDEBA.</w:t>
      </w:r>
    </w:p>
    <w:p w14:paraId="4E14D604"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Torrado, S. (1981). Sobre los conceptos de" estrategias familiares de vida" y" proceso de reproducción de la fuerza de trabajo": Notas teórico-metodológicas. Demografía y economía, 15(2), 204-233.</w:t>
      </w:r>
    </w:p>
    <w:p w14:paraId="10633724" w14:textId="77777777" w:rsidR="003C3E15" w:rsidRPr="00DC6AF3" w:rsidRDefault="003C3E15" w:rsidP="0086608D">
      <w:pPr>
        <w:pStyle w:val="Prrafodelista"/>
        <w:numPr>
          <w:ilvl w:val="0"/>
          <w:numId w:val="1"/>
        </w:numPr>
        <w:spacing w:before="120" w:after="120"/>
        <w:jc w:val="both"/>
        <w:rPr>
          <w:rFonts w:ascii="Times New Roman" w:hAnsi="Times New Roman" w:cs="Times New Roman"/>
          <w:sz w:val="24"/>
          <w:szCs w:val="24"/>
        </w:rPr>
      </w:pPr>
      <w:r w:rsidRPr="00DC6AF3">
        <w:rPr>
          <w:rFonts w:ascii="Times New Roman" w:hAnsi="Times New Roman" w:cs="Times New Roman"/>
          <w:sz w:val="24"/>
          <w:szCs w:val="24"/>
        </w:rPr>
        <w:t xml:space="preserve">Vera, J. (2022). Permanencias y transiciones desde y hacia la pobreza por ingresos en contexto de pandemia 2019-2020 / 2020-2021. En Desigualdades estructurales, pobreza por ingresos y carencias no monetarias desde una perspectiva de derechos: un escenario </w:t>
      </w:r>
      <w:proofErr w:type="spellStart"/>
      <w:r w:rsidRPr="00DC6AF3">
        <w:rPr>
          <w:rFonts w:ascii="Times New Roman" w:hAnsi="Times New Roman" w:cs="Times New Roman"/>
          <w:sz w:val="24"/>
          <w:szCs w:val="24"/>
        </w:rPr>
        <w:t>pre-post</w:t>
      </w:r>
      <w:proofErr w:type="spellEnd"/>
      <w:r w:rsidRPr="00DC6AF3">
        <w:rPr>
          <w:rFonts w:ascii="Times New Roman" w:hAnsi="Times New Roman" w:cs="Times New Roman"/>
          <w:sz w:val="24"/>
          <w:szCs w:val="24"/>
        </w:rPr>
        <w:t xml:space="preserve"> COVID-19 de crisis e incertidumbre. Repositorio UCA. </w:t>
      </w:r>
    </w:p>
    <w:sectPr w:rsidR="003C3E15" w:rsidRPr="00DC6AF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A20D" w14:textId="77777777" w:rsidR="003E57C2" w:rsidRDefault="003E57C2" w:rsidP="003F54D3">
      <w:pPr>
        <w:spacing w:after="0" w:line="240" w:lineRule="auto"/>
      </w:pPr>
      <w:r>
        <w:separator/>
      </w:r>
    </w:p>
  </w:endnote>
  <w:endnote w:type="continuationSeparator" w:id="0">
    <w:p w14:paraId="353B75E9" w14:textId="77777777" w:rsidR="003E57C2" w:rsidRDefault="003E57C2" w:rsidP="003F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3D2D" w14:textId="77777777" w:rsidR="003E57C2" w:rsidRDefault="003E57C2" w:rsidP="003F54D3">
      <w:pPr>
        <w:spacing w:after="0" w:line="240" w:lineRule="auto"/>
      </w:pPr>
      <w:r>
        <w:separator/>
      </w:r>
    </w:p>
  </w:footnote>
  <w:footnote w:type="continuationSeparator" w:id="0">
    <w:p w14:paraId="1C91628D" w14:textId="77777777" w:rsidR="003E57C2" w:rsidRDefault="003E57C2" w:rsidP="003F54D3">
      <w:pPr>
        <w:spacing w:after="0" w:line="240" w:lineRule="auto"/>
      </w:pPr>
      <w:r>
        <w:continuationSeparator/>
      </w:r>
    </w:p>
  </w:footnote>
  <w:footnote w:id="1">
    <w:p w14:paraId="05C2F651" w14:textId="77777777" w:rsidR="00302DC0" w:rsidRPr="00003202" w:rsidRDefault="00302DC0" w:rsidP="00302DC0">
      <w:pPr>
        <w:pStyle w:val="Textonotapie"/>
      </w:pPr>
      <w:r>
        <w:rPr>
          <w:rStyle w:val="Refdenotaalpie"/>
        </w:rPr>
        <w:footnoteRef/>
      </w:r>
      <w:r>
        <w:t xml:space="preserve"> Esta ponencia se desarrolló en el marco del Proyecto de Reconocimiento Institucional </w:t>
      </w:r>
      <w:r w:rsidRPr="00E42184">
        <w:t xml:space="preserve">“Desigualdad socio-ocupacional y persistencia de la pobreza. Un análisis centrado en la reproducción de los hogares”, </w:t>
      </w:r>
      <w:r>
        <w:t xml:space="preserve">de </w:t>
      </w:r>
      <w:r w:rsidRPr="00E42184">
        <w:t>la Facultad de Ciencias Sociales de la Universidad de Buenos Aires (R20-61-FCS)</w:t>
      </w:r>
      <w:r>
        <w:t>, dirigido por el Dr. Santiago Poy.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EA08" w14:textId="77777777" w:rsidR="006676D6" w:rsidRPr="007A6932" w:rsidRDefault="006676D6" w:rsidP="007A6932">
    <w:pPr>
      <w:pStyle w:val="Encabezado"/>
      <w:spacing w:line="240" w:lineRule="auto"/>
      <w:jc w:val="right"/>
      <w:rPr>
        <w:rFonts w:ascii="Times New Roman" w:hAnsi="Times New Roman" w:cs="Times New Roman"/>
      </w:rPr>
    </w:pPr>
    <w:r w:rsidRPr="007A6932">
      <w:rPr>
        <w:rFonts w:ascii="Times New Roman" w:hAnsi="Times New Roman" w:cs="Times New Roman"/>
      </w:rPr>
      <w:t xml:space="preserve">XI Jornadas de Jóvenes </w:t>
    </w:r>
    <w:proofErr w:type="spellStart"/>
    <w:r w:rsidRPr="007A6932">
      <w:rPr>
        <w:rFonts w:ascii="Times New Roman" w:hAnsi="Times New Roman" w:cs="Times New Roman"/>
      </w:rPr>
      <w:t>Investigadorxs</w:t>
    </w:r>
    <w:proofErr w:type="spellEnd"/>
  </w:p>
  <w:p w14:paraId="1ABCE9E2" w14:textId="77777777" w:rsidR="006676D6" w:rsidRPr="007A6932" w:rsidRDefault="006676D6" w:rsidP="007A6932">
    <w:pPr>
      <w:pStyle w:val="Encabezado"/>
      <w:spacing w:line="240" w:lineRule="auto"/>
      <w:jc w:val="right"/>
      <w:rPr>
        <w:rFonts w:ascii="Times New Roman" w:hAnsi="Times New Roman" w:cs="Times New Roman"/>
      </w:rPr>
    </w:pPr>
    <w:r w:rsidRPr="007A6932">
      <w:rPr>
        <w:rFonts w:ascii="Times New Roman" w:hAnsi="Times New Roman" w:cs="Times New Roman"/>
      </w:rPr>
      <w:t>Instituto de Investigaciones Gino Germani</w:t>
    </w:r>
  </w:p>
  <w:p w14:paraId="4496CEA8" w14:textId="5C6546AF" w:rsidR="006676D6" w:rsidRDefault="006676D6" w:rsidP="007A6932">
    <w:pPr>
      <w:pStyle w:val="Encabezado"/>
      <w:spacing w:line="240" w:lineRule="auto"/>
      <w:jc w:val="right"/>
      <w:rPr>
        <w:rFonts w:ascii="Times New Roman" w:hAnsi="Times New Roman" w:cs="Times New Roman"/>
      </w:rPr>
    </w:pPr>
    <w:r w:rsidRPr="007A6932">
      <w:rPr>
        <w:rFonts w:ascii="Times New Roman" w:hAnsi="Times New Roman" w:cs="Times New Roman"/>
      </w:rPr>
      <w:t>26, 27 y 28 de octubre de 2022</w:t>
    </w:r>
  </w:p>
  <w:p w14:paraId="14C23354" w14:textId="77777777" w:rsidR="008F7CA1" w:rsidRPr="007A6932" w:rsidRDefault="008F7CA1" w:rsidP="007A6932">
    <w:pPr>
      <w:pStyle w:val="Encabezado"/>
      <w:spacing w:line="240" w:lineRule="auto"/>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A67B2"/>
    <w:multiLevelType w:val="hybridMultilevel"/>
    <w:tmpl w:val="CF243E08"/>
    <w:lvl w:ilvl="0" w:tplc="FC284D4C">
      <w:start w:val="9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71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4F"/>
    <w:rsid w:val="00000B71"/>
    <w:rsid w:val="00001F6F"/>
    <w:rsid w:val="00002E8C"/>
    <w:rsid w:val="000036CD"/>
    <w:rsid w:val="00004075"/>
    <w:rsid w:val="00006BF9"/>
    <w:rsid w:val="000076F0"/>
    <w:rsid w:val="000128A3"/>
    <w:rsid w:val="00012DBF"/>
    <w:rsid w:val="00013A65"/>
    <w:rsid w:val="00014013"/>
    <w:rsid w:val="00015F2E"/>
    <w:rsid w:val="000168E8"/>
    <w:rsid w:val="00017178"/>
    <w:rsid w:val="0001798C"/>
    <w:rsid w:val="00017B0F"/>
    <w:rsid w:val="00017F86"/>
    <w:rsid w:val="000207B2"/>
    <w:rsid w:val="00020959"/>
    <w:rsid w:val="00020BDB"/>
    <w:rsid w:val="00020CD1"/>
    <w:rsid w:val="00031B68"/>
    <w:rsid w:val="000342D2"/>
    <w:rsid w:val="00034497"/>
    <w:rsid w:val="0004054F"/>
    <w:rsid w:val="00041011"/>
    <w:rsid w:val="000429A6"/>
    <w:rsid w:val="00043088"/>
    <w:rsid w:val="00043B2F"/>
    <w:rsid w:val="00045FBA"/>
    <w:rsid w:val="00047296"/>
    <w:rsid w:val="00052B04"/>
    <w:rsid w:val="00054088"/>
    <w:rsid w:val="000573BC"/>
    <w:rsid w:val="00060252"/>
    <w:rsid w:val="000602D3"/>
    <w:rsid w:val="00061ACA"/>
    <w:rsid w:val="0006285A"/>
    <w:rsid w:val="00062FE6"/>
    <w:rsid w:val="00063282"/>
    <w:rsid w:val="00065B8F"/>
    <w:rsid w:val="0006630F"/>
    <w:rsid w:val="0007203A"/>
    <w:rsid w:val="0007235F"/>
    <w:rsid w:val="00074459"/>
    <w:rsid w:val="000775D3"/>
    <w:rsid w:val="0008449A"/>
    <w:rsid w:val="000844D3"/>
    <w:rsid w:val="0008625C"/>
    <w:rsid w:val="0008707B"/>
    <w:rsid w:val="00091AB9"/>
    <w:rsid w:val="00092485"/>
    <w:rsid w:val="0009249B"/>
    <w:rsid w:val="00095465"/>
    <w:rsid w:val="000959EF"/>
    <w:rsid w:val="00096A41"/>
    <w:rsid w:val="00097913"/>
    <w:rsid w:val="00097A63"/>
    <w:rsid w:val="000A66CC"/>
    <w:rsid w:val="000B0273"/>
    <w:rsid w:val="000B3410"/>
    <w:rsid w:val="000C184E"/>
    <w:rsid w:val="000C35B1"/>
    <w:rsid w:val="000C6D8E"/>
    <w:rsid w:val="000D1486"/>
    <w:rsid w:val="000D1602"/>
    <w:rsid w:val="000D2354"/>
    <w:rsid w:val="000D274F"/>
    <w:rsid w:val="000D57DB"/>
    <w:rsid w:val="000D5D0E"/>
    <w:rsid w:val="000D63B7"/>
    <w:rsid w:val="000D72CF"/>
    <w:rsid w:val="000D7427"/>
    <w:rsid w:val="000E0331"/>
    <w:rsid w:val="000E052B"/>
    <w:rsid w:val="000E2DDF"/>
    <w:rsid w:val="000E420B"/>
    <w:rsid w:val="000E5C1F"/>
    <w:rsid w:val="000F2693"/>
    <w:rsid w:val="000F3318"/>
    <w:rsid w:val="00101A99"/>
    <w:rsid w:val="001026B7"/>
    <w:rsid w:val="00107D13"/>
    <w:rsid w:val="0011259F"/>
    <w:rsid w:val="00112E59"/>
    <w:rsid w:val="001169AE"/>
    <w:rsid w:val="001216ED"/>
    <w:rsid w:val="00124071"/>
    <w:rsid w:val="001326B8"/>
    <w:rsid w:val="00135FFE"/>
    <w:rsid w:val="00137443"/>
    <w:rsid w:val="00140638"/>
    <w:rsid w:val="00140872"/>
    <w:rsid w:val="001426DD"/>
    <w:rsid w:val="00146673"/>
    <w:rsid w:val="001468DD"/>
    <w:rsid w:val="001472FB"/>
    <w:rsid w:val="001475A0"/>
    <w:rsid w:val="001522F6"/>
    <w:rsid w:val="00152E5E"/>
    <w:rsid w:val="00161012"/>
    <w:rsid w:val="001644EF"/>
    <w:rsid w:val="00164B0F"/>
    <w:rsid w:val="00165971"/>
    <w:rsid w:val="00170940"/>
    <w:rsid w:val="00170BDE"/>
    <w:rsid w:val="001744D9"/>
    <w:rsid w:val="0017492F"/>
    <w:rsid w:val="00175086"/>
    <w:rsid w:val="0018113E"/>
    <w:rsid w:val="00181CAC"/>
    <w:rsid w:val="00184091"/>
    <w:rsid w:val="00192583"/>
    <w:rsid w:val="001925EC"/>
    <w:rsid w:val="0019413C"/>
    <w:rsid w:val="001A011A"/>
    <w:rsid w:val="001A1692"/>
    <w:rsid w:val="001A1D0F"/>
    <w:rsid w:val="001A2B05"/>
    <w:rsid w:val="001A2DD5"/>
    <w:rsid w:val="001A4AD6"/>
    <w:rsid w:val="001A56AA"/>
    <w:rsid w:val="001A6898"/>
    <w:rsid w:val="001A6FC7"/>
    <w:rsid w:val="001B17EB"/>
    <w:rsid w:val="001C0A81"/>
    <w:rsid w:val="001C5FC5"/>
    <w:rsid w:val="001D20D2"/>
    <w:rsid w:val="001D2987"/>
    <w:rsid w:val="001D453C"/>
    <w:rsid w:val="001D67FD"/>
    <w:rsid w:val="001E3BF4"/>
    <w:rsid w:val="001E3D6C"/>
    <w:rsid w:val="001E4998"/>
    <w:rsid w:val="001E5B9D"/>
    <w:rsid w:val="001E5CFB"/>
    <w:rsid w:val="001E626E"/>
    <w:rsid w:val="001E75DB"/>
    <w:rsid w:val="001F0787"/>
    <w:rsid w:val="001F1649"/>
    <w:rsid w:val="001F4346"/>
    <w:rsid w:val="001F7DD9"/>
    <w:rsid w:val="00200E5A"/>
    <w:rsid w:val="00201527"/>
    <w:rsid w:val="00201573"/>
    <w:rsid w:val="0020281F"/>
    <w:rsid w:val="0020291B"/>
    <w:rsid w:val="0020374E"/>
    <w:rsid w:val="00203D12"/>
    <w:rsid w:val="00204528"/>
    <w:rsid w:val="00204DF0"/>
    <w:rsid w:val="002106C5"/>
    <w:rsid w:val="00210BD2"/>
    <w:rsid w:val="00214C60"/>
    <w:rsid w:val="002150AC"/>
    <w:rsid w:val="002157B7"/>
    <w:rsid w:val="00215C94"/>
    <w:rsid w:val="00216325"/>
    <w:rsid w:val="002166FC"/>
    <w:rsid w:val="002172A8"/>
    <w:rsid w:val="002177D4"/>
    <w:rsid w:val="00221B55"/>
    <w:rsid w:val="00222C73"/>
    <w:rsid w:val="00224867"/>
    <w:rsid w:val="002262AB"/>
    <w:rsid w:val="00227C87"/>
    <w:rsid w:val="00231922"/>
    <w:rsid w:val="00232534"/>
    <w:rsid w:val="0023629F"/>
    <w:rsid w:val="002368AD"/>
    <w:rsid w:val="00241EB4"/>
    <w:rsid w:val="0024329B"/>
    <w:rsid w:val="0024352B"/>
    <w:rsid w:val="00244029"/>
    <w:rsid w:val="00244259"/>
    <w:rsid w:val="0024475E"/>
    <w:rsid w:val="00247F09"/>
    <w:rsid w:val="00252BB3"/>
    <w:rsid w:val="00254150"/>
    <w:rsid w:val="00254B26"/>
    <w:rsid w:val="002560B6"/>
    <w:rsid w:val="00256265"/>
    <w:rsid w:val="00257299"/>
    <w:rsid w:val="00267910"/>
    <w:rsid w:val="00267CC3"/>
    <w:rsid w:val="00271CB3"/>
    <w:rsid w:val="00271D85"/>
    <w:rsid w:val="002728F5"/>
    <w:rsid w:val="00273AA2"/>
    <w:rsid w:val="002751A9"/>
    <w:rsid w:val="00277796"/>
    <w:rsid w:val="00284DF3"/>
    <w:rsid w:val="00286559"/>
    <w:rsid w:val="00286E6B"/>
    <w:rsid w:val="002871EA"/>
    <w:rsid w:val="00291C0E"/>
    <w:rsid w:val="00295BC8"/>
    <w:rsid w:val="00295EB8"/>
    <w:rsid w:val="002A0184"/>
    <w:rsid w:val="002A26A8"/>
    <w:rsid w:val="002B1162"/>
    <w:rsid w:val="002B1AF4"/>
    <w:rsid w:val="002B2D46"/>
    <w:rsid w:val="002B53DB"/>
    <w:rsid w:val="002B6334"/>
    <w:rsid w:val="002B6897"/>
    <w:rsid w:val="002C1516"/>
    <w:rsid w:val="002C2077"/>
    <w:rsid w:val="002C3DF6"/>
    <w:rsid w:val="002C47E0"/>
    <w:rsid w:val="002C765E"/>
    <w:rsid w:val="002C7D6F"/>
    <w:rsid w:val="002D1E17"/>
    <w:rsid w:val="002D2501"/>
    <w:rsid w:val="002D6ABE"/>
    <w:rsid w:val="002D73EA"/>
    <w:rsid w:val="002D74A2"/>
    <w:rsid w:val="002D7B15"/>
    <w:rsid w:val="002E33A1"/>
    <w:rsid w:val="002E4A2F"/>
    <w:rsid w:val="002E5B9B"/>
    <w:rsid w:val="002E6404"/>
    <w:rsid w:val="002E77AF"/>
    <w:rsid w:val="002E7A16"/>
    <w:rsid w:val="002F1003"/>
    <w:rsid w:val="002F1963"/>
    <w:rsid w:val="002F2CE7"/>
    <w:rsid w:val="002F33F6"/>
    <w:rsid w:val="002F3720"/>
    <w:rsid w:val="002F48BC"/>
    <w:rsid w:val="002F4A14"/>
    <w:rsid w:val="002F4A3D"/>
    <w:rsid w:val="002F4C0D"/>
    <w:rsid w:val="002F5D77"/>
    <w:rsid w:val="002F6ED8"/>
    <w:rsid w:val="002F7570"/>
    <w:rsid w:val="00300040"/>
    <w:rsid w:val="00300B47"/>
    <w:rsid w:val="00300F4D"/>
    <w:rsid w:val="003017D6"/>
    <w:rsid w:val="00301C9F"/>
    <w:rsid w:val="00302DC0"/>
    <w:rsid w:val="00303A19"/>
    <w:rsid w:val="003049B0"/>
    <w:rsid w:val="00307EF1"/>
    <w:rsid w:val="00310EB1"/>
    <w:rsid w:val="00311096"/>
    <w:rsid w:val="0031188D"/>
    <w:rsid w:val="00311D1C"/>
    <w:rsid w:val="00314028"/>
    <w:rsid w:val="00315537"/>
    <w:rsid w:val="0032114E"/>
    <w:rsid w:val="00322C64"/>
    <w:rsid w:val="00324BE4"/>
    <w:rsid w:val="003267DB"/>
    <w:rsid w:val="00331633"/>
    <w:rsid w:val="00332F80"/>
    <w:rsid w:val="00333433"/>
    <w:rsid w:val="003343C9"/>
    <w:rsid w:val="00335D2F"/>
    <w:rsid w:val="003367E6"/>
    <w:rsid w:val="003417C7"/>
    <w:rsid w:val="00342588"/>
    <w:rsid w:val="00343ACE"/>
    <w:rsid w:val="00347172"/>
    <w:rsid w:val="00347F59"/>
    <w:rsid w:val="00350C7E"/>
    <w:rsid w:val="003514A3"/>
    <w:rsid w:val="00353954"/>
    <w:rsid w:val="00353CB9"/>
    <w:rsid w:val="0035676F"/>
    <w:rsid w:val="00357336"/>
    <w:rsid w:val="0036041F"/>
    <w:rsid w:val="00361E08"/>
    <w:rsid w:val="00363CFD"/>
    <w:rsid w:val="0036727E"/>
    <w:rsid w:val="003675E3"/>
    <w:rsid w:val="00370369"/>
    <w:rsid w:val="00371EB2"/>
    <w:rsid w:val="00372246"/>
    <w:rsid w:val="00372493"/>
    <w:rsid w:val="00377310"/>
    <w:rsid w:val="0037796F"/>
    <w:rsid w:val="00380439"/>
    <w:rsid w:val="00380A2E"/>
    <w:rsid w:val="00382B3D"/>
    <w:rsid w:val="00384791"/>
    <w:rsid w:val="00385B76"/>
    <w:rsid w:val="00386D65"/>
    <w:rsid w:val="003905C3"/>
    <w:rsid w:val="0039067B"/>
    <w:rsid w:val="00391EBA"/>
    <w:rsid w:val="00393160"/>
    <w:rsid w:val="003968E6"/>
    <w:rsid w:val="003A0A4A"/>
    <w:rsid w:val="003A3FA9"/>
    <w:rsid w:val="003A4AEB"/>
    <w:rsid w:val="003A54AE"/>
    <w:rsid w:val="003B1C25"/>
    <w:rsid w:val="003B320C"/>
    <w:rsid w:val="003B378C"/>
    <w:rsid w:val="003B386C"/>
    <w:rsid w:val="003B4ABE"/>
    <w:rsid w:val="003B5251"/>
    <w:rsid w:val="003B53EF"/>
    <w:rsid w:val="003B5599"/>
    <w:rsid w:val="003B60A7"/>
    <w:rsid w:val="003B7FC3"/>
    <w:rsid w:val="003C0505"/>
    <w:rsid w:val="003C2326"/>
    <w:rsid w:val="003C2C64"/>
    <w:rsid w:val="003C2CD2"/>
    <w:rsid w:val="003C3E15"/>
    <w:rsid w:val="003C6F95"/>
    <w:rsid w:val="003C7333"/>
    <w:rsid w:val="003C73A1"/>
    <w:rsid w:val="003C78C8"/>
    <w:rsid w:val="003D1459"/>
    <w:rsid w:val="003D1C5C"/>
    <w:rsid w:val="003D2857"/>
    <w:rsid w:val="003D2A4E"/>
    <w:rsid w:val="003D56E2"/>
    <w:rsid w:val="003D6A8C"/>
    <w:rsid w:val="003E210B"/>
    <w:rsid w:val="003E2FD0"/>
    <w:rsid w:val="003E43A3"/>
    <w:rsid w:val="003E57C2"/>
    <w:rsid w:val="003E6A2F"/>
    <w:rsid w:val="003F05FC"/>
    <w:rsid w:val="003F35FA"/>
    <w:rsid w:val="003F44D8"/>
    <w:rsid w:val="003F54D3"/>
    <w:rsid w:val="003F563B"/>
    <w:rsid w:val="004002A8"/>
    <w:rsid w:val="00403984"/>
    <w:rsid w:val="00405198"/>
    <w:rsid w:val="00405733"/>
    <w:rsid w:val="0040582A"/>
    <w:rsid w:val="00406A13"/>
    <w:rsid w:val="00412F5B"/>
    <w:rsid w:val="004149C5"/>
    <w:rsid w:val="00415573"/>
    <w:rsid w:val="00417D3C"/>
    <w:rsid w:val="004201BC"/>
    <w:rsid w:val="00420358"/>
    <w:rsid w:val="00420394"/>
    <w:rsid w:val="00421274"/>
    <w:rsid w:val="0042178C"/>
    <w:rsid w:val="0042353E"/>
    <w:rsid w:val="0042435C"/>
    <w:rsid w:val="00426054"/>
    <w:rsid w:val="00426C5F"/>
    <w:rsid w:val="00427786"/>
    <w:rsid w:val="0043095B"/>
    <w:rsid w:val="00430B3E"/>
    <w:rsid w:val="0043121F"/>
    <w:rsid w:val="00437F6A"/>
    <w:rsid w:val="00442833"/>
    <w:rsid w:val="0044386B"/>
    <w:rsid w:val="00443C05"/>
    <w:rsid w:val="00443F6F"/>
    <w:rsid w:val="004448CA"/>
    <w:rsid w:val="004461F3"/>
    <w:rsid w:val="0044662B"/>
    <w:rsid w:val="00446B87"/>
    <w:rsid w:val="00450551"/>
    <w:rsid w:val="00451137"/>
    <w:rsid w:val="004554B2"/>
    <w:rsid w:val="004560D7"/>
    <w:rsid w:val="004560F7"/>
    <w:rsid w:val="00460EB7"/>
    <w:rsid w:val="004620A4"/>
    <w:rsid w:val="0046272C"/>
    <w:rsid w:val="00463950"/>
    <w:rsid w:val="00463AE4"/>
    <w:rsid w:val="00465599"/>
    <w:rsid w:val="00465CC8"/>
    <w:rsid w:val="00466F77"/>
    <w:rsid w:val="00472478"/>
    <w:rsid w:val="00480D68"/>
    <w:rsid w:val="0048106B"/>
    <w:rsid w:val="00486628"/>
    <w:rsid w:val="004876FE"/>
    <w:rsid w:val="004900C6"/>
    <w:rsid w:val="00491874"/>
    <w:rsid w:val="0049387D"/>
    <w:rsid w:val="00496354"/>
    <w:rsid w:val="004965A8"/>
    <w:rsid w:val="00496F03"/>
    <w:rsid w:val="004A2809"/>
    <w:rsid w:val="004A5CC8"/>
    <w:rsid w:val="004B0534"/>
    <w:rsid w:val="004B15EA"/>
    <w:rsid w:val="004B22FD"/>
    <w:rsid w:val="004B4C55"/>
    <w:rsid w:val="004B5523"/>
    <w:rsid w:val="004B5733"/>
    <w:rsid w:val="004B68E7"/>
    <w:rsid w:val="004C2D4E"/>
    <w:rsid w:val="004D04C2"/>
    <w:rsid w:val="004D41CB"/>
    <w:rsid w:val="004E4CBB"/>
    <w:rsid w:val="004E594A"/>
    <w:rsid w:val="004E6C3E"/>
    <w:rsid w:val="004F10A5"/>
    <w:rsid w:val="004F5C68"/>
    <w:rsid w:val="004F6098"/>
    <w:rsid w:val="0050244D"/>
    <w:rsid w:val="005040FB"/>
    <w:rsid w:val="0050483F"/>
    <w:rsid w:val="00505313"/>
    <w:rsid w:val="005056AD"/>
    <w:rsid w:val="0051027B"/>
    <w:rsid w:val="0051220C"/>
    <w:rsid w:val="00515EA5"/>
    <w:rsid w:val="00517ED7"/>
    <w:rsid w:val="00520C39"/>
    <w:rsid w:val="00521C7F"/>
    <w:rsid w:val="00523A8E"/>
    <w:rsid w:val="00526B51"/>
    <w:rsid w:val="005312C2"/>
    <w:rsid w:val="00531ED0"/>
    <w:rsid w:val="00536E1E"/>
    <w:rsid w:val="005418F2"/>
    <w:rsid w:val="00543BBC"/>
    <w:rsid w:val="00543F86"/>
    <w:rsid w:val="005472CB"/>
    <w:rsid w:val="00547DAC"/>
    <w:rsid w:val="0055050E"/>
    <w:rsid w:val="005514CA"/>
    <w:rsid w:val="005524DB"/>
    <w:rsid w:val="00554CC4"/>
    <w:rsid w:val="00554F7F"/>
    <w:rsid w:val="00555333"/>
    <w:rsid w:val="00560ABF"/>
    <w:rsid w:val="00560C26"/>
    <w:rsid w:val="0056464A"/>
    <w:rsid w:val="005650BD"/>
    <w:rsid w:val="00566A94"/>
    <w:rsid w:val="00567783"/>
    <w:rsid w:val="005728EF"/>
    <w:rsid w:val="00572D8B"/>
    <w:rsid w:val="00573F1C"/>
    <w:rsid w:val="00575802"/>
    <w:rsid w:val="00577048"/>
    <w:rsid w:val="005800AC"/>
    <w:rsid w:val="00581B77"/>
    <w:rsid w:val="005828C1"/>
    <w:rsid w:val="005830FA"/>
    <w:rsid w:val="005848F4"/>
    <w:rsid w:val="00591FAA"/>
    <w:rsid w:val="0059250F"/>
    <w:rsid w:val="00595649"/>
    <w:rsid w:val="0059690A"/>
    <w:rsid w:val="005969FF"/>
    <w:rsid w:val="00596E9F"/>
    <w:rsid w:val="005A1B7A"/>
    <w:rsid w:val="005A1BF4"/>
    <w:rsid w:val="005A1FBE"/>
    <w:rsid w:val="005A4A08"/>
    <w:rsid w:val="005A4C8B"/>
    <w:rsid w:val="005A581B"/>
    <w:rsid w:val="005A63BC"/>
    <w:rsid w:val="005A6CA8"/>
    <w:rsid w:val="005B067B"/>
    <w:rsid w:val="005B1DEA"/>
    <w:rsid w:val="005B2542"/>
    <w:rsid w:val="005B2579"/>
    <w:rsid w:val="005B2843"/>
    <w:rsid w:val="005B28F4"/>
    <w:rsid w:val="005B370A"/>
    <w:rsid w:val="005B55CD"/>
    <w:rsid w:val="005B66C7"/>
    <w:rsid w:val="005B6F03"/>
    <w:rsid w:val="005B7288"/>
    <w:rsid w:val="005C1CD8"/>
    <w:rsid w:val="005C2764"/>
    <w:rsid w:val="005C3389"/>
    <w:rsid w:val="005C5193"/>
    <w:rsid w:val="005C560B"/>
    <w:rsid w:val="005C5A35"/>
    <w:rsid w:val="005C6767"/>
    <w:rsid w:val="005D03CE"/>
    <w:rsid w:val="005D1861"/>
    <w:rsid w:val="005D1CB4"/>
    <w:rsid w:val="005D2E2C"/>
    <w:rsid w:val="005D4779"/>
    <w:rsid w:val="005D51E3"/>
    <w:rsid w:val="005D5B19"/>
    <w:rsid w:val="005D727D"/>
    <w:rsid w:val="005D7B0F"/>
    <w:rsid w:val="005E18B2"/>
    <w:rsid w:val="005E682E"/>
    <w:rsid w:val="005E71FF"/>
    <w:rsid w:val="005E7A35"/>
    <w:rsid w:val="005F0E96"/>
    <w:rsid w:val="005F1BED"/>
    <w:rsid w:val="005F456F"/>
    <w:rsid w:val="006002C3"/>
    <w:rsid w:val="00600B88"/>
    <w:rsid w:val="006019A9"/>
    <w:rsid w:val="00602F7F"/>
    <w:rsid w:val="006057BC"/>
    <w:rsid w:val="0060704F"/>
    <w:rsid w:val="00607206"/>
    <w:rsid w:val="006076CC"/>
    <w:rsid w:val="00607A6D"/>
    <w:rsid w:val="00607FAE"/>
    <w:rsid w:val="006105C1"/>
    <w:rsid w:val="00610679"/>
    <w:rsid w:val="0061339D"/>
    <w:rsid w:val="00616357"/>
    <w:rsid w:val="006170A8"/>
    <w:rsid w:val="00617304"/>
    <w:rsid w:val="00617D35"/>
    <w:rsid w:val="00621154"/>
    <w:rsid w:val="006251C0"/>
    <w:rsid w:val="00625E7A"/>
    <w:rsid w:val="00626D9C"/>
    <w:rsid w:val="00627E5F"/>
    <w:rsid w:val="0063032B"/>
    <w:rsid w:val="00630786"/>
    <w:rsid w:val="006308F8"/>
    <w:rsid w:val="00635476"/>
    <w:rsid w:val="00643FC1"/>
    <w:rsid w:val="00644271"/>
    <w:rsid w:val="0064504E"/>
    <w:rsid w:val="00650E1E"/>
    <w:rsid w:val="006514C4"/>
    <w:rsid w:val="006526B3"/>
    <w:rsid w:val="00652E14"/>
    <w:rsid w:val="0065705E"/>
    <w:rsid w:val="006616C2"/>
    <w:rsid w:val="00662B7A"/>
    <w:rsid w:val="00662B9D"/>
    <w:rsid w:val="00662E4A"/>
    <w:rsid w:val="00663FC7"/>
    <w:rsid w:val="00665216"/>
    <w:rsid w:val="00665DC5"/>
    <w:rsid w:val="006676D6"/>
    <w:rsid w:val="0067278D"/>
    <w:rsid w:val="00674A54"/>
    <w:rsid w:val="00677F32"/>
    <w:rsid w:val="00680842"/>
    <w:rsid w:val="00684BEE"/>
    <w:rsid w:val="00685423"/>
    <w:rsid w:val="00685925"/>
    <w:rsid w:val="00686E08"/>
    <w:rsid w:val="00687F17"/>
    <w:rsid w:val="00690010"/>
    <w:rsid w:val="006916E0"/>
    <w:rsid w:val="00692F17"/>
    <w:rsid w:val="006950EC"/>
    <w:rsid w:val="006A0C99"/>
    <w:rsid w:val="006A1CF8"/>
    <w:rsid w:val="006A47B9"/>
    <w:rsid w:val="006A6B04"/>
    <w:rsid w:val="006B0D24"/>
    <w:rsid w:val="006B5746"/>
    <w:rsid w:val="006B6FA5"/>
    <w:rsid w:val="006B7103"/>
    <w:rsid w:val="006C0157"/>
    <w:rsid w:val="006C03D0"/>
    <w:rsid w:val="006D390F"/>
    <w:rsid w:val="006D799C"/>
    <w:rsid w:val="006E04B9"/>
    <w:rsid w:val="006E0EF0"/>
    <w:rsid w:val="006E12C8"/>
    <w:rsid w:val="006E2016"/>
    <w:rsid w:val="006E2E59"/>
    <w:rsid w:val="006E5DF7"/>
    <w:rsid w:val="006E73A5"/>
    <w:rsid w:val="006F3B26"/>
    <w:rsid w:val="006F680A"/>
    <w:rsid w:val="006F78F4"/>
    <w:rsid w:val="00700A0B"/>
    <w:rsid w:val="0070104A"/>
    <w:rsid w:val="0070249A"/>
    <w:rsid w:val="00704D5A"/>
    <w:rsid w:val="00705D30"/>
    <w:rsid w:val="00706CC0"/>
    <w:rsid w:val="007126EB"/>
    <w:rsid w:val="007133B9"/>
    <w:rsid w:val="0071393E"/>
    <w:rsid w:val="00713977"/>
    <w:rsid w:val="00714618"/>
    <w:rsid w:val="007151D5"/>
    <w:rsid w:val="0071715F"/>
    <w:rsid w:val="00721C76"/>
    <w:rsid w:val="00724EC5"/>
    <w:rsid w:val="00727067"/>
    <w:rsid w:val="0072793F"/>
    <w:rsid w:val="0073301E"/>
    <w:rsid w:val="007357B2"/>
    <w:rsid w:val="00736177"/>
    <w:rsid w:val="007373A3"/>
    <w:rsid w:val="007423A8"/>
    <w:rsid w:val="0074338F"/>
    <w:rsid w:val="00744640"/>
    <w:rsid w:val="00747651"/>
    <w:rsid w:val="00747C5D"/>
    <w:rsid w:val="00751135"/>
    <w:rsid w:val="00755CFC"/>
    <w:rsid w:val="00755F10"/>
    <w:rsid w:val="00760A3B"/>
    <w:rsid w:val="0076399F"/>
    <w:rsid w:val="00764F78"/>
    <w:rsid w:val="00764FA0"/>
    <w:rsid w:val="00765FB0"/>
    <w:rsid w:val="007677B3"/>
    <w:rsid w:val="00770F7C"/>
    <w:rsid w:val="0077255B"/>
    <w:rsid w:val="00780306"/>
    <w:rsid w:val="00783C3E"/>
    <w:rsid w:val="0078433A"/>
    <w:rsid w:val="00786742"/>
    <w:rsid w:val="007901FA"/>
    <w:rsid w:val="00790646"/>
    <w:rsid w:val="00790ADC"/>
    <w:rsid w:val="00792009"/>
    <w:rsid w:val="007A0497"/>
    <w:rsid w:val="007A10CC"/>
    <w:rsid w:val="007A293E"/>
    <w:rsid w:val="007A4CD8"/>
    <w:rsid w:val="007A549A"/>
    <w:rsid w:val="007A64ED"/>
    <w:rsid w:val="007A6932"/>
    <w:rsid w:val="007A6C42"/>
    <w:rsid w:val="007A7E6F"/>
    <w:rsid w:val="007B14DE"/>
    <w:rsid w:val="007B2C01"/>
    <w:rsid w:val="007B41B7"/>
    <w:rsid w:val="007B66F8"/>
    <w:rsid w:val="007B6B22"/>
    <w:rsid w:val="007C45D7"/>
    <w:rsid w:val="007D33C8"/>
    <w:rsid w:val="007D34D2"/>
    <w:rsid w:val="007D3989"/>
    <w:rsid w:val="007D5632"/>
    <w:rsid w:val="007D5BDC"/>
    <w:rsid w:val="007D70F7"/>
    <w:rsid w:val="007E1BF5"/>
    <w:rsid w:val="007E2B36"/>
    <w:rsid w:val="007E52D0"/>
    <w:rsid w:val="007E5327"/>
    <w:rsid w:val="007E5C97"/>
    <w:rsid w:val="007E5D1D"/>
    <w:rsid w:val="007F014B"/>
    <w:rsid w:val="007F1E70"/>
    <w:rsid w:val="007F4D5F"/>
    <w:rsid w:val="00800CE9"/>
    <w:rsid w:val="00801E85"/>
    <w:rsid w:val="0080489D"/>
    <w:rsid w:val="00805934"/>
    <w:rsid w:val="008074FB"/>
    <w:rsid w:val="00810434"/>
    <w:rsid w:val="00810F91"/>
    <w:rsid w:val="0081161C"/>
    <w:rsid w:val="0081527E"/>
    <w:rsid w:val="00816492"/>
    <w:rsid w:val="00816980"/>
    <w:rsid w:val="0082127A"/>
    <w:rsid w:val="00824770"/>
    <w:rsid w:val="00830469"/>
    <w:rsid w:val="0083096D"/>
    <w:rsid w:val="00830EC4"/>
    <w:rsid w:val="00832EDB"/>
    <w:rsid w:val="00833F73"/>
    <w:rsid w:val="00834E5E"/>
    <w:rsid w:val="00836AB0"/>
    <w:rsid w:val="00840807"/>
    <w:rsid w:val="00843CEE"/>
    <w:rsid w:val="00845982"/>
    <w:rsid w:val="00850776"/>
    <w:rsid w:val="00851304"/>
    <w:rsid w:val="00855662"/>
    <w:rsid w:val="008570F3"/>
    <w:rsid w:val="00862C9E"/>
    <w:rsid w:val="0086608D"/>
    <w:rsid w:val="008664E6"/>
    <w:rsid w:val="0087164C"/>
    <w:rsid w:val="0087188F"/>
    <w:rsid w:val="00872D8E"/>
    <w:rsid w:val="00873D6D"/>
    <w:rsid w:val="008760F2"/>
    <w:rsid w:val="00882E29"/>
    <w:rsid w:val="00883F54"/>
    <w:rsid w:val="00885B44"/>
    <w:rsid w:val="00890415"/>
    <w:rsid w:val="00892100"/>
    <w:rsid w:val="00893463"/>
    <w:rsid w:val="008959DC"/>
    <w:rsid w:val="0089766D"/>
    <w:rsid w:val="008A3166"/>
    <w:rsid w:val="008A4043"/>
    <w:rsid w:val="008A4442"/>
    <w:rsid w:val="008A5FBF"/>
    <w:rsid w:val="008A603E"/>
    <w:rsid w:val="008A736A"/>
    <w:rsid w:val="008B314E"/>
    <w:rsid w:val="008B3990"/>
    <w:rsid w:val="008B46B9"/>
    <w:rsid w:val="008B4DDC"/>
    <w:rsid w:val="008B5B43"/>
    <w:rsid w:val="008B5D5D"/>
    <w:rsid w:val="008B7A91"/>
    <w:rsid w:val="008B7B9F"/>
    <w:rsid w:val="008C146E"/>
    <w:rsid w:val="008C3089"/>
    <w:rsid w:val="008C6390"/>
    <w:rsid w:val="008C65C5"/>
    <w:rsid w:val="008D09DA"/>
    <w:rsid w:val="008D1FFC"/>
    <w:rsid w:val="008D2999"/>
    <w:rsid w:val="008D487D"/>
    <w:rsid w:val="008D502C"/>
    <w:rsid w:val="008E102C"/>
    <w:rsid w:val="008E4559"/>
    <w:rsid w:val="008E5D16"/>
    <w:rsid w:val="008F0212"/>
    <w:rsid w:val="008F14A6"/>
    <w:rsid w:val="008F44D8"/>
    <w:rsid w:val="008F4563"/>
    <w:rsid w:val="008F79AF"/>
    <w:rsid w:val="008F7CA1"/>
    <w:rsid w:val="00902286"/>
    <w:rsid w:val="009033D1"/>
    <w:rsid w:val="0090478B"/>
    <w:rsid w:val="00906ED6"/>
    <w:rsid w:val="00907CB9"/>
    <w:rsid w:val="00912480"/>
    <w:rsid w:val="00912B03"/>
    <w:rsid w:val="009170A5"/>
    <w:rsid w:val="00922370"/>
    <w:rsid w:val="00923157"/>
    <w:rsid w:val="00924574"/>
    <w:rsid w:val="00924AF0"/>
    <w:rsid w:val="00925743"/>
    <w:rsid w:val="00925E51"/>
    <w:rsid w:val="00926BF7"/>
    <w:rsid w:val="00926EF9"/>
    <w:rsid w:val="00926F98"/>
    <w:rsid w:val="00932C2B"/>
    <w:rsid w:val="00935E91"/>
    <w:rsid w:val="0094143F"/>
    <w:rsid w:val="00942612"/>
    <w:rsid w:val="009432B6"/>
    <w:rsid w:val="009445E0"/>
    <w:rsid w:val="00945998"/>
    <w:rsid w:val="009469CE"/>
    <w:rsid w:val="00950C98"/>
    <w:rsid w:val="0095218D"/>
    <w:rsid w:val="0095656C"/>
    <w:rsid w:val="009632B2"/>
    <w:rsid w:val="0096353D"/>
    <w:rsid w:val="0096411D"/>
    <w:rsid w:val="00965BB5"/>
    <w:rsid w:val="0096776D"/>
    <w:rsid w:val="00967BB6"/>
    <w:rsid w:val="00967CB7"/>
    <w:rsid w:val="00972030"/>
    <w:rsid w:val="00973C8F"/>
    <w:rsid w:val="0097507D"/>
    <w:rsid w:val="00975A44"/>
    <w:rsid w:val="00976675"/>
    <w:rsid w:val="00976E0F"/>
    <w:rsid w:val="00977F1D"/>
    <w:rsid w:val="00981633"/>
    <w:rsid w:val="009851A2"/>
    <w:rsid w:val="0098591B"/>
    <w:rsid w:val="00987D75"/>
    <w:rsid w:val="009928A5"/>
    <w:rsid w:val="00993857"/>
    <w:rsid w:val="00994713"/>
    <w:rsid w:val="0099574C"/>
    <w:rsid w:val="00997771"/>
    <w:rsid w:val="009A2E0A"/>
    <w:rsid w:val="009A3F93"/>
    <w:rsid w:val="009A6317"/>
    <w:rsid w:val="009A7B42"/>
    <w:rsid w:val="009B1A47"/>
    <w:rsid w:val="009B2000"/>
    <w:rsid w:val="009B34CA"/>
    <w:rsid w:val="009B7EA2"/>
    <w:rsid w:val="009C1BBA"/>
    <w:rsid w:val="009C478F"/>
    <w:rsid w:val="009C6403"/>
    <w:rsid w:val="009C7389"/>
    <w:rsid w:val="009D1FB4"/>
    <w:rsid w:val="009D40EA"/>
    <w:rsid w:val="009D5C65"/>
    <w:rsid w:val="009D6D54"/>
    <w:rsid w:val="009E223F"/>
    <w:rsid w:val="009E2261"/>
    <w:rsid w:val="009E5F1E"/>
    <w:rsid w:val="009E63D4"/>
    <w:rsid w:val="009E7043"/>
    <w:rsid w:val="009E7CC1"/>
    <w:rsid w:val="009F3039"/>
    <w:rsid w:val="009F362C"/>
    <w:rsid w:val="009F7180"/>
    <w:rsid w:val="009F7438"/>
    <w:rsid w:val="00A0222A"/>
    <w:rsid w:val="00A03711"/>
    <w:rsid w:val="00A118EC"/>
    <w:rsid w:val="00A11C01"/>
    <w:rsid w:val="00A11F4D"/>
    <w:rsid w:val="00A12383"/>
    <w:rsid w:val="00A12A7E"/>
    <w:rsid w:val="00A1658D"/>
    <w:rsid w:val="00A16C74"/>
    <w:rsid w:val="00A16E3C"/>
    <w:rsid w:val="00A2012D"/>
    <w:rsid w:val="00A20B7E"/>
    <w:rsid w:val="00A23323"/>
    <w:rsid w:val="00A24FEE"/>
    <w:rsid w:val="00A263E5"/>
    <w:rsid w:val="00A26C60"/>
    <w:rsid w:val="00A33C80"/>
    <w:rsid w:val="00A347E4"/>
    <w:rsid w:val="00A404C7"/>
    <w:rsid w:val="00A40B20"/>
    <w:rsid w:val="00A43A57"/>
    <w:rsid w:val="00A44CE2"/>
    <w:rsid w:val="00A451C2"/>
    <w:rsid w:val="00A50060"/>
    <w:rsid w:val="00A51110"/>
    <w:rsid w:val="00A52536"/>
    <w:rsid w:val="00A5324A"/>
    <w:rsid w:val="00A572C2"/>
    <w:rsid w:val="00A57604"/>
    <w:rsid w:val="00A6392E"/>
    <w:rsid w:val="00A65405"/>
    <w:rsid w:val="00A65DA6"/>
    <w:rsid w:val="00A66901"/>
    <w:rsid w:val="00A70EB2"/>
    <w:rsid w:val="00A720D5"/>
    <w:rsid w:val="00A72A9D"/>
    <w:rsid w:val="00A74D67"/>
    <w:rsid w:val="00A76250"/>
    <w:rsid w:val="00A76CBE"/>
    <w:rsid w:val="00A812BC"/>
    <w:rsid w:val="00A851B0"/>
    <w:rsid w:val="00A86D70"/>
    <w:rsid w:val="00A9189F"/>
    <w:rsid w:val="00A92053"/>
    <w:rsid w:val="00A92918"/>
    <w:rsid w:val="00A93012"/>
    <w:rsid w:val="00A93151"/>
    <w:rsid w:val="00A93CA2"/>
    <w:rsid w:val="00A93E2C"/>
    <w:rsid w:val="00A943F6"/>
    <w:rsid w:val="00A96855"/>
    <w:rsid w:val="00A97ED7"/>
    <w:rsid w:val="00AA0390"/>
    <w:rsid w:val="00AA153A"/>
    <w:rsid w:val="00AA2FE9"/>
    <w:rsid w:val="00AA3A39"/>
    <w:rsid w:val="00AA419E"/>
    <w:rsid w:val="00AA4464"/>
    <w:rsid w:val="00AA4787"/>
    <w:rsid w:val="00AB07E7"/>
    <w:rsid w:val="00AB08F9"/>
    <w:rsid w:val="00AB1052"/>
    <w:rsid w:val="00AB1189"/>
    <w:rsid w:val="00AB27D3"/>
    <w:rsid w:val="00AB4588"/>
    <w:rsid w:val="00AB5A2F"/>
    <w:rsid w:val="00AC08E9"/>
    <w:rsid w:val="00AC35FA"/>
    <w:rsid w:val="00AC4249"/>
    <w:rsid w:val="00AD066C"/>
    <w:rsid w:val="00AD1543"/>
    <w:rsid w:val="00AD2161"/>
    <w:rsid w:val="00AD49C3"/>
    <w:rsid w:val="00AD6BAC"/>
    <w:rsid w:val="00AD6CF1"/>
    <w:rsid w:val="00AE027D"/>
    <w:rsid w:val="00AE1139"/>
    <w:rsid w:val="00AE61BB"/>
    <w:rsid w:val="00AE6DF3"/>
    <w:rsid w:val="00AF1297"/>
    <w:rsid w:val="00B012EB"/>
    <w:rsid w:val="00B01897"/>
    <w:rsid w:val="00B05BD8"/>
    <w:rsid w:val="00B06393"/>
    <w:rsid w:val="00B06778"/>
    <w:rsid w:val="00B1064F"/>
    <w:rsid w:val="00B13BFC"/>
    <w:rsid w:val="00B143B1"/>
    <w:rsid w:val="00B15B54"/>
    <w:rsid w:val="00B21B19"/>
    <w:rsid w:val="00B222AD"/>
    <w:rsid w:val="00B26420"/>
    <w:rsid w:val="00B30036"/>
    <w:rsid w:val="00B32F92"/>
    <w:rsid w:val="00B33BEB"/>
    <w:rsid w:val="00B34CCE"/>
    <w:rsid w:val="00B356B8"/>
    <w:rsid w:val="00B40FE7"/>
    <w:rsid w:val="00B422F3"/>
    <w:rsid w:val="00B42A8F"/>
    <w:rsid w:val="00B450C0"/>
    <w:rsid w:val="00B45E90"/>
    <w:rsid w:val="00B47433"/>
    <w:rsid w:val="00B51C3A"/>
    <w:rsid w:val="00B5489E"/>
    <w:rsid w:val="00B548C3"/>
    <w:rsid w:val="00B55248"/>
    <w:rsid w:val="00B5676B"/>
    <w:rsid w:val="00B6027C"/>
    <w:rsid w:val="00B6031B"/>
    <w:rsid w:val="00B604F6"/>
    <w:rsid w:val="00B6346F"/>
    <w:rsid w:val="00B64333"/>
    <w:rsid w:val="00B729DE"/>
    <w:rsid w:val="00B738D6"/>
    <w:rsid w:val="00B74985"/>
    <w:rsid w:val="00B84A66"/>
    <w:rsid w:val="00B86181"/>
    <w:rsid w:val="00B91D14"/>
    <w:rsid w:val="00B926B3"/>
    <w:rsid w:val="00B92D43"/>
    <w:rsid w:val="00B97393"/>
    <w:rsid w:val="00B97463"/>
    <w:rsid w:val="00BA05AF"/>
    <w:rsid w:val="00BA62E3"/>
    <w:rsid w:val="00BB2280"/>
    <w:rsid w:val="00BB2564"/>
    <w:rsid w:val="00BB2708"/>
    <w:rsid w:val="00BB4D47"/>
    <w:rsid w:val="00BB7F6F"/>
    <w:rsid w:val="00BC1D5E"/>
    <w:rsid w:val="00BC23CC"/>
    <w:rsid w:val="00BC39B2"/>
    <w:rsid w:val="00BC3E1A"/>
    <w:rsid w:val="00BC4370"/>
    <w:rsid w:val="00BD07E8"/>
    <w:rsid w:val="00BD0F75"/>
    <w:rsid w:val="00BD24A5"/>
    <w:rsid w:val="00BD4157"/>
    <w:rsid w:val="00BD4952"/>
    <w:rsid w:val="00BD4E49"/>
    <w:rsid w:val="00BE0081"/>
    <w:rsid w:val="00BE098B"/>
    <w:rsid w:val="00BE0D4C"/>
    <w:rsid w:val="00BE2781"/>
    <w:rsid w:val="00BE331A"/>
    <w:rsid w:val="00BE38B1"/>
    <w:rsid w:val="00BE478A"/>
    <w:rsid w:val="00BE5828"/>
    <w:rsid w:val="00BE59F2"/>
    <w:rsid w:val="00BE6159"/>
    <w:rsid w:val="00BF2C52"/>
    <w:rsid w:val="00BF46C7"/>
    <w:rsid w:val="00BF5927"/>
    <w:rsid w:val="00BF6390"/>
    <w:rsid w:val="00C001B0"/>
    <w:rsid w:val="00C00361"/>
    <w:rsid w:val="00C00493"/>
    <w:rsid w:val="00C02AAA"/>
    <w:rsid w:val="00C02ECA"/>
    <w:rsid w:val="00C0344F"/>
    <w:rsid w:val="00C11A49"/>
    <w:rsid w:val="00C128B9"/>
    <w:rsid w:val="00C1783C"/>
    <w:rsid w:val="00C20431"/>
    <w:rsid w:val="00C20AEA"/>
    <w:rsid w:val="00C216E4"/>
    <w:rsid w:val="00C225F8"/>
    <w:rsid w:val="00C2365D"/>
    <w:rsid w:val="00C23857"/>
    <w:rsid w:val="00C23930"/>
    <w:rsid w:val="00C239E4"/>
    <w:rsid w:val="00C26C4B"/>
    <w:rsid w:val="00C30F84"/>
    <w:rsid w:val="00C31632"/>
    <w:rsid w:val="00C31951"/>
    <w:rsid w:val="00C33E43"/>
    <w:rsid w:val="00C34BAC"/>
    <w:rsid w:val="00C34FCE"/>
    <w:rsid w:val="00C370DC"/>
    <w:rsid w:val="00C375FF"/>
    <w:rsid w:val="00C378E0"/>
    <w:rsid w:val="00C41B05"/>
    <w:rsid w:val="00C41FE8"/>
    <w:rsid w:val="00C4570F"/>
    <w:rsid w:val="00C45F74"/>
    <w:rsid w:val="00C47468"/>
    <w:rsid w:val="00C47860"/>
    <w:rsid w:val="00C47D3F"/>
    <w:rsid w:val="00C53E36"/>
    <w:rsid w:val="00C568F8"/>
    <w:rsid w:val="00C57D27"/>
    <w:rsid w:val="00C62F27"/>
    <w:rsid w:val="00C6396E"/>
    <w:rsid w:val="00C6677B"/>
    <w:rsid w:val="00C73E20"/>
    <w:rsid w:val="00C75F1E"/>
    <w:rsid w:val="00C763A7"/>
    <w:rsid w:val="00C76755"/>
    <w:rsid w:val="00C76FB2"/>
    <w:rsid w:val="00C80422"/>
    <w:rsid w:val="00C8189B"/>
    <w:rsid w:val="00C81AF3"/>
    <w:rsid w:val="00C81B48"/>
    <w:rsid w:val="00C83A7F"/>
    <w:rsid w:val="00C85544"/>
    <w:rsid w:val="00C85775"/>
    <w:rsid w:val="00C86977"/>
    <w:rsid w:val="00C90C6D"/>
    <w:rsid w:val="00C96279"/>
    <w:rsid w:val="00C96388"/>
    <w:rsid w:val="00C97A23"/>
    <w:rsid w:val="00C97AA2"/>
    <w:rsid w:val="00CA4136"/>
    <w:rsid w:val="00CA4D4B"/>
    <w:rsid w:val="00CA5DA4"/>
    <w:rsid w:val="00CA679D"/>
    <w:rsid w:val="00CB2477"/>
    <w:rsid w:val="00CB33E5"/>
    <w:rsid w:val="00CB34C5"/>
    <w:rsid w:val="00CB3579"/>
    <w:rsid w:val="00CB5689"/>
    <w:rsid w:val="00CB5C67"/>
    <w:rsid w:val="00CB7C56"/>
    <w:rsid w:val="00CC0E8D"/>
    <w:rsid w:val="00CC2973"/>
    <w:rsid w:val="00CC44B5"/>
    <w:rsid w:val="00CC50DF"/>
    <w:rsid w:val="00CC54F0"/>
    <w:rsid w:val="00CC674F"/>
    <w:rsid w:val="00CC6BBB"/>
    <w:rsid w:val="00CD16C5"/>
    <w:rsid w:val="00CD4658"/>
    <w:rsid w:val="00CD55E7"/>
    <w:rsid w:val="00CD5C46"/>
    <w:rsid w:val="00CD5F30"/>
    <w:rsid w:val="00CD7EE5"/>
    <w:rsid w:val="00CE12C7"/>
    <w:rsid w:val="00CE196E"/>
    <w:rsid w:val="00CE6308"/>
    <w:rsid w:val="00CE66AC"/>
    <w:rsid w:val="00CE7861"/>
    <w:rsid w:val="00CF24B7"/>
    <w:rsid w:val="00CF411B"/>
    <w:rsid w:val="00CF7EE7"/>
    <w:rsid w:val="00D007E9"/>
    <w:rsid w:val="00D008F1"/>
    <w:rsid w:val="00D0156F"/>
    <w:rsid w:val="00D02C47"/>
    <w:rsid w:val="00D02EBE"/>
    <w:rsid w:val="00D02F4B"/>
    <w:rsid w:val="00D05209"/>
    <w:rsid w:val="00D07C8A"/>
    <w:rsid w:val="00D125E3"/>
    <w:rsid w:val="00D1547E"/>
    <w:rsid w:val="00D15CF0"/>
    <w:rsid w:val="00D1608D"/>
    <w:rsid w:val="00D179E1"/>
    <w:rsid w:val="00D2026E"/>
    <w:rsid w:val="00D25C7A"/>
    <w:rsid w:val="00D25EBD"/>
    <w:rsid w:val="00D26293"/>
    <w:rsid w:val="00D26E39"/>
    <w:rsid w:val="00D35BF4"/>
    <w:rsid w:val="00D37242"/>
    <w:rsid w:val="00D403F6"/>
    <w:rsid w:val="00D4119B"/>
    <w:rsid w:val="00D412B7"/>
    <w:rsid w:val="00D4323F"/>
    <w:rsid w:val="00D43CC1"/>
    <w:rsid w:val="00D441C9"/>
    <w:rsid w:val="00D44460"/>
    <w:rsid w:val="00D456E1"/>
    <w:rsid w:val="00D45B66"/>
    <w:rsid w:val="00D502B9"/>
    <w:rsid w:val="00D519C7"/>
    <w:rsid w:val="00D51CD4"/>
    <w:rsid w:val="00D52CF0"/>
    <w:rsid w:val="00D562EE"/>
    <w:rsid w:val="00D56FDB"/>
    <w:rsid w:val="00D605D4"/>
    <w:rsid w:val="00D62B79"/>
    <w:rsid w:val="00D63BA1"/>
    <w:rsid w:val="00D64429"/>
    <w:rsid w:val="00D653BE"/>
    <w:rsid w:val="00D72B44"/>
    <w:rsid w:val="00D73C81"/>
    <w:rsid w:val="00D7448C"/>
    <w:rsid w:val="00D756D3"/>
    <w:rsid w:val="00D84272"/>
    <w:rsid w:val="00D85849"/>
    <w:rsid w:val="00D86888"/>
    <w:rsid w:val="00D878E5"/>
    <w:rsid w:val="00D9099C"/>
    <w:rsid w:val="00D92789"/>
    <w:rsid w:val="00D95782"/>
    <w:rsid w:val="00DA02F4"/>
    <w:rsid w:val="00DA03C7"/>
    <w:rsid w:val="00DA19C7"/>
    <w:rsid w:val="00DA1E68"/>
    <w:rsid w:val="00DA32F9"/>
    <w:rsid w:val="00DA52BA"/>
    <w:rsid w:val="00DA6876"/>
    <w:rsid w:val="00DB1D36"/>
    <w:rsid w:val="00DB2C9A"/>
    <w:rsid w:val="00DB4F90"/>
    <w:rsid w:val="00DB65DE"/>
    <w:rsid w:val="00DB7277"/>
    <w:rsid w:val="00DB75CE"/>
    <w:rsid w:val="00DC21E3"/>
    <w:rsid w:val="00DC5DFA"/>
    <w:rsid w:val="00DC6AF3"/>
    <w:rsid w:val="00DD2BCD"/>
    <w:rsid w:val="00DD79AA"/>
    <w:rsid w:val="00DE0C1F"/>
    <w:rsid w:val="00DE5CFB"/>
    <w:rsid w:val="00DE5F43"/>
    <w:rsid w:val="00DF11D2"/>
    <w:rsid w:val="00DF28BF"/>
    <w:rsid w:val="00DF2A5D"/>
    <w:rsid w:val="00DF3C78"/>
    <w:rsid w:val="00DF3EFB"/>
    <w:rsid w:val="00DF41AE"/>
    <w:rsid w:val="00DF4385"/>
    <w:rsid w:val="00DF485B"/>
    <w:rsid w:val="00DF6FD6"/>
    <w:rsid w:val="00DF705A"/>
    <w:rsid w:val="00E019B7"/>
    <w:rsid w:val="00E02029"/>
    <w:rsid w:val="00E04389"/>
    <w:rsid w:val="00E0666B"/>
    <w:rsid w:val="00E06BBD"/>
    <w:rsid w:val="00E100B8"/>
    <w:rsid w:val="00E10BD2"/>
    <w:rsid w:val="00E10CC5"/>
    <w:rsid w:val="00E13219"/>
    <w:rsid w:val="00E13A66"/>
    <w:rsid w:val="00E14498"/>
    <w:rsid w:val="00E145C4"/>
    <w:rsid w:val="00E17B1B"/>
    <w:rsid w:val="00E17C59"/>
    <w:rsid w:val="00E20095"/>
    <w:rsid w:val="00E212D4"/>
    <w:rsid w:val="00E2140D"/>
    <w:rsid w:val="00E2255A"/>
    <w:rsid w:val="00E2289E"/>
    <w:rsid w:val="00E25C02"/>
    <w:rsid w:val="00E261AA"/>
    <w:rsid w:val="00E327AB"/>
    <w:rsid w:val="00E3453E"/>
    <w:rsid w:val="00E4196F"/>
    <w:rsid w:val="00E42D50"/>
    <w:rsid w:val="00E50210"/>
    <w:rsid w:val="00E50AEC"/>
    <w:rsid w:val="00E52F70"/>
    <w:rsid w:val="00E53C6F"/>
    <w:rsid w:val="00E54E52"/>
    <w:rsid w:val="00E5583A"/>
    <w:rsid w:val="00E561A1"/>
    <w:rsid w:val="00E56534"/>
    <w:rsid w:val="00E57158"/>
    <w:rsid w:val="00E61414"/>
    <w:rsid w:val="00E6202D"/>
    <w:rsid w:val="00E63E82"/>
    <w:rsid w:val="00E64B66"/>
    <w:rsid w:val="00E667B1"/>
    <w:rsid w:val="00E70379"/>
    <w:rsid w:val="00E70FF6"/>
    <w:rsid w:val="00E712EC"/>
    <w:rsid w:val="00E77F7B"/>
    <w:rsid w:val="00E811A4"/>
    <w:rsid w:val="00E81BB9"/>
    <w:rsid w:val="00E8268C"/>
    <w:rsid w:val="00E82945"/>
    <w:rsid w:val="00E832C8"/>
    <w:rsid w:val="00E84887"/>
    <w:rsid w:val="00E85F64"/>
    <w:rsid w:val="00E86203"/>
    <w:rsid w:val="00E87104"/>
    <w:rsid w:val="00E87A01"/>
    <w:rsid w:val="00E90334"/>
    <w:rsid w:val="00E914CA"/>
    <w:rsid w:val="00E915C2"/>
    <w:rsid w:val="00E91BF2"/>
    <w:rsid w:val="00E94B47"/>
    <w:rsid w:val="00E96ABE"/>
    <w:rsid w:val="00E9750B"/>
    <w:rsid w:val="00EA214C"/>
    <w:rsid w:val="00EA29DE"/>
    <w:rsid w:val="00EA6656"/>
    <w:rsid w:val="00EA68F4"/>
    <w:rsid w:val="00EA6E00"/>
    <w:rsid w:val="00EA77C4"/>
    <w:rsid w:val="00EB0B25"/>
    <w:rsid w:val="00EB13E8"/>
    <w:rsid w:val="00EB4295"/>
    <w:rsid w:val="00EB550C"/>
    <w:rsid w:val="00EB57D8"/>
    <w:rsid w:val="00EC3142"/>
    <w:rsid w:val="00EC5207"/>
    <w:rsid w:val="00EC5F00"/>
    <w:rsid w:val="00EC6665"/>
    <w:rsid w:val="00EC6C43"/>
    <w:rsid w:val="00ED1246"/>
    <w:rsid w:val="00ED1917"/>
    <w:rsid w:val="00ED1B7D"/>
    <w:rsid w:val="00ED4826"/>
    <w:rsid w:val="00ED62FE"/>
    <w:rsid w:val="00ED73C4"/>
    <w:rsid w:val="00EE3B44"/>
    <w:rsid w:val="00EE46A1"/>
    <w:rsid w:val="00EE5116"/>
    <w:rsid w:val="00EE7227"/>
    <w:rsid w:val="00EE7320"/>
    <w:rsid w:val="00EE73BC"/>
    <w:rsid w:val="00EF2E0C"/>
    <w:rsid w:val="00EF4E59"/>
    <w:rsid w:val="00EF6E25"/>
    <w:rsid w:val="00F00B36"/>
    <w:rsid w:val="00F01222"/>
    <w:rsid w:val="00F01EE4"/>
    <w:rsid w:val="00F01EEB"/>
    <w:rsid w:val="00F03E1A"/>
    <w:rsid w:val="00F042CB"/>
    <w:rsid w:val="00F057AA"/>
    <w:rsid w:val="00F06EB6"/>
    <w:rsid w:val="00F07A1A"/>
    <w:rsid w:val="00F11D74"/>
    <w:rsid w:val="00F12DD0"/>
    <w:rsid w:val="00F2209C"/>
    <w:rsid w:val="00F23086"/>
    <w:rsid w:val="00F24F9B"/>
    <w:rsid w:val="00F26AEF"/>
    <w:rsid w:val="00F276B4"/>
    <w:rsid w:val="00F27DDB"/>
    <w:rsid w:val="00F31CA4"/>
    <w:rsid w:val="00F34A7E"/>
    <w:rsid w:val="00F353AF"/>
    <w:rsid w:val="00F35D83"/>
    <w:rsid w:val="00F36373"/>
    <w:rsid w:val="00F419AA"/>
    <w:rsid w:val="00F46FF5"/>
    <w:rsid w:val="00F47EAC"/>
    <w:rsid w:val="00F502DE"/>
    <w:rsid w:val="00F506D1"/>
    <w:rsid w:val="00F52226"/>
    <w:rsid w:val="00F534AE"/>
    <w:rsid w:val="00F54248"/>
    <w:rsid w:val="00F547DD"/>
    <w:rsid w:val="00F54C2F"/>
    <w:rsid w:val="00F57A8A"/>
    <w:rsid w:val="00F60141"/>
    <w:rsid w:val="00F62558"/>
    <w:rsid w:val="00F670A0"/>
    <w:rsid w:val="00F677FF"/>
    <w:rsid w:val="00F70101"/>
    <w:rsid w:val="00F70490"/>
    <w:rsid w:val="00F71223"/>
    <w:rsid w:val="00F74A0C"/>
    <w:rsid w:val="00F7536F"/>
    <w:rsid w:val="00F7568D"/>
    <w:rsid w:val="00F7712D"/>
    <w:rsid w:val="00F77A74"/>
    <w:rsid w:val="00F77D5E"/>
    <w:rsid w:val="00F805EF"/>
    <w:rsid w:val="00F80719"/>
    <w:rsid w:val="00F80A8E"/>
    <w:rsid w:val="00F810A0"/>
    <w:rsid w:val="00F81172"/>
    <w:rsid w:val="00F82BD3"/>
    <w:rsid w:val="00F840DC"/>
    <w:rsid w:val="00F90689"/>
    <w:rsid w:val="00F9185C"/>
    <w:rsid w:val="00F91DE4"/>
    <w:rsid w:val="00F96BA9"/>
    <w:rsid w:val="00F973A7"/>
    <w:rsid w:val="00FA211A"/>
    <w:rsid w:val="00FA2886"/>
    <w:rsid w:val="00FA6468"/>
    <w:rsid w:val="00FB0C9A"/>
    <w:rsid w:val="00FB153C"/>
    <w:rsid w:val="00FB19CD"/>
    <w:rsid w:val="00FB1ABD"/>
    <w:rsid w:val="00FB3724"/>
    <w:rsid w:val="00FB3A52"/>
    <w:rsid w:val="00FB479D"/>
    <w:rsid w:val="00FB4913"/>
    <w:rsid w:val="00FC0AEB"/>
    <w:rsid w:val="00FC13C5"/>
    <w:rsid w:val="00FC1619"/>
    <w:rsid w:val="00FC2913"/>
    <w:rsid w:val="00FC6A84"/>
    <w:rsid w:val="00FD4BF7"/>
    <w:rsid w:val="00FD77F6"/>
    <w:rsid w:val="00FE05CB"/>
    <w:rsid w:val="00FE5A0F"/>
    <w:rsid w:val="00FF0ADC"/>
    <w:rsid w:val="00FF1A2B"/>
    <w:rsid w:val="00FF4290"/>
    <w:rsid w:val="00FF4792"/>
    <w:rsid w:val="00FF66CB"/>
    <w:rsid w:val="4C001CDC"/>
    <w:rsid w:val="53D19AA3"/>
    <w:rsid w:val="569138D2"/>
    <w:rsid w:val="76E3A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A53ED"/>
  <w15:chartTrackingRefBased/>
  <w15:docId w15:val="{86B5E162-6D65-40BB-804D-C4B45ACA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E3AB01"/>
    <w:rPr>
      <w:lang w:val="es-AR"/>
    </w:rPr>
  </w:style>
  <w:style w:type="paragraph" w:styleId="Ttulo1">
    <w:name w:val="heading 1"/>
    <w:basedOn w:val="Normal"/>
    <w:next w:val="Normal"/>
    <w:link w:val="Ttulo1Car"/>
    <w:uiPriority w:val="9"/>
    <w:qFormat/>
    <w:rsid w:val="76E3AB01"/>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76E3AB01"/>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76E3AB01"/>
    <w:pPr>
      <w:keepNext/>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76E3AB01"/>
    <w:pPr>
      <w:keepNext/>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76E3AB01"/>
    <w:pPr>
      <w:keepNext/>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76E3AB01"/>
    <w:pPr>
      <w:keepNext/>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76E3AB01"/>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76E3AB01"/>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76E3AB01"/>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76E3AB01"/>
    <w:rPr>
      <w:rFonts w:asciiTheme="majorHAnsi" w:eastAsiaTheme="majorEastAsia" w:hAnsiTheme="majorHAnsi" w:cstheme="majorBidi"/>
      <w:noProof w:val="0"/>
      <w:color w:val="2F5496" w:themeColor="accent1" w:themeShade="BF"/>
      <w:sz w:val="32"/>
      <w:szCs w:val="32"/>
      <w:lang w:val="es-AR"/>
    </w:rPr>
  </w:style>
  <w:style w:type="paragraph" w:styleId="TtuloTDC">
    <w:name w:val="TOC Heading"/>
    <w:basedOn w:val="Ttulo1"/>
    <w:next w:val="Normal"/>
    <w:uiPriority w:val="39"/>
    <w:unhideWhenUsed/>
    <w:qFormat/>
    <w:rsid w:val="76E3AB01"/>
    <w:rPr>
      <w:lang w:val="en-US"/>
    </w:rPr>
  </w:style>
  <w:style w:type="paragraph" w:styleId="TDC1">
    <w:name w:val="toc 1"/>
    <w:basedOn w:val="Normal"/>
    <w:next w:val="Normal"/>
    <w:uiPriority w:val="39"/>
    <w:unhideWhenUsed/>
    <w:rsid w:val="76E3AB01"/>
    <w:pPr>
      <w:spacing w:after="100"/>
    </w:pPr>
  </w:style>
  <w:style w:type="character" w:styleId="Hipervnculo">
    <w:name w:val="Hyperlink"/>
    <w:basedOn w:val="Fuentedeprrafopredeter"/>
    <w:uiPriority w:val="99"/>
    <w:unhideWhenUsed/>
    <w:rsid w:val="005514CA"/>
    <w:rPr>
      <w:color w:val="0563C1" w:themeColor="hyperlink"/>
      <w:u w:val="single"/>
    </w:rPr>
  </w:style>
  <w:style w:type="character" w:customStyle="1" w:styleId="Ttulo2Car">
    <w:name w:val="Título 2 Car"/>
    <w:basedOn w:val="Fuentedeprrafopredeter"/>
    <w:link w:val="Ttulo2"/>
    <w:uiPriority w:val="9"/>
    <w:rsid w:val="76E3AB01"/>
    <w:rPr>
      <w:rFonts w:asciiTheme="majorHAnsi" w:eastAsiaTheme="majorEastAsia" w:hAnsiTheme="majorHAnsi" w:cstheme="majorBidi"/>
      <w:noProof w:val="0"/>
      <w:color w:val="2F5496" w:themeColor="accent1" w:themeShade="BF"/>
      <w:sz w:val="26"/>
      <w:szCs w:val="26"/>
      <w:lang w:val="es-AR"/>
    </w:rPr>
  </w:style>
  <w:style w:type="character" w:styleId="Refdecomentario">
    <w:name w:val="annotation reference"/>
    <w:basedOn w:val="Fuentedeprrafopredeter"/>
    <w:uiPriority w:val="99"/>
    <w:semiHidden/>
    <w:unhideWhenUsed/>
    <w:rsid w:val="00BF6390"/>
    <w:rPr>
      <w:sz w:val="16"/>
      <w:szCs w:val="16"/>
    </w:rPr>
  </w:style>
  <w:style w:type="paragraph" w:styleId="Textocomentario">
    <w:name w:val="annotation text"/>
    <w:basedOn w:val="Normal"/>
    <w:link w:val="TextocomentarioCar"/>
    <w:uiPriority w:val="99"/>
    <w:unhideWhenUsed/>
    <w:rsid w:val="76E3AB01"/>
    <w:rPr>
      <w:sz w:val="20"/>
      <w:szCs w:val="20"/>
    </w:rPr>
  </w:style>
  <w:style w:type="character" w:customStyle="1" w:styleId="TextocomentarioCar">
    <w:name w:val="Texto comentario Car"/>
    <w:basedOn w:val="Fuentedeprrafopredeter"/>
    <w:link w:val="Textocomentario"/>
    <w:uiPriority w:val="99"/>
    <w:rsid w:val="76E3AB01"/>
    <w:rPr>
      <w:noProof w:val="0"/>
      <w:sz w:val="20"/>
      <w:szCs w:val="20"/>
      <w:lang w:val="es-AR"/>
    </w:rPr>
  </w:style>
  <w:style w:type="paragraph" w:styleId="Asuntodelcomentario">
    <w:name w:val="annotation subject"/>
    <w:basedOn w:val="Textocomentario"/>
    <w:next w:val="Textocomentario"/>
    <w:link w:val="AsuntodelcomentarioCar"/>
    <w:uiPriority w:val="99"/>
    <w:semiHidden/>
    <w:unhideWhenUsed/>
    <w:rsid w:val="76E3AB01"/>
    <w:rPr>
      <w:b/>
      <w:bCs/>
    </w:rPr>
  </w:style>
  <w:style w:type="character" w:customStyle="1" w:styleId="AsuntodelcomentarioCar">
    <w:name w:val="Asunto del comentario Car"/>
    <w:basedOn w:val="TextocomentarioCar"/>
    <w:link w:val="Asuntodelcomentario"/>
    <w:uiPriority w:val="99"/>
    <w:semiHidden/>
    <w:rsid w:val="76E3AB01"/>
    <w:rPr>
      <w:b/>
      <w:bCs/>
      <w:noProof w:val="0"/>
      <w:sz w:val="20"/>
      <w:szCs w:val="20"/>
      <w:lang w:val="es-AR"/>
    </w:rPr>
  </w:style>
  <w:style w:type="paragraph" w:styleId="TDC2">
    <w:name w:val="toc 2"/>
    <w:basedOn w:val="Normal"/>
    <w:next w:val="Normal"/>
    <w:uiPriority w:val="39"/>
    <w:unhideWhenUsed/>
    <w:rsid w:val="76E3AB01"/>
    <w:pPr>
      <w:spacing w:after="100"/>
      <w:ind w:left="220"/>
    </w:pPr>
  </w:style>
  <w:style w:type="paragraph" w:styleId="Prrafodelista">
    <w:name w:val="List Paragraph"/>
    <w:basedOn w:val="Normal"/>
    <w:uiPriority w:val="34"/>
    <w:qFormat/>
    <w:rsid w:val="76E3AB01"/>
    <w:pPr>
      <w:ind w:left="720"/>
      <w:contextualSpacing/>
    </w:pPr>
  </w:style>
  <w:style w:type="paragraph" w:styleId="Encabezado">
    <w:name w:val="header"/>
    <w:basedOn w:val="Normal"/>
    <w:link w:val="EncabezadoCar"/>
    <w:uiPriority w:val="99"/>
    <w:unhideWhenUsed/>
    <w:rsid w:val="76E3AB01"/>
    <w:pPr>
      <w:tabs>
        <w:tab w:val="center" w:pos="4680"/>
        <w:tab w:val="right" w:pos="9360"/>
      </w:tabs>
      <w:spacing w:after="0"/>
    </w:pPr>
  </w:style>
  <w:style w:type="character" w:customStyle="1" w:styleId="EncabezadoCar">
    <w:name w:val="Encabezado Car"/>
    <w:basedOn w:val="Fuentedeprrafopredeter"/>
    <w:link w:val="Encabezado"/>
    <w:uiPriority w:val="99"/>
    <w:rsid w:val="76E3AB01"/>
    <w:rPr>
      <w:noProof w:val="0"/>
      <w:lang w:val="es-AR"/>
    </w:rPr>
  </w:style>
  <w:style w:type="paragraph" w:styleId="Piedepgina">
    <w:name w:val="footer"/>
    <w:basedOn w:val="Normal"/>
    <w:link w:val="PiedepginaCar"/>
    <w:uiPriority w:val="99"/>
    <w:unhideWhenUsed/>
    <w:rsid w:val="76E3AB01"/>
    <w:pPr>
      <w:tabs>
        <w:tab w:val="center" w:pos="4680"/>
        <w:tab w:val="right" w:pos="9360"/>
      </w:tabs>
      <w:spacing w:after="0"/>
    </w:pPr>
  </w:style>
  <w:style w:type="character" w:customStyle="1" w:styleId="PiedepginaCar">
    <w:name w:val="Pie de página Car"/>
    <w:basedOn w:val="Fuentedeprrafopredeter"/>
    <w:link w:val="Piedepgina"/>
    <w:uiPriority w:val="99"/>
    <w:rsid w:val="76E3AB01"/>
    <w:rPr>
      <w:noProof w:val="0"/>
      <w:lang w:val="es-AR"/>
    </w:rPr>
  </w:style>
  <w:style w:type="paragraph" w:styleId="Sinespaciado">
    <w:name w:val="No Spacing"/>
    <w:link w:val="SinespaciadoCar"/>
    <w:uiPriority w:val="1"/>
    <w:qFormat/>
    <w:rsid w:val="00EA77C4"/>
    <w:pPr>
      <w:spacing w:after="0" w:line="240" w:lineRule="auto"/>
    </w:pPr>
    <w:rPr>
      <w:rFonts w:ascii="Calibri" w:eastAsia="Calibri" w:hAnsi="Calibri" w:cs="Times New Roman"/>
      <w:lang w:val="es-AR"/>
    </w:rPr>
  </w:style>
  <w:style w:type="character" w:customStyle="1" w:styleId="SinespaciadoCar">
    <w:name w:val="Sin espaciado Car"/>
    <w:link w:val="Sinespaciado"/>
    <w:uiPriority w:val="1"/>
    <w:rsid w:val="00EA77C4"/>
    <w:rPr>
      <w:rFonts w:ascii="Calibri" w:eastAsia="Calibri" w:hAnsi="Calibri" w:cs="Times New Roman"/>
      <w:lang w:val="es-AR"/>
    </w:rPr>
  </w:style>
  <w:style w:type="paragraph" w:styleId="Ttulo">
    <w:name w:val="Title"/>
    <w:basedOn w:val="Normal"/>
    <w:next w:val="Normal"/>
    <w:link w:val="TtuloCar"/>
    <w:uiPriority w:val="10"/>
    <w:qFormat/>
    <w:rsid w:val="76E3AB01"/>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76E3AB01"/>
    <w:rPr>
      <w:rFonts w:eastAsiaTheme="minorEastAsia"/>
      <w:color w:val="5A5A5A"/>
    </w:rPr>
  </w:style>
  <w:style w:type="paragraph" w:styleId="Cita">
    <w:name w:val="Quote"/>
    <w:basedOn w:val="Normal"/>
    <w:next w:val="Normal"/>
    <w:link w:val="CitaCar"/>
    <w:uiPriority w:val="29"/>
    <w:qFormat/>
    <w:rsid w:val="76E3AB01"/>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76E3AB01"/>
    <w:pPr>
      <w:spacing w:before="360" w:after="360"/>
      <w:ind w:left="864" w:right="864"/>
      <w:jc w:val="center"/>
    </w:pPr>
    <w:rPr>
      <w:i/>
      <w:iCs/>
      <w:color w:val="4472C4" w:themeColor="accent1"/>
    </w:rPr>
  </w:style>
  <w:style w:type="character" w:customStyle="1" w:styleId="Ttulo3Car">
    <w:name w:val="Título 3 Car"/>
    <w:basedOn w:val="Fuentedeprrafopredeter"/>
    <w:link w:val="Ttulo3"/>
    <w:uiPriority w:val="9"/>
    <w:rsid w:val="76E3AB01"/>
    <w:rPr>
      <w:rFonts w:asciiTheme="majorHAnsi" w:eastAsiaTheme="majorEastAsia" w:hAnsiTheme="majorHAnsi" w:cstheme="majorBidi"/>
      <w:noProof w:val="0"/>
      <w:color w:val="1F3763"/>
      <w:sz w:val="24"/>
      <w:szCs w:val="24"/>
      <w:lang w:val="es-AR"/>
    </w:rPr>
  </w:style>
  <w:style w:type="character" w:customStyle="1" w:styleId="Ttulo4Car">
    <w:name w:val="Título 4 Car"/>
    <w:basedOn w:val="Fuentedeprrafopredeter"/>
    <w:link w:val="Ttulo4"/>
    <w:uiPriority w:val="9"/>
    <w:rsid w:val="76E3AB01"/>
    <w:rPr>
      <w:rFonts w:asciiTheme="majorHAnsi" w:eastAsiaTheme="majorEastAsia" w:hAnsiTheme="majorHAnsi" w:cstheme="majorBidi"/>
      <w:i/>
      <w:iCs/>
      <w:noProof w:val="0"/>
      <w:color w:val="2F5496" w:themeColor="accent1" w:themeShade="BF"/>
      <w:lang w:val="es-AR"/>
    </w:rPr>
  </w:style>
  <w:style w:type="character" w:customStyle="1" w:styleId="Ttulo5Car">
    <w:name w:val="Título 5 Car"/>
    <w:basedOn w:val="Fuentedeprrafopredeter"/>
    <w:link w:val="Ttulo5"/>
    <w:uiPriority w:val="9"/>
    <w:rsid w:val="76E3AB01"/>
    <w:rPr>
      <w:rFonts w:asciiTheme="majorHAnsi" w:eastAsiaTheme="majorEastAsia" w:hAnsiTheme="majorHAnsi" w:cstheme="majorBidi"/>
      <w:noProof w:val="0"/>
      <w:color w:val="2F5496" w:themeColor="accent1" w:themeShade="BF"/>
      <w:lang w:val="es-AR"/>
    </w:rPr>
  </w:style>
  <w:style w:type="character" w:customStyle="1" w:styleId="Ttulo6Car">
    <w:name w:val="Título 6 Car"/>
    <w:basedOn w:val="Fuentedeprrafopredeter"/>
    <w:link w:val="Ttulo6"/>
    <w:uiPriority w:val="9"/>
    <w:rsid w:val="76E3AB01"/>
    <w:rPr>
      <w:rFonts w:asciiTheme="majorHAnsi" w:eastAsiaTheme="majorEastAsia" w:hAnsiTheme="majorHAnsi" w:cstheme="majorBidi"/>
      <w:noProof w:val="0"/>
      <w:color w:val="1F3763"/>
      <w:lang w:val="es-AR"/>
    </w:rPr>
  </w:style>
  <w:style w:type="character" w:customStyle="1" w:styleId="Ttulo7Car">
    <w:name w:val="Título 7 Car"/>
    <w:basedOn w:val="Fuentedeprrafopredeter"/>
    <w:link w:val="Ttulo7"/>
    <w:uiPriority w:val="9"/>
    <w:rsid w:val="76E3AB01"/>
    <w:rPr>
      <w:rFonts w:asciiTheme="majorHAnsi" w:eastAsiaTheme="majorEastAsia" w:hAnsiTheme="majorHAnsi" w:cstheme="majorBidi"/>
      <w:i/>
      <w:iCs/>
      <w:noProof w:val="0"/>
      <w:color w:val="1F3763"/>
      <w:lang w:val="es-AR"/>
    </w:rPr>
  </w:style>
  <w:style w:type="character" w:customStyle="1" w:styleId="Ttulo8Car">
    <w:name w:val="Título 8 Car"/>
    <w:basedOn w:val="Fuentedeprrafopredeter"/>
    <w:link w:val="Ttulo8"/>
    <w:uiPriority w:val="9"/>
    <w:rsid w:val="76E3AB01"/>
    <w:rPr>
      <w:rFonts w:asciiTheme="majorHAnsi" w:eastAsiaTheme="majorEastAsia" w:hAnsiTheme="majorHAnsi" w:cstheme="majorBidi"/>
      <w:noProof w:val="0"/>
      <w:color w:val="272727"/>
      <w:sz w:val="21"/>
      <w:szCs w:val="21"/>
      <w:lang w:val="es-AR"/>
    </w:rPr>
  </w:style>
  <w:style w:type="character" w:customStyle="1" w:styleId="Ttulo9Car">
    <w:name w:val="Título 9 Car"/>
    <w:basedOn w:val="Fuentedeprrafopredeter"/>
    <w:link w:val="Ttulo9"/>
    <w:uiPriority w:val="9"/>
    <w:rsid w:val="76E3AB01"/>
    <w:rPr>
      <w:rFonts w:asciiTheme="majorHAnsi" w:eastAsiaTheme="majorEastAsia" w:hAnsiTheme="majorHAnsi" w:cstheme="majorBidi"/>
      <w:i/>
      <w:iCs/>
      <w:noProof w:val="0"/>
      <w:color w:val="272727"/>
      <w:sz w:val="21"/>
      <w:szCs w:val="21"/>
      <w:lang w:val="es-AR"/>
    </w:rPr>
  </w:style>
  <w:style w:type="character" w:customStyle="1" w:styleId="TtuloCar">
    <w:name w:val="Título Car"/>
    <w:basedOn w:val="Fuentedeprrafopredeter"/>
    <w:link w:val="Ttulo"/>
    <w:uiPriority w:val="10"/>
    <w:rsid w:val="76E3AB01"/>
    <w:rPr>
      <w:rFonts w:asciiTheme="majorHAnsi" w:eastAsiaTheme="majorEastAsia" w:hAnsiTheme="majorHAnsi" w:cstheme="majorBidi"/>
      <w:noProof w:val="0"/>
      <w:sz w:val="56"/>
      <w:szCs w:val="56"/>
      <w:lang w:val="es-AR"/>
    </w:rPr>
  </w:style>
  <w:style w:type="character" w:customStyle="1" w:styleId="SubttuloCar">
    <w:name w:val="Subtítulo Car"/>
    <w:basedOn w:val="Fuentedeprrafopredeter"/>
    <w:link w:val="Subttulo"/>
    <w:uiPriority w:val="11"/>
    <w:rsid w:val="76E3AB01"/>
    <w:rPr>
      <w:rFonts w:asciiTheme="minorHAnsi" w:eastAsiaTheme="minorEastAsia" w:hAnsiTheme="minorHAnsi" w:cstheme="minorBidi"/>
      <w:noProof w:val="0"/>
      <w:color w:val="5A5A5A"/>
      <w:lang w:val="es-AR"/>
    </w:rPr>
  </w:style>
  <w:style w:type="character" w:customStyle="1" w:styleId="CitaCar">
    <w:name w:val="Cita Car"/>
    <w:basedOn w:val="Fuentedeprrafopredeter"/>
    <w:link w:val="Cita"/>
    <w:uiPriority w:val="29"/>
    <w:rsid w:val="76E3AB01"/>
    <w:rPr>
      <w:i/>
      <w:iCs/>
      <w:noProof w:val="0"/>
      <w:color w:val="404040" w:themeColor="text1" w:themeTint="BF"/>
      <w:lang w:val="es-AR"/>
    </w:rPr>
  </w:style>
  <w:style w:type="character" w:customStyle="1" w:styleId="CitadestacadaCar">
    <w:name w:val="Cita destacada Car"/>
    <w:basedOn w:val="Fuentedeprrafopredeter"/>
    <w:link w:val="Citadestacada"/>
    <w:uiPriority w:val="30"/>
    <w:rsid w:val="76E3AB01"/>
    <w:rPr>
      <w:i/>
      <w:iCs/>
      <w:noProof w:val="0"/>
      <w:color w:val="4472C4" w:themeColor="accent1"/>
      <w:lang w:val="es-AR"/>
    </w:rPr>
  </w:style>
  <w:style w:type="paragraph" w:styleId="TDC3">
    <w:name w:val="toc 3"/>
    <w:basedOn w:val="Normal"/>
    <w:next w:val="Normal"/>
    <w:uiPriority w:val="39"/>
    <w:unhideWhenUsed/>
    <w:rsid w:val="76E3AB01"/>
    <w:pPr>
      <w:spacing w:after="100"/>
      <w:ind w:left="440"/>
    </w:pPr>
  </w:style>
  <w:style w:type="paragraph" w:styleId="TDC4">
    <w:name w:val="toc 4"/>
    <w:basedOn w:val="Normal"/>
    <w:next w:val="Normal"/>
    <w:uiPriority w:val="39"/>
    <w:unhideWhenUsed/>
    <w:rsid w:val="76E3AB01"/>
    <w:pPr>
      <w:spacing w:after="100"/>
      <w:ind w:left="660"/>
    </w:pPr>
  </w:style>
  <w:style w:type="paragraph" w:styleId="TDC5">
    <w:name w:val="toc 5"/>
    <w:basedOn w:val="Normal"/>
    <w:next w:val="Normal"/>
    <w:uiPriority w:val="39"/>
    <w:unhideWhenUsed/>
    <w:rsid w:val="76E3AB01"/>
    <w:pPr>
      <w:spacing w:after="100"/>
      <w:ind w:left="880"/>
    </w:pPr>
  </w:style>
  <w:style w:type="paragraph" w:styleId="TDC6">
    <w:name w:val="toc 6"/>
    <w:basedOn w:val="Normal"/>
    <w:next w:val="Normal"/>
    <w:uiPriority w:val="39"/>
    <w:unhideWhenUsed/>
    <w:rsid w:val="76E3AB01"/>
    <w:pPr>
      <w:spacing w:after="100"/>
      <w:ind w:left="1100"/>
    </w:pPr>
  </w:style>
  <w:style w:type="paragraph" w:styleId="TDC7">
    <w:name w:val="toc 7"/>
    <w:basedOn w:val="Normal"/>
    <w:next w:val="Normal"/>
    <w:uiPriority w:val="39"/>
    <w:unhideWhenUsed/>
    <w:rsid w:val="76E3AB01"/>
    <w:pPr>
      <w:spacing w:after="100"/>
      <w:ind w:left="1320"/>
    </w:pPr>
  </w:style>
  <w:style w:type="paragraph" w:styleId="TDC8">
    <w:name w:val="toc 8"/>
    <w:basedOn w:val="Normal"/>
    <w:next w:val="Normal"/>
    <w:uiPriority w:val="39"/>
    <w:unhideWhenUsed/>
    <w:rsid w:val="76E3AB01"/>
    <w:pPr>
      <w:spacing w:after="100"/>
      <w:ind w:left="1540"/>
    </w:pPr>
  </w:style>
  <w:style w:type="paragraph" w:styleId="TDC9">
    <w:name w:val="toc 9"/>
    <w:basedOn w:val="Normal"/>
    <w:next w:val="Normal"/>
    <w:uiPriority w:val="39"/>
    <w:unhideWhenUsed/>
    <w:rsid w:val="76E3AB01"/>
    <w:pPr>
      <w:spacing w:after="100"/>
      <w:ind w:left="1760"/>
    </w:pPr>
  </w:style>
  <w:style w:type="paragraph" w:styleId="Textonotaalfinal">
    <w:name w:val="endnote text"/>
    <w:basedOn w:val="Normal"/>
    <w:link w:val="TextonotaalfinalCar"/>
    <w:uiPriority w:val="99"/>
    <w:semiHidden/>
    <w:unhideWhenUsed/>
    <w:rsid w:val="76E3AB01"/>
    <w:pPr>
      <w:spacing w:after="0"/>
    </w:pPr>
    <w:rPr>
      <w:sz w:val="20"/>
      <w:szCs w:val="20"/>
    </w:rPr>
  </w:style>
  <w:style w:type="character" w:customStyle="1" w:styleId="TextonotaalfinalCar">
    <w:name w:val="Texto nota al final Car"/>
    <w:basedOn w:val="Fuentedeprrafopredeter"/>
    <w:link w:val="Textonotaalfinal"/>
    <w:uiPriority w:val="99"/>
    <w:semiHidden/>
    <w:rsid w:val="76E3AB01"/>
    <w:rPr>
      <w:noProof w:val="0"/>
      <w:sz w:val="20"/>
      <w:szCs w:val="20"/>
      <w:lang w:val="es-AR"/>
    </w:rPr>
  </w:style>
  <w:style w:type="paragraph" w:styleId="Textonotapie">
    <w:name w:val="footnote text"/>
    <w:basedOn w:val="Normal"/>
    <w:link w:val="TextonotapieCar"/>
    <w:uiPriority w:val="99"/>
    <w:semiHidden/>
    <w:unhideWhenUsed/>
    <w:rsid w:val="76E3AB01"/>
    <w:pPr>
      <w:spacing w:after="0"/>
    </w:pPr>
    <w:rPr>
      <w:sz w:val="20"/>
      <w:szCs w:val="20"/>
    </w:rPr>
  </w:style>
  <w:style w:type="character" w:customStyle="1" w:styleId="TextonotapieCar">
    <w:name w:val="Texto nota pie Car"/>
    <w:basedOn w:val="Fuentedeprrafopredeter"/>
    <w:link w:val="Textonotapie"/>
    <w:uiPriority w:val="99"/>
    <w:semiHidden/>
    <w:rsid w:val="76E3AB01"/>
    <w:rPr>
      <w:noProof w:val="0"/>
      <w:sz w:val="20"/>
      <w:szCs w:val="20"/>
      <w:lang w:val="es-AR"/>
    </w:rPr>
  </w:style>
  <w:style w:type="character" w:customStyle="1" w:styleId="normaltextrun">
    <w:name w:val="normaltextrun"/>
    <w:basedOn w:val="Fuentedeprrafopredeter"/>
    <w:rsid w:val="0086608D"/>
  </w:style>
  <w:style w:type="character" w:customStyle="1" w:styleId="eop">
    <w:name w:val="eop"/>
    <w:basedOn w:val="Fuentedeprrafopredeter"/>
    <w:rsid w:val="0086608D"/>
  </w:style>
  <w:style w:type="paragraph" w:styleId="Revisin">
    <w:name w:val="Revision"/>
    <w:hidden/>
    <w:uiPriority w:val="99"/>
    <w:semiHidden/>
    <w:rsid w:val="00CE6308"/>
    <w:pPr>
      <w:spacing w:after="0" w:line="240" w:lineRule="auto"/>
    </w:pPr>
    <w:rPr>
      <w:lang w:val="es-AR"/>
    </w:rPr>
  </w:style>
  <w:style w:type="table" w:styleId="Tablaconcuadrcula">
    <w:name w:val="Table Grid"/>
    <w:basedOn w:val="Tablanormal"/>
    <w:uiPriority w:val="39"/>
    <w:rsid w:val="002F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55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5537"/>
    <w:rPr>
      <w:rFonts w:ascii="Segoe UI" w:hAnsi="Segoe UI" w:cs="Segoe UI"/>
      <w:sz w:val="18"/>
      <w:szCs w:val="18"/>
      <w:lang w:val="es-AR"/>
    </w:rPr>
  </w:style>
  <w:style w:type="character" w:styleId="Refdenotaalpie">
    <w:name w:val="footnote reference"/>
    <w:basedOn w:val="Fuentedeprrafopredeter"/>
    <w:uiPriority w:val="99"/>
    <w:semiHidden/>
    <w:unhideWhenUsed/>
    <w:rsid w:val="00302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5914">
      <w:bodyDiv w:val="1"/>
      <w:marLeft w:val="0"/>
      <w:marRight w:val="0"/>
      <w:marTop w:val="0"/>
      <w:marBottom w:val="0"/>
      <w:divBdr>
        <w:top w:val="none" w:sz="0" w:space="0" w:color="auto"/>
        <w:left w:val="none" w:sz="0" w:space="0" w:color="auto"/>
        <w:bottom w:val="none" w:sz="0" w:space="0" w:color="auto"/>
        <w:right w:val="none" w:sz="0" w:space="0" w:color="auto"/>
      </w:divBdr>
    </w:div>
    <w:div w:id="204490074">
      <w:bodyDiv w:val="1"/>
      <w:marLeft w:val="0"/>
      <w:marRight w:val="0"/>
      <w:marTop w:val="0"/>
      <w:marBottom w:val="0"/>
      <w:divBdr>
        <w:top w:val="none" w:sz="0" w:space="0" w:color="auto"/>
        <w:left w:val="none" w:sz="0" w:space="0" w:color="auto"/>
        <w:bottom w:val="none" w:sz="0" w:space="0" w:color="auto"/>
        <w:right w:val="none" w:sz="0" w:space="0" w:color="auto"/>
      </w:divBdr>
    </w:div>
    <w:div w:id="428046314">
      <w:bodyDiv w:val="1"/>
      <w:marLeft w:val="0"/>
      <w:marRight w:val="0"/>
      <w:marTop w:val="0"/>
      <w:marBottom w:val="0"/>
      <w:divBdr>
        <w:top w:val="none" w:sz="0" w:space="0" w:color="auto"/>
        <w:left w:val="none" w:sz="0" w:space="0" w:color="auto"/>
        <w:bottom w:val="none" w:sz="0" w:space="0" w:color="auto"/>
        <w:right w:val="none" w:sz="0" w:space="0" w:color="auto"/>
      </w:divBdr>
    </w:div>
    <w:div w:id="949513380">
      <w:bodyDiv w:val="1"/>
      <w:marLeft w:val="0"/>
      <w:marRight w:val="0"/>
      <w:marTop w:val="0"/>
      <w:marBottom w:val="0"/>
      <w:divBdr>
        <w:top w:val="none" w:sz="0" w:space="0" w:color="auto"/>
        <w:left w:val="none" w:sz="0" w:space="0" w:color="auto"/>
        <w:bottom w:val="none" w:sz="0" w:space="0" w:color="auto"/>
        <w:right w:val="none" w:sz="0" w:space="0" w:color="auto"/>
      </w:divBdr>
    </w:div>
    <w:div w:id="952249831">
      <w:bodyDiv w:val="1"/>
      <w:marLeft w:val="0"/>
      <w:marRight w:val="0"/>
      <w:marTop w:val="0"/>
      <w:marBottom w:val="0"/>
      <w:divBdr>
        <w:top w:val="none" w:sz="0" w:space="0" w:color="auto"/>
        <w:left w:val="none" w:sz="0" w:space="0" w:color="auto"/>
        <w:bottom w:val="none" w:sz="0" w:space="0" w:color="auto"/>
        <w:right w:val="none" w:sz="0" w:space="0" w:color="auto"/>
      </w:divBdr>
    </w:div>
    <w:div w:id="963196150">
      <w:bodyDiv w:val="1"/>
      <w:marLeft w:val="0"/>
      <w:marRight w:val="0"/>
      <w:marTop w:val="0"/>
      <w:marBottom w:val="0"/>
      <w:divBdr>
        <w:top w:val="none" w:sz="0" w:space="0" w:color="auto"/>
        <w:left w:val="none" w:sz="0" w:space="0" w:color="auto"/>
        <w:bottom w:val="none" w:sz="0" w:space="0" w:color="auto"/>
        <w:right w:val="none" w:sz="0" w:space="0" w:color="auto"/>
      </w:divBdr>
    </w:div>
    <w:div w:id="1357269333">
      <w:bodyDiv w:val="1"/>
      <w:marLeft w:val="0"/>
      <w:marRight w:val="0"/>
      <w:marTop w:val="0"/>
      <w:marBottom w:val="0"/>
      <w:divBdr>
        <w:top w:val="none" w:sz="0" w:space="0" w:color="auto"/>
        <w:left w:val="none" w:sz="0" w:space="0" w:color="auto"/>
        <w:bottom w:val="none" w:sz="0" w:space="0" w:color="auto"/>
        <w:right w:val="none" w:sz="0" w:space="0" w:color="auto"/>
      </w:divBdr>
    </w:div>
    <w:div w:id="1479031351">
      <w:bodyDiv w:val="1"/>
      <w:marLeft w:val="0"/>
      <w:marRight w:val="0"/>
      <w:marTop w:val="0"/>
      <w:marBottom w:val="0"/>
      <w:divBdr>
        <w:top w:val="none" w:sz="0" w:space="0" w:color="auto"/>
        <w:left w:val="none" w:sz="0" w:space="0" w:color="auto"/>
        <w:bottom w:val="none" w:sz="0" w:space="0" w:color="auto"/>
        <w:right w:val="none" w:sz="0" w:space="0" w:color="auto"/>
      </w:divBdr>
    </w:div>
    <w:div w:id="1652447212">
      <w:bodyDiv w:val="1"/>
      <w:marLeft w:val="0"/>
      <w:marRight w:val="0"/>
      <w:marTop w:val="0"/>
      <w:marBottom w:val="0"/>
      <w:divBdr>
        <w:top w:val="none" w:sz="0" w:space="0" w:color="auto"/>
        <w:left w:val="none" w:sz="0" w:space="0" w:color="auto"/>
        <w:bottom w:val="none" w:sz="0" w:space="0" w:color="auto"/>
        <w:right w:val="none" w:sz="0" w:space="0" w:color="auto"/>
      </w:divBdr>
    </w:div>
    <w:div w:id="1807776975">
      <w:bodyDiv w:val="1"/>
      <w:marLeft w:val="0"/>
      <w:marRight w:val="0"/>
      <w:marTop w:val="0"/>
      <w:marBottom w:val="0"/>
      <w:divBdr>
        <w:top w:val="none" w:sz="0" w:space="0" w:color="auto"/>
        <w:left w:val="none" w:sz="0" w:space="0" w:color="auto"/>
        <w:bottom w:val="none" w:sz="0" w:space="0" w:color="auto"/>
        <w:right w:val="none" w:sz="0" w:space="0" w:color="auto"/>
      </w:divBdr>
    </w:div>
    <w:div w:id="202239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0d50c7d0ef7c446/Documentos/Facultad/2022/Proyecto%20Horas%20externas/Bases%202/Salidas%20gino%20germani%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'[Salidas gino germani 3.xlsx]DISTRIBUCION (2)'!$A$4</c:f>
              <c:strCache>
                <c:ptCount val="1"/>
                <c:pt idx="0">
                  <c:v>Empleadores/as y TCP formales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'[Salidas gino germani 3.xlsx]DISTRIBUCION (2)'!$B$2:$J$3</c:f>
              <c:multiLvlStrCache>
                <c:ptCount val="9"/>
                <c:lvl>
                  <c:pt idx="0">
                    <c:v>2019 IIIT</c:v>
                  </c:pt>
                  <c:pt idx="1">
                    <c:v>2020 IIIT</c:v>
                  </c:pt>
                  <c:pt idx="2">
                    <c:v>2021 IIIT</c:v>
                  </c:pt>
                  <c:pt idx="3">
                    <c:v>2019 IIIT</c:v>
                  </c:pt>
                  <c:pt idx="4">
                    <c:v>2020 IIIT</c:v>
                  </c:pt>
                  <c:pt idx="5">
                    <c:v>2021 IIIT</c:v>
                  </c:pt>
                  <c:pt idx="6">
                    <c:v>2019 IIIT</c:v>
                  </c:pt>
                  <c:pt idx="7">
                    <c:v>2020 IIIT</c:v>
                  </c:pt>
                  <c:pt idx="8">
                    <c:v>2021 IIIT</c:v>
                  </c:pt>
                </c:lvl>
                <c:lvl>
                  <c:pt idx="0">
                    <c:v>Total</c:v>
                  </c:pt>
                  <c:pt idx="3">
                    <c:v>Varón</c:v>
                  </c:pt>
                  <c:pt idx="6">
                    <c:v>Mujer</c:v>
                  </c:pt>
                </c:lvl>
              </c:multiLvlStrCache>
            </c:multiLvlStrRef>
          </c:cat>
          <c:val>
            <c:numRef>
              <c:f>'[Salidas gino germani 3.xlsx]DISTRIBUCION (2)'!$B$4:$J$4</c:f>
              <c:numCache>
                <c:formatCode>###0.0%</c:formatCode>
                <c:ptCount val="9"/>
                <c:pt idx="0">
                  <c:v>7.135756972656096E-2</c:v>
                </c:pt>
                <c:pt idx="1">
                  <c:v>5.0902621535566565E-2</c:v>
                </c:pt>
                <c:pt idx="2">
                  <c:v>6.3671898366380361E-2</c:v>
                </c:pt>
                <c:pt idx="3">
                  <c:v>7.9122376103261449E-2</c:v>
                </c:pt>
                <c:pt idx="4">
                  <c:v>5.4262131593116186E-2</c:v>
                </c:pt>
                <c:pt idx="5">
                  <c:v>7.0379791193517824E-2</c:v>
                </c:pt>
                <c:pt idx="6">
                  <c:v>5.8036324113723774E-2</c:v>
                </c:pt>
                <c:pt idx="7">
                  <c:v>4.588635844845429E-2</c:v>
                </c:pt>
                <c:pt idx="8">
                  <c:v>5.2582697232708836E-2</c:v>
                </c:pt>
              </c:numCache>
            </c:numRef>
          </c:val>
          <c:extLst>
            <c:ext xmlns:c16="http://schemas.microsoft.com/office/drawing/2014/chart" uri="{C3380CC4-5D6E-409C-BE32-E72D297353CC}">
              <c16:uniqueId val="{00000000-C125-457F-8252-79DE48A85665}"/>
            </c:ext>
          </c:extLst>
        </c:ser>
        <c:ser>
          <c:idx val="1"/>
          <c:order val="1"/>
          <c:tx>
            <c:strRef>
              <c:f>'[Salidas gino germani 3.xlsx]DISTRIBUCION (2)'!$A$5</c:f>
              <c:strCache>
                <c:ptCount val="1"/>
                <c:pt idx="0">
                  <c:v>Asalariados/as formales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'[Salidas gino germani 3.xlsx]DISTRIBUCION (2)'!$B$2:$J$3</c:f>
              <c:multiLvlStrCache>
                <c:ptCount val="9"/>
                <c:lvl>
                  <c:pt idx="0">
                    <c:v>2019 IIIT</c:v>
                  </c:pt>
                  <c:pt idx="1">
                    <c:v>2020 IIIT</c:v>
                  </c:pt>
                  <c:pt idx="2">
                    <c:v>2021 IIIT</c:v>
                  </c:pt>
                  <c:pt idx="3">
                    <c:v>2019 IIIT</c:v>
                  </c:pt>
                  <c:pt idx="4">
                    <c:v>2020 IIIT</c:v>
                  </c:pt>
                  <c:pt idx="5">
                    <c:v>2021 IIIT</c:v>
                  </c:pt>
                  <c:pt idx="6">
                    <c:v>2019 IIIT</c:v>
                  </c:pt>
                  <c:pt idx="7">
                    <c:v>2020 IIIT</c:v>
                  </c:pt>
                  <c:pt idx="8">
                    <c:v>2021 IIIT</c:v>
                  </c:pt>
                </c:lvl>
                <c:lvl>
                  <c:pt idx="0">
                    <c:v>Total</c:v>
                  </c:pt>
                  <c:pt idx="3">
                    <c:v>Varón</c:v>
                  </c:pt>
                  <c:pt idx="6">
                    <c:v>Mujer</c:v>
                  </c:pt>
                </c:lvl>
              </c:multiLvlStrCache>
            </c:multiLvlStrRef>
          </c:cat>
          <c:val>
            <c:numRef>
              <c:f>'[Salidas gino germani 3.xlsx]DISTRIBUCION (2)'!$B$5:$J$5</c:f>
              <c:numCache>
                <c:formatCode>###0.0%</c:formatCode>
                <c:ptCount val="9"/>
                <c:pt idx="0">
                  <c:v>0.51972874850322026</c:v>
                </c:pt>
                <c:pt idx="1">
                  <c:v>0.52404919972668274</c:v>
                </c:pt>
                <c:pt idx="2">
                  <c:v>0.54220074737545421</c:v>
                </c:pt>
                <c:pt idx="3">
                  <c:v>0.5310126982148784</c:v>
                </c:pt>
                <c:pt idx="4">
                  <c:v>0.56067970595908312</c:v>
                </c:pt>
                <c:pt idx="5">
                  <c:v>0.56068068424880602</c:v>
                </c:pt>
                <c:pt idx="6">
                  <c:v>0.50037008605892941</c:v>
                </c:pt>
                <c:pt idx="7">
                  <c:v>0.46935424328120073</c:v>
                </c:pt>
                <c:pt idx="8">
                  <c:v>0.51165050720210381</c:v>
                </c:pt>
              </c:numCache>
            </c:numRef>
          </c:val>
          <c:extLst>
            <c:ext xmlns:c16="http://schemas.microsoft.com/office/drawing/2014/chart" uri="{C3380CC4-5D6E-409C-BE32-E72D297353CC}">
              <c16:uniqueId val="{00000001-C125-457F-8252-79DE48A85665}"/>
            </c:ext>
          </c:extLst>
        </c:ser>
        <c:ser>
          <c:idx val="2"/>
          <c:order val="2"/>
          <c:tx>
            <c:strRef>
              <c:f>'[Salidas gino germani 3.xlsx]DISTRIBUCION (2)'!$A$6</c:f>
              <c:strCache>
                <c:ptCount val="1"/>
                <c:pt idx="0">
                  <c:v>Microempresarios/as y TCP informales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'[Salidas gino germani 3.xlsx]DISTRIBUCION (2)'!$B$2:$J$3</c:f>
              <c:multiLvlStrCache>
                <c:ptCount val="9"/>
                <c:lvl>
                  <c:pt idx="0">
                    <c:v>2019 IIIT</c:v>
                  </c:pt>
                  <c:pt idx="1">
                    <c:v>2020 IIIT</c:v>
                  </c:pt>
                  <c:pt idx="2">
                    <c:v>2021 IIIT</c:v>
                  </c:pt>
                  <c:pt idx="3">
                    <c:v>2019 IIIT</c:v>
                  </c:pt>
                  <c:pt idx="4">
                    <c:v>2020 IIIT</c:v>
                  </c:pt>
                  <c:pt idx="5">
                    <c:v>2021 IIIT</c:v>
                  </c:pt>
                  <c:pt idx="6">
                    <c:v>2019 IIIT</c:v>
                  </c:pt>
                  <c:pt idx="7">
                    <c:v>2020 IIIT</c:v>
                  </c:pt>
                  <c:pt idx="8">
                    <c:v>2021 IIIT</c:v>
                  </c:pt>
                </c:lvl>
                <c:lvl>
                  <c:pt idx="0">
                    <c:v>Total</c:v>
                  </c:pt>
                  <c:pt idx="3">
                    <c:v>Varón</c:v>
                  </c:pt>
                  <c:pt idx="6">
                    <c:v>Mujer</c:v>
                  </c:pt>
                </c:lvl>
              </c:multiLvlStrCache>
            </c:multiLvlStrRef>
          </c:cat>
          <c:val>
            <c:numRef>
              <c:f>'[Salidas gino germani 3.xlsx]DISTRIBUCION (2)'!$B$6:$J$6</c:f>
              <c:numCache>
                <c:formatCode>###0.0%</c:formatCode>
                <c:ptCount val="9"/>
                <c:pt idx="0">
                  <c:v>0.16850289513540562</c:v>
                </c:pt>
                <c:pt idx="1">
                  <c:v>0.17183336563025148</c:v>
                </c:pt>
                <c:pt idx="2">
                  <c:v>0.16936240788910006</c:v>
                </c:pt>
                <c:pt idx="3">
                  <c:v>0.19428887573370482</c:v>
                </c:pt>
                <c:pt idx="4">
                  <c:v>0.19410757138707274</c:v>
                </c:pt>
                <c:pt idx="5">
                  <c:v>0.19715580111401054</c:v>
                </c:pt>
                <c:pt idx="6">
                  <c:v>0.12426465347769558</c:v>
                </c:pt>
                <c:pt idx="7">
                  <c:v>0.13857456472813792</c:v>
                </c:pt>
                <c:pt idx="8">
                  <c:v>0.12341556055555776</c:v>
                </c:pt>
              </c:numCache>
            </c:numRef>
          </c:val>
          <c:extLst>
            <c:ext xmlns:c16="http://schemas.microsoft.com/office/drawing/2014/chart" uri="{C3380CC4-5D6E-409C-BE32-E72D297353CC}">
              <c16:uniqueId val="{00000002-C125-457F-8252-79DE48A85665}"/>
            </c:ext>
          </c:extLst>
        </c:ser>
        <c:ser>
          <c:idx val="3"/>
          <c:order val="3"/>
          <c:tx>
            <c:strRef>
              <c:f>'[Salidas gino germani 3.xlsx]DISTRIBUCION (2)'!$A$7</c:f>
              <c:strCache>
                <c:ptCount val="1"/>
                <c:pt idx="0">
                  <c:v>Asalariados/as informales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'[Salidas gino germani 3.xlsx]DISTRIBUCION (2)'!$B$2:$J$3</c:f>
              <c:multiLvlStrCache>
                <c:ptCount val="9"/>
                <c:lvl>
                  <c:pt idx="0">
                    <c:v>2019 IIIT</c:v>
                  </c:pt>
                  <c:pt idx="1">
                    <c:v>2020 IIIT</c:v>
                  </c:pt>
                  <c:pt idx="2">
                    <c:v>2021 IIIT</c:v>
                  </c:pt>
                  <c:pt idx="3">
                    <c:v>2019 IIIT</c:v>
                  </c:pt>
                  <c:pt idx="4">
                    <c:v>2020 IIIT</c:v>
                  </c:pt>
                  <c:pt idx="5">
                    <c:v>2021 IIIT</c:v>
                  </c:pt>
                  <c:pt idx="6">
                    <c:v>2019 IIIT</c:v>
                  </c:pt>
                  <c:pt idx="7">
                    <c:v>2020 IIIT</c:v>
                  </c:pt>
                  <c:pt idx="8">
                    <c:v>2021 IIIT</c:v>
                  </c:pt>
                </c:lvl>
                <c:lvl>
                  <c:pt idx="0">
                    <c:v>Total</c:v>
                  </c:pt>
                  <c:pt idx="3">
                    <c:v>Varón</c:v>
                  </c:pt>
                  <c:pt idx="6">
                    <c:v>Mujer</c:v>
                  </c:pt>
                </c:lvl>
              </c:multiLvlStrCache>
            </c:multiLvlStrRef>
          </c:cat>
          <c:val>
            <c:numRef>
              <c:f>'[Salidas gino germani 3.xlsx]DISTRIBUCION (2)'!$B$7:$J$7</c:f>
              <c:numCache>
                <c:formatCode>###0.0%</c:formatCode>
                <c:ptCount val="9"/>
                <c:pt idx="0">
                  <c:v>0.19416202369691393</c:v>
                </c:pt>
                <c:pt idx="1">
                  <c:v>0.16182736934603625</c:v>
                </c:pt>
                <c:pt idx="2">
                  <c:v>0.18701030772973801</c:v>
                </c:pt>
                <c:pt idx="3">
                  <c:v>0.17370858496951008</c:v>
                </c:pt>
                <c:pt idx="4">
                  <c:v>0.13613523624851728</c:v>
                </c:pt>
                <c:pt idx="5">
                  <c:v>0.15320195697690156</c:v>
                </c:pt>
                <c:pt idx="6">
                  <c:v>0.22925179512154625</c:v>
                </c:pt>
                <c:pt idx="7">
                  <c:v>0.20018965928669114</c:v>
                </c:pt>
                <c:pt idx="8">
                  <c:v>0.24290082523758849</c:v>
                </c:pt>
              </c:numCache>
            </c:numRef>
          </c:val>
          <c:extLst>
            <c:ext xmlns:c16="http://schemas.microsoft.com/office/drawing/2014/chart" uri="{C3380CC4-5D6E-409C-BE32-E72D297353CC}">
              <c16:uniqueId val="{00000003-C125-457F-8252-79DE48A85665}"/>
            </c:ext>
          </c:extLst>
        </c:ser>
        <c:ser>
          <c:idx val="4"/>
          <c:order val="4"/>
          <c:tx>
            <c:strRef>
              <c:f>'[Salidas gino germani 3.xlsx]DISTRIBUCION (2)'!$A$8</c:f>
              <c:strCache>
                <c:ptCount val="1"/>
                <c:pt idx="0">
                  <c:v>Desocupados sin ocupación anterior e inactivos desalentados / Otros inactivos</c:v>
                </c:pt>
              </c:strCache>
            </c:strRef>
          </c:tx>
          <c:spPr>
            <a:solidFill>
              <a:schemeClr val="accent5"/>
            </a:solidFill>
            <a:ln>
              <a:noFill/>
            </a:ln>
            <a:effectLst/>
          </c:spPr>
          <c:invertIfNegative val="0"/>
          <c:dLbls>
            <c:dLbl>
              <c:idx val="0"/>
              <c:layout>
                <c:manualLayout>
                  <c:x val="-1.7488632388947345E-3"/>
                  <c:y val="9.433962264150936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25-457F-8252-79DE48A85665}"/>
                </c:ext>
              </c:extLst>
            </c:dLbl>
            <c:dLbl>
              <c:idx val="2"/>
              <c:layout>
                <c:manualLayout>
                  <c:x val="0"/>
                  <c:y val="9.43396226415094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25-457F-8252-79DE48A856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'[Salidas gino germani 3.xlsx]DISTRIBUCION (2)'!$B$2:$J$3</c:f>
              <c:multiLvlStrCache>
                <c:ptCount val="9"/>
                <c:lvl>
                  <c:pt idx="0">
                    <c:v>2019 IIIT</c:v>
                  </c:pt>
                  <c:pt idx="1">
                    <c:v>2020 IIIT</c:v>
                  </c:pt>
                  <c:pt idx="2">
                    <c:v>2021 IIIT</c:v>
                  </c:pt>
                  <c:pt idx="3">
                    <c:v>2019 IIIT</c:v>
                  </c:pt>
                  <c:pt idx="4">
                    <c:v>2020 IIIT</c:v>
                  </c:pt>
                  <c:pt idx="5">
                    <c:v>2021 IIIT</c:v>
                  </c:pt>
                  <c:pt idx="6">
                    <c:v>2019 IIIT</c:v>
                  </c:pt>
                  <c:pt idx="7">
                    <c:v>2020 IIIT</c:v>
                  </c:pt>
                  <c:pt idx="8">
                    <c:v>2021 IIIT</c:v>
                  </c:pt>
                </c:lvl>
                <c:lvl>
                  <c:pt idx="0">
                    <c:v>Total</c:v>
                  </c:pt>
                  <c:pt idx="3">
                    <c:v>Varón</c:v>
                  </c:pt>
                  <c:pt idx="6">
                    <c:v>Mujer</c:v>
                  </c:pt>
                </c:lvl>
              </c:multiLvlStrCache>
            </c:multiLvlStrRef>
          </c:cat>
          <c:val>
            <c:numRef>
              <c:f>'[Salidas gino germani 3.xlsx]DISTRIBUCION (2)'!$B$8:$J$8</c:f>
              <c:numCache>
                <c:formatCode>###0.0%</c:formatCode>
                <c:ptCount val="9"/>
                <c:pt idx="0">
                  <c:v>4.6248762937892353E-2</c:v>
                </c:pt>
                <c:pt idx="1">
                  <c:v>9.1387443761460768E-2</c:v>
                </c:pt>
                <c:pt idx="2">
                  <c:v>3.7754638639327105E-2</c:v>
                </c:pt>
                <c:pt idx="3">
                  <c:v>2.1867464978648835E-2</c:v>
                </c:pt>
                <c:pt idx="4">
                  <c:v>5.4815354812209269E-2</c:v>
                </c:pt>
                <c:pt idx="5">
                  <c:v>1.8581766466762958E-2</c:v>
                </c:pt>
                <c:pt idx="6">
                  <c:v>8.8077141228106767E-2</c:v>
                </c:pt>
                <c:pt idx="7">
                  <c:v>0.14599517425551264</c:v>
                </c:pt>
                <c:pt idx="8">
                  <c:v>6.945040977204292E-2</c:v>
                </c:pt>
              </c:numCache>
            </c:numRef>
          </c:val>
          <c:extLst>
            <c:ext xmlns:c16="http://schemas.microsoft.com/office/drawing/2014/chart" uri="{C3380CC4-5D6E-409C-BE32-E72D297353CC}">
              <c16:uniqueId val="{00000006-C125-457F-8252-79DE48A85665}"/>
            </c:ext>
          </c:extLst>
        </c:ser>
        <c:dLbls>
          <c:dLblPos val="ctr"/>
          <c:showLegendKey val="0"/>
          <c:showVal val="1"/>
          <c:showCatName val="0"/>
          <c:showSerName val="0"/>
          <c:showPercent val="0"/>
          <c:showBubbleSize val="0"/>
        </c:dLbls>
        <c:gapWidth val="150"/>
        <c:overlap val="100"/>
        <c:axId val="1744967392"/>
        <c:axId val="1744974048"/>
      </c:barChart>
      <c:catAx>
        <c:axId val="174496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44974048"/>
        <c:crosses val="autoZero"/>
        <c:auto val="1"/>
        <c:lblAlgn val="ctr"/>
        <c:lblOffset val="100"/>
        <c:noMultiLvlLbl val="0"/>
      </c:catAx>
      <c:valAx>
        <c:axId val="1744974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449673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0E7D-447A-48A9-8B4C-81BA62C2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5712</Words>
  <Characters>31421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Jara</dc:creator>
  <cp:keywords/>
  <dc:description/>
  <cp:lastModifiedBy>Rodrigo Jara</cp:lastModifiedBy>
  <cp:revision>8</cp:revision>
  <dcterms:created xsi:type="dcterms:W3CDTF">2022-09-21T14:03:00Z</dcterms:created>
  <dcterms:modified xsi:type="dcterms:W3CDTF">2022-09-21T19:37:00Z</dcterms:modified>
</cp:coreProperties>
</file>