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79F6" w14:textId="51EFE95A" w:rsidR="002B21D3" w:rsidRPr="00147038" w:rsidRDefault="002B21D3" w:rsidP="002B21D3">
      <w:p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La conformación de la demanda en el desarrollo del conflicto social</w:t>
      </w:r>
      <w:r w:rsidR="002D734B" w:rsidRPr="00147038">
        <w:rPr>
          <w:rStyle w:val="Refdenotaalpie"/>
          <w:rFonts w:ascii="Times New Roman" w:hAnsi="Times New Roman" w:cs="Times New Roman"/>
          <w:b/>
          <w:bCs/>
          <w:sz w:val="24"/>
          <w:szCs w:val="24"/>
        </w:rPr>
        <w:footnoteReference w:id="1"/>
      </w:r>
    </w:p>
    <w:p w14:paraId="6D00F1F9" w14:textId="77777777" w:rsidR="00123D9C" w:rsidRPr="00147038" w:rsidRDefault="00123D9C" w:rsidP="00123D9C">
      <w:pPr>
        <w:pStyle w:val="Default"/>
        <w:spacing w:line="360" w:lineRule="auto"/>
        <w:jc w:val="both"/>
        <w:rPr>
          <w:color w:val="000008"/>
        </w:rPr>
      </w:pPr>
      <w:r w:rsidRPr="00147038">
        <w:rPr>
          <w:color w:val="000008"/>
        </w:rPr>
        <w:t xml:space="preserve">Daniel Marín Gutiérrez </w:t>
      </w:r>
    </w:p>
    <w:p w14:paraId="0752E0D2" w14:textId="77777777" w:rsidR="0026008D" w:rsidRPr="00147038" w:rsidRDefault="00123D9C" w:rsidP="00123D9C">
      <w:pPr>
        <w:pStyle w:val="Default"/>
        <w:spacing w:line="360" w:lineRule="auto"/>
        <w:jc w:val="both"/>
        <w:rPr>
          <w:color w:val="000008"/>
        </w:rPr>
      </w:pPr>
      <w:r w:rsidRPr="00147038">
        <w:rPr>
          <w:color w:val="000008"/>
        </w:rPr>
        <w:t>Universidad Pablo de Olavide (Sevilla, España)</w:t>
      </w:r>
    </w:p>
    <w:p w14:paraId="584FC18F" w14:textId="1B63C479" w:rsidR="00123D9C" w:rsidRPr="00147038" w:rsidRDefault="00F925D4" w:rsidP="00123D9C">
      <w:pPr>
        <w:pStyle w:val="Default"/>
        <w:spacing w:line="360" w:lineRule="auto"/>
        <w:jc w:val="both"/>
        <w:rPr>
          <w:color w:val="000008"/>
        </w:rPr>
      </w:pPr>
      <w:r w:rsidRPr="00147038">
        <w:rPr>
          <w:color w:val="000008"/>
        </w:rPr>
        <w:t xml:space="preserve">Investigador doctor visitante en la </w:t>
      </w:r>
      <w:r w:rsidR="00123D9C" w:rsidRPr="00147038">
        <w:rPr>
          <w:color w:val="000008"/>
        </w:rPr>
        <w:t>Universidad Nacional de La Plata</w:t>
      </w:r>
    </w:p>
    <w:p w14:paraId="014AB8B6" w14:textId="7ECFE02D" w:rsidR="000E42D1" w:rsidRPr="00147038" w:rsidRDefault="00000000" w:rsidP="00123D9C">
      <w:pPr>
        <w:pStyle w:val="Default"/>
        <w:spacing w:line="360" w:lineRule="auto"/>
        <w:jc w:val="both"/>
        <w:rPr>
          <w:color w:val="000008"/>
        </w:rPr>
      </w:pPr>
      <w:hyperlink r:id="rId8" w:history="1">
        <w:r w:rsidR="000E42D1" w:rsidRPr="00147038">
          <w:rPr>
            <w:rStyle w:val="Hipervnculo"/>
          </w:rPr>
          <w:t>dgutmar@upo.es</w:t>
        </w:r>
      </w:hyperlink>
      <w:r w:rsidR="000E42D1" w:rsidRPr="00147038">
        <w:rPr>
          <w:color w:val="000008"/>
        </w:rPr>
        <w:t xml:space="preserve"> </w:t>
      </w:r>
    </w:p>
    <w:p w14:paraId="6F78E7AA" w14:textId="6109981F" w:rsidR="00F925D4" w:rsidRPr="00147038" w:rsidRDefault="00F925D4" w:rsidP="00123D9C">
      <w:pPr>
        <w:pStyle w:val="Default"/>
        <w:spacing w:line="360" w:lineRule="auto"/>
        <w:jc w:val="both"/>
        <w:rPr>
          <w:color w:val="000008"/>
        </w:rPr>
      </w:pPr>
      <w:r w:rsidRPr="00147038">
        <w:rPr>
          <w:color w:val="000008"/>
        </w:rPr>
        <w:t>Doctor en Ciencias Sociales por la Universidad Pablo de Olavide (Sevilla, España)</w:t>
      </w:r>
    </w:p>
    <w:p w14:paraId="22FC4B1B" w14:textId="74C0E969" w:rsidR="002B21D3" w:rsidRPr="00147038" w:rsidRDefault="000E42D1" w:rsidP="000E42D1">
      <w:p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Eje 3_</w:t>
      </w:r>
      <w:r w:rsidR="002A264C" w:rsidRPr="00147038">
        <w:rPr>
          <w:rFonts w:ascii="Times New Roman" w:hAnsi="Times New Roman" w:cs="Times New Roman"/>
          <w:b/>
          <w:bCs/>
          <w:sz w:val="24"/>
          <w:szCs w:val="24"/>
        </w:rPr>
        <w:t>Protesta, conflicto y cambio social</w:t>
      </w:r>
    </w:p>
    <w:p w14:paraId="6F33FA08"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3FC55993"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500657BD"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0184AEAB"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1F60ABA1"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0765643F"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0365BD02"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29432A07"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4DCE2E85"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74165B1D"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0FAA0AC1"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747D9B7B"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732D0AFA"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1B5F1473"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565D0E94" w14:textId="77777777" w:rsidR="0056650B" w:rsidRPr="00147038" w:rsidRDefault="0056650B" w:rsidP="002B21D3">
      <w:pPr>
        <w:spacing w:after="0" w:line="360" w:lineRule="auto"/>
        <w:ind w:left="360"/>
        <w:jc w:val="both"/>
        <w:rPr>
          <w:rFonts w:ascii="Times New Roman" w:hAnsi="Times New Roman" w:cs="Times New Roman"/>
          <w:b/>
          <w:bCs/>
          <w:sz w:val="24"/>
          <w:szCs w:val="24"/>
        </w:rPr>
      </w:pPr>
    </w:p>
    <w:p w14:paraId="0284AEA9" w14:textId="77777777" w:rsidR="0026008D" w:rsidRPr="00147038" w:rsidRDefault="0026008D" w:rsidP="002B21D3">
      <w:pPr>
        <w:spacing w:after="0" w:line="360" w:lineRule="auto"/>
        <w:ind w:left="360"/>
        <w:jc w:val="both"/>
        <w:rPr>
          <w:rFonts w:ascii="Times New Roman" w:hAnsi="Times New Roman" w:cs="Times New Roman"/>
          <w:b/>
          <w:bCs/>
          <w:sz w:val="24"/>
          <w:szCs w:val="24"/>
        </w:rPr>
      </w:pPr>
    </w:p>
    <w:p w14:paraId="4ADE8D7A" w14:textId="77777777" w:rsidR="009119C2" w:rsidRPr="00147038" w:rsidRDefault="009119C2" w:rsidP="002B21D3">
      <w:pPr>
        <w:spacing w:after="0" w:line="360" w:lineRule="auto"/>
        <w:ind w:left="360"/>
        <w:jc w:val="both"/>
        <w:rPr>
          <w:rFonts w:ascii="Times New Roman" w:hAnsi="Times New Roman" w:cs="Times New Roman"/>
          <w:b/>
          <w:bCs/>
          <w:sz w:val="24"/>
          <w:szCs w:val="24"/>
        </w:rPr>
      </w:pPr>
    </w:p>
    <w:p w14:paraId="5D0AB3A9" w14:textId="77777777" w:rsidR="009119C2" w:rsidRPr="00147038" w:rsidRDefault="009119C2" w:rsidP="002B21D3">
      <w:pPr>
        <w:spacing w:after="0" w:line="360" w:lineRule="auto"/>
        <w:ind w:left="360"/>
        <w:jc w:val="both"/>
        <w:rPr>
          <w:rFonts w:ascii="Times New Roman" w:hAnsi="Times New Roman" w:cs="Times New Roman"/>
          <w:b/>
          <w:bCs/>
          <w:sz w:val="24"/>
          <w:szCs w:val="24"/>
        </w:rPr>
      </w:pPr>
    </w:p>
    <w:p w14:paraId="2731E54D" w14:textId="77777777" w:rsidR="009119C2" w:rsidRPr="00147038" w:rsidRDefault="009119C2" w:rsidP="002B21D3">
      <w:pPr>
        <w:spacing w:after="0" w:line="360" w:lineRule="auto"/>
        <w:ind w:left="360"/>
        <w:jc w:val="both"/>
        <w:rPr>
          <w:rFonts w:ascii="Times New Roman" w:hAnsi="Times New Roman" w:cs="Times New Roman"/>
          <w:b/>
          <w:bCs/>
          <w:sz w:val="24"/>
          <w:szCs w:val="24"/>
        </w:rPr>
      </w:pPr>
    </w:p>
    <w:p w14:paraId="06E6D909" w14:textId="77777777" w:rsidR="009119C2" w:rsidRPr="00147038" w:rsidRDefault="009119C2" w:rsidP="002B21D3">
      <w:pPr>
        <w:spacing w:after="0" w:line="360" w:lineRule="auto"/>
        <w:ind w:left="360"/>
        <w:jc w:val="both"/>
        <w:rPr>
          <w:rFonts w:ascii="Times New Roman" w:hAnsi="Times New Roman" w:cs="Times New Roman"/>
          <w:b/>
          <w:bCs/>
          <w:sz w:val="24"/>
          <w:szCs w:val="24"/>
        </w:rPr>
      </w:pPr>
    </w:p>
    <w:p w14:paraId="4416FE5B" w14:textId="77777777" w:rsidR="009119C2" w:rsidRPr="00147038" w:rsidRDefault="009119C2" w:rsidP="002B21D3">
      <w:pPr>
        <w:spacing w:after="0" w:line="360" w:lineRule="auto"/>
        <w:ind w:left="360"/>
        <w:jc w:val="both"/>
        <w:rPr>
          <w:rFonts w:ascii="Times New Roman" w:hAnsi="Times New Roman" w:cs="Times New Roman"/>
          <w:b/>
          <w:bCs/>
          <w:sz w:val="24"/>
          <w:szCs w:val="24"/>
        </w:rPr>
      </w:pPr>
    </w:p>
    <w:p w14:paraId="4E606D7C" w14:textId="61768D0B" w:rsidR="006715C5" w:rsidRPr="00147038" w:rsidRDefault="00F60B8D" w:rsidP="006715C5">
      <w:pPr>
        <w:pStyle w:val="Prrafodelista"/>
        <w:numPr>
          <w:ilvl w:val="0"/>
          <w:numId w:val="10"/>
        </w:num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lastRenderedPageBreak/>
        <w:t xml:space="preserve">Introducción </w:t>
      </w:r>
    </w:p>
    <w:p w14:paraId="124ADA07" w14:textId="4468B174" w:rsidR="00A955DF" w:rsidRPr="00147038" w:rsidRDefault="004F74D8" w:rsidP="006715C5">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Se ha observado que </w:t>
      </w:r>
      <w:r w:rsidR="00E4251D" w:rsidRPr="00147038">
        <w:rPr>
          <w:rFonts w:ascii="Times New Roman" w:hAnsi="Times New Roman" w:cs="Times New Roman"/>
          <w:sz w:val="24"/>
          <w:szCs w:val="24"/>
        </w:rPr>
        <w:t>los</w:t>
      </w:r>
      <w:r w:rsidRPr="00147038">
        <w:rPr>
          <w:rFonts w:ascii="Times New Roman" w:hAnsi="Times New Roman" w:cs="Times New Roman"/>
          <w:sz w:val="24"/>
          <w:szCs w:val="24"/>
        </w:rPr>
        <w:t xml:space="preserve"> conflictos </w:t>
      </w:r>
      <w:r w:rsidR="00580849" w:rsidRPr="00147038">
        <w:rPr>
          <w:rFonts w:ascii="Times New Roman" w:hAnsi="Times New Roman" w:cs="Times New Roman"/>
          <w:sz w:val="24"/>
          <w:szCs w:val="24"/>
        </w:rPr>
        <w:t xml:space="preserve">sociales </w:t>
      </w:r>
      <w:r w:rsidRPr="00147038">
        <w:rPr>
          <w:rFonts w:ascii="Times New Roman" w:hAnsi="Times New Roman" w:cs="Times New Roman"/>
          <w:sz w:val="24"/>
          <w:szCs w:val="24"/>
        </w:rPr>
        <w:t>no son homogéneos</w:t>
      </w:r>
      <w:r w:rsidR="00E4251D" w:rsidRPr="00147038">
        <w:rPr>
          <w:rFonts w:ascii="Times New Roman" w:hAnsi="Times New Roman" w:cs="Times New Roman"/>
          <w:sz w:val="24"/>
          <w:szCs w:val="24"/>
        </w:rPr>
        <w:t xml:space="preserve"> y que durante el desarrollo de sus ciclos adoptan distintos libretos según los actores que impulsan </w:t>
      </w:r>
      <w:r w:rsidR="00646BB9" w:rsidRPr="00147038">
        <w:rPr>
          <w:rFonts w:ascii="Times New Roman" w:hAnsi="Times New Roman" w:cs="Times New Roman"/>
          <w:sz w:val="24"/>
          <w:szCs w:val="24"/>
        </w:rPr>
        <w:t xml:space="preserve">la movilización, las demandas que exponen, los objetivos a los que apuntan o el repertorio que emplean (Herrera-Gutiérrez y Navarro, 2017). </w:t>
      </w:r>
      <w:r w:rsidR="0085370E" w:rsidRPr="00147038">
        <w:rPr>
          <w:rFonts w:ascii="Times New Roman" w:hAnsi="Times New Roman" w:cs="Times New Roman"/>
          <w:sz w:val="24"/>
          <w:szCs w:val="24"/>
        </w:rPr>
        <w:t>Sin embargo, extrañamente, hay una tendencia a creer que es así, que la movilización puede agruparse por ciclos acotados</w:t>
      </w:r>
      <w:r w:rsidR="00580849" w:rsidRPr="00147038">
        <w:rPr>
          <w:rFonts w:ascii="Times New Roman" w:hAnsi="Times New Roman" w:cs="Times New Roman"/>
          <w:sz w:val="24"/>
          <w:szCs w:val="24"/>
        </w:rPr>
        <w:t xml:space="preserve"> temporalmente</w:t>
      </w:r>
      <w:r w:rsidR="0085370E" w:rsidRPr="00147038">
        <w:rPr>
          <w:rFonts w:ascii="Times New Roman" w:hAnsi="Times New Roman" w:cs="Times New Roman"/>
          <w:sz w:val="24"/>
          <w:szCs w:val="24"/>
        </w:rPr>
        <w:t xml:space="preserve"> y que toda la contienda producida durante un periodo determinado </w:t>
      </w:r>
      <w:r w:rsidR="00E94080" w:rsidRPr="00147038">
        <w:rPr>
          <w:rFonts w:ascii="Times New Roman" w:hAnsi="Times New Roman" w:cs="Times New Roman"/>
          <w:sz w:val="24"/>
          <w:szCs w:val="24"/>
        </w:rPr>
        <w:t xml:space="preserve">atiende a unos promotores, demandas, objetivos y repertorios que forman un bloque </w:t>
      </w:r>
      <w:r w:rsidR="00885155" w:rsidRPr="00147038">
        <w:rPr>
          <w:rFonts w:ascii="Times New Roman" w:hAnsi="Times New Roman" w:cs="Times New Roman"/>
          <w:sz w:val="24"/>
          <w:szCs w:val="24"/>
        </w:rPr>
        <w:t xml:space="preserve">inalterable. </w:t>
      </w:r>
      <w:r w:rsidR="00F26FB6" w:rsidRPr="00147038">
        <w:rPr>
          <w:rFonts w:ascii="Times New Roman" w:hAnsi="Times New Roman" w:cs="Times New Roman"/>
          <w:sz w:val="24"/>
          <w:szCs w:val="24"/>
        </w:rPr>
        <w:t>Sabiendo, por tanto, que los conflictos sociales son heterogéneos durante su desarrollo</w:t>
      </w:r>
      <w:r w:rsidR="00E622C4" w:rsidRPr="00147038">
        <w:rPr>
          <w:rFonts w:ascii="Times New Roman" w:hAnsi="Times New Roman" w:cs="Times New Roman"/>
          <w:sz w:val="24"/>
          <w:szCs w:val="24"/>
        </w:rPr>
        <w:t xml:space="preserve">, </w:t>
      </w:r>
      <w:r w:rsidR="00C3236E" w:rsidRPr="00147038">
        <w:rPr>
          <w:rFonts w:ascii="Times New Roman" w:hAnsi="Times New Roman" w:cs="Times New Roman"/>
          <w:sz w:val="24"/>
          <w:szCs w:val="24"/>
        </w:rPr>
        <w:t>la pregunta de investigación</w:t>
      </w:r>
      <w:r w:rsidR="00E622C4" w:rsidRPr="00147038">
        <w:rPr>
          <w:rFonts w:ascii="Times New Roman" w:hAnsi="Times New Roman" w:cs="Times New Roman"/>
          <w:sz w:val="24"/>
          <w:szCs w:val="24"/>
        </w:rPr>
        <w:t xml:space="preserve"> de esta ponencia </w:t>
      </w:r>
      <w:r w:rsidR="002573B7" w:rsidRPr="00147038">
        <w:rPr>
          <w:rFonts w:ascii="Times New Roman" w:hAnsi="Times New Roman" w:cs="Times New Roman"/>
          <w:sz w:val="24"/>
          <w:szCs w:val="24"/>
        </w:rPr>
        <w:t>se focaliza</w:t>
      </w:r>
      <w:r w:rsidR="00E743BD" w:rsidRPr="00147038">
        <w:rPr>
          <w:rFonts w:ascii="Times New Roman" w:hAnsi="Times New Roman" w:cs="Times New Roman"/>
          <w:sz w:val="24"/>
          <w:szCs w:val="24"/>
        </w:rPr>
        <w:t xml:space="preserve"> en un aspecto muy específico de la dinámica de la contienda política</w:t>
      </w:r>
      <w:r w:rsidR="00E622C4" w:rsidRPr="00147038">
        <w:rPr>
          <w:rFonts w:ascii="Times New Roman" w:hAnsi="Times New Roman" w:cs="Times New Roman"/>
          <w:sz w:val="24"/>
          <w:szCs w:val="24"/>
        </w:rPr>
        <w:t>: ¿influye la frecuencia de movilización sobre el objeto de las demandas de un conflicto determinado?</w:t>
      </w:r>
      <w:r w:rsidR="00015CE1" w:rsidRPr="00147038">
        <w:rPr>
          <w:rFonts w:ascii="Times New Roman" w:hAnsi="Times New Roman" w:cs="Times New Roman"/>
          <w:sz w:val="24"/>
          <w:szCs w:val="24"/>
        </w:rPr>
        <w:t xml:space="preserve"> </w:t>
      </w:r>
      <w:r w:rsidR="00A955DF" w:rsidRPr="00147038">
        <w:rPr>
          <w:rFonts w:ascii="Times New Roman" w:hAnsi="Times New Roman" w:cs="Times New Roman"/>
          <w:sz w:val="24"/>
          <w:szCs w:val="24"/>
        </w:rPr>
        <w:t>En la pregunta de investigación confluyen dos aspectos: por un lado, la demanda como variable independiente, aborda u</w:t>
      </w:r>
      <w:r w:rsidR="003723CF" w:rsidRPr="00147038">
        <w:rPr>
          <w:rFonts w:ascii="Times New Roman" w:hAnsi="Times New Roman" w:cs="Times New Roman"/>
          <w:sz w:val="24"/>
          <w:szCs w:val="24"/>
        </w:rPr>
        <w:t>no de los asuntos fundamentales de</w:t>
      </w:r>
      <w:r w:rsidR="005A705D" w:rsidRPr="00147038">
        <w:rPr>
          <w:rFonts w:ascii="Times New Roman" w:hAnsi="Times New Roman" w:cs="Times New Roman"/>
          <w:sz w:val="24"/>
          <w:szCs w:val="24"/>
        </w:rPr>
        <w:t>l conflicto social</w:t>
      </w:r>
      <w:r w:rsidR="00A955DF" w:rsidRPr="00147038">
        <w:rPr>
          <w:rFonts w:ascii="Times New Roman" w:hAnsi="Times New Roman" w:cs="Times New Roman"/>
          <w:sz w:val="24"/>
          <w:szCs w:val="24"/>
        </w:rPr>
        <w:t xml:space="preserve"> y, por otro lado, la frecuencia </w:t>
      </w:r>
      <w:r w:rsidR="00FD23E3" w:rsidRPr="00147038">
        <w:rPr>
          <w:rFonts w:ascii="Times New Roman" w:hAnsi="Times New Roman" w:cs="Times New Roman"/>
          <w:sz w:val="24"/>
          <w:szCs w:val="24"/>
        </w:rPr>
        <w:t>como variable independiente, describe la cadencia o evolución de un determinado conflicto en su versión contenciosa.</w:t>
      </w:r>
      <w:r w:rsidR="00E92730" w:rsidRPr="00147038">
        <w:rPr>
          <w:rFonts w:ascii="Times New Roman" w:hAnsi="Times New Roman" w:cs="Times New Roman"/>
          <w:sz w:val="24"/>
          <w:szCs w:val="24"/>
        </w:rPr>
        <w:t xml:space="preserve"> Por tanto, el objetivo central de esta ponencia es reflexionar detenidamente si existe una relación entre la dinámica de la contienda política y los cambios que puedan producirse entre las demandas.</w:t>
      </w:r>
    </w:p>
    <w:p w14:paraId="40E7289B" w14:textId="77777777" w:rsidR="00A955DF" w:rsidRPr="00147038" w:rsidRDefault="00A955DF" w:rsidP="006715C5">
      <w:pPr>
        <w:spacing w:after="0" w:line="360" w:lineRule="auto"/>
        <w:jc w:val="both"/>
        <w:rPr>
          <w:rFonts w:ascii="Times New Roman" w:hAnsi="Times New Roman" w:cs="Times New Roman"/>
          <w:sz w:val="24"/>
          <w:szCs w:val="24"/>
        </w:rPr>
      </w:pPr>
    </w:p>
    <w:p w14:paraId="2E44B445" w14:textId="77777777" w:rsidR="00B524DE" w:rsidRPr="00147038" w:rsidRDefault="00D2057B" w:rsidP="006715C5">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El estudio de la contienda política ha sido tradicionalmente un tema de interés en el campo de la movilización social, principalmente, porque a través del estudio de la escenificación de la protesta se ha dado paso a un conocimiento más amplio del conflicto social (McAdam et al., 2005)</w:t>
      </w:r>
      <w:r w:rsidR="001901AB" w:rsidRPr="00147038">
        <w:rPr>
          <w:rFonts w:ascii="Times New Roman" w:hAnsi="Times New Roman" w:cs="Times New Roman"/>
          <w:sz w:val="24"/>
          <w:szCs w:val="24"/>
        </w:rPr>
        <w:t xml:space="preserve">. </w:t>
      </w:r>
      <w:r w:rsidRPr="00147038">
        <w:rPr>
          <w:rFonts w:ascii="Times New Roman" w:hAnsi="Times New Roman" w:cs="Times New Roman"/>
          <w:sz w:val="24"/>
          <w:szCs w:val="24"/>
        </w:rPr>
        <w:t>Cuando se habla de contienda política se hace referencia a la demanda que determinados actores sociales realizan a otros de carácter institucional a través de una escenificación pública, alterando la normalidad de la vida cotidiana. Por lo tanto, el mayor conocimiento de los factores relacionados en el desarrollo de la contienda política resulta relevante para explicar cómo se van a producir estos fenómenos sociales y cuáles son los elementos más destacados de su dinámica.</w:t>
      </w:r>
      <w:r w:rsidR="001B63E3" w:rsidRPr="00147038">
        <w:rPr>
          <w:rFonts w:ascii="Times New Roman" w:hAnsi="Times New Roman" w:cs="Times New Roman"/>
          <w:sz w:val="24"/>
          <w:szCs w:val="24"/>
        </w:rPr>
        <w:t xml:space="preserve"> </w:t>
      </w:r>
    </w:p>
    <w:p w14:paraId="55A3D979" w14:textId="77777777" w:rsidR="0056650B" w:rsidRPr="00147038" w:rsidRDefault="0056650B" w:rsidP="006715C5">
      <w:pPr>
        <w:spacing w:after="0" w:line="360" w:lineRule="auto"/>
        <w:jc w:val="both"/>
        <w:rPr>
          <w:rFonts w:ascii="Times New Roman" w:hAnsi="Times New Roman" w:cs="Times New Roman"/>
          <w:sz w:val="24"/>
          <w:szCs w:val="24"/>
        </w:rPr>
      </w:pPr>
    </w:p>
    <w:p w14:paraId="4EA7604E" w14:textId="076284D5" w:rsidR="005A705D" w:rsidRPr="00147038" w:rsidRDefault="001B63E3" w:rsidP="006715C5">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Específicamente, </w:t>
      </w:r>
      <w:r w:rsidR="009166CF" w:rsidRPr="00147038">
        <w:rPr>
          <w:rFonts w:ascii="Times New Roman" w:hAnsi="Times New Roman" w:cs="Times New Roman"/>
          <w:sz w:val="24"/>
          <w:szCs w:val="24"/>
        </w:rPr>
        <w:t xml:space="preserve">se sabe que la demanda centra el </w:t>
      </w:r>
      <w:r w:rsidR="003723CF" w:rsidRPr="00147038">
        <w:rPr>
          <w:rFonts w:ascii="Times New Roman" w:hAnsi="Times New Roman" w:cs="Times New Roman"/>
          <w:sz w:val="24"/>
          <w:szCs w:val="24"/>
        </w:rPr>
        <w:t xml:space="preserve">por qué se movilizan, es decir, qué </w:t>
      </w:r>
      <w:r w:rsidR="009166CF" w:rsidRPr="00147038">
        <w:rPr>
          <w:rFonts w:ascii="Times New Roman" w:hAnsi="Times New Roman" w:cs="Times New Roman"/>
          <w:sz w:val="24"/>
          <w:szCs w:val="24"/>
        </w:rPr>
        <w:t xml:space="preserve">se </w:t>
      </w:r>
      <w:r w:rsidR="003723CF" w:rsidRPr="00147038">
        <w:rPr>
          <w:rFonts w:ascii="Times New Roman" w:hAnsi="Times New Roman" w:cs="Times New Roman"/>
          <w:sz w:val="24"/>
          <w:szCs w:val="24"/>
        </w:rPr>
        <w:t xml:space="preserve">pretende alcanzar a través de la dramatización de la contienda política. En la literatura, la demanda ha ocupado buena parte de las preocupaciones de la investigación, junto a los actores, los repertorios, la violencia y, más recientemente, los efectos de la protesta, en primer lugar, y </w:t>
      </w:r>
      <w:r w:rsidR="003723CF" w:rsidRPr="00147038">
        <w:rPr>
          <w:rFonts w:ascii="Times New Roman" w:hAnsi="Times New Roman" w:cs="Times New Roman"/>
          <w:sz w:val="24"/>
          <w:szCs w:val="24"/>
        </w:rPr>
        <w:lastRenderedPageBreak/>
        <w:t xml:space="preserve">de los movimientos sociales a largo plazo. </w:t>
      </w:r>
      <w:r w:rsidR="00AB6A7A" w:rsidRPr="00147038">
        <w:rPr>
          <w:rFonts w:ascii="Times New Roman" w:hAnsi="Times New Roman" w:cs="Times New Roman"/>
          <w:sz w:val="24"/>
          <w:szCs w:val="24"/>
        </w:rPr>
        <w:t xml:space="preserve">Sin embargo, la demanda tiene un aporte más allá de ser una reivindicación y es que alrededor suyo se elabora </w:t>
      </w:r>
      <w:r w:rsidR="0082105D" w:rsidRPr="00147038">
        <w:rPr>
          <w:rFonts w:ascii="Times New Roman" w:hAnsi="Times New Roman" w:cs="Times New Roman"/>
          <w:sz w:val="24"/>
          <w:szCs w:val="24"/>
        </w:rPr>
        <w:t>gran parte de la identidad de quienes están dispuestos a tomar las calle y, a veces, hasta jugarse el pellejo en defensa de una determinada necesidad. No han sido pocas las ocasiones en que la demanda ha terminado convirtiéndose en el l</w:t>
      </w:r>
      <w:r w:rsidR="00924692" w:rsidRPr="00147038">
        <w:rPr>
          <w:rFonts w:ascii="Times New Roman" w:hAnsi="Times New Roman" w:cs="Times New Roman"/>
          <w:sz w:val="24"/>
          <w:szCs w:val="24"/>
        </w:rPr>
        <w:t>e</w:t>
      </w:r>
      <w:r w:rsidR="0082105D" w:rsidRPr="00147038">
        <w:rPr>
          <w:rFonts w:ascii="Times New Roman" w:hAnsi="Times New Roman" w:cs="Times New Roman"/>
          <w:sz w:val="24"/>
          <w:szCs w:val="24"/>
        </w:rPr>
        <w:t xml:space="preserve">it motiv de los movilizados, apostando incluso sus vidas por disputar el objeto de </w:t>
      </w:r>
      <w:r w:rsidR="0082105D" w:rsidRPr="00147038">
        <w:rPr>
          <w:rFonts w:ascii="Times New Roman" w:hAnsi="Times New Roman" w:cs="Times New Roman"/>
          <w:i/>
          <w:iCs/>
          <w:sz w:val="24"/>
          <w:szCs w:val="24"/>
        </w:rPr>
        <w:t>lo que estaba en juego</w:t>
      </w:r>
      <w:r w:rsidR="0082105D" w:rsidRPr="00147038">
        <w:rPr>
          <w:rFonts w:ascii="Times New Roman" w:hAnsi="Times New Roman" w:cs="Times New Roman"/>
          <w:sz w:val="24"/>
          <w:szCs w:val="24"/>
        </w:rPr>
        <w:t xml:space="preserve"> (Touraine, 19</w:t>
      </w:r>
      <w:r w:rsidR="006D6586" w:rsidRPr="00147038">
        <w:rPr>
          <w:rFonts w:ascii="Times New Roman" w:hAnsi="Times New Roman" w:cs="Times New Roman"/>
          <w:sz w:val="24"/>
          <w:szCs w:val="24"/>
        </w:rPr>
        <w:t>81).</w:t>
      </w:r>
    </w:p>
    <w:p w14:paraId="0CEED910" w14:textId="77777777" w:rsidR="005A705D" w:rsidRPr="00147038" w:rsidRDefault="005A705D" w:rsidP="006715C5">
      <w:pPr>
        <w:spacing w:after="0" w:line="360" w:lineRule="auto"/>
        <w:jc w:val="both"/>
        <w:rPr>
          <w:rFonts w:ascii="Times New Roman" w:hAnsi="Times New Roman" w:cs="Times New Roman"/>
          <w:sz w:val="24"/>
          <w:szCs w:val="24"/>
        </w:rPr>
      </w:pPr>
    </w:p>
    <w:p w14:paraId="6B4B8C03" w14:textId="77777777" w:rsidR="00BD5662" w:rsidRPr="00147038" w:rsidRDefault="00E81084" w:rsidP="006715C5">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En esta ponencia se va a defender que</w:t>
      </w:r>
      <w:r w:rsidR="00521DEF" w:rsidRPr="00147038">
        <w:rPr>
          <w:rFonts w:ascii="Times New Roman" w:hAnsi="Times New Roman" w:cs="Times New Roman"/>
          <w:sz w:val="24"/>
          <w:szCs w:val="24"/>
        </w:rPr>
        <w:t xml:space="preserve"> el objeto de las reivindicaciones puede verse alterado según el desarrollo de la conflictividad, lo cual puede tener consecuencias para el frame de la contienda política y para la consolidación de las identidades de los movilizados. Concretamente, </w:t>
      </w:r>
      <w:r w:rsidR="00DC7882" w:rsidRPr="00147038">
        <w:rPr>
          <w:rFonts w:ascii="Times New Roman" w:hAnsi="Times New Roman" w:cs="Times New Roman"/>
          <w:sz w:val="24"/>
          <w:szCs w:val="24"/>
        </w:rPr>
        <w:t xml:space="preserve">se ha observado que durante el conflicto social se alternan incrementos inesperados de la movilización </w:t>
      </w:r>
      <w:r w:rsidR="002E49E0" w:rsidRPr="00147038">
        <w:rPr>
          <w:rFonts w:ascii="Times New Roman" w:hAnsi="Times New Roman" w:cs="Times New Roman"/>
          <w:sz w:val="24"/>
          <w:szCs w:val="24"/>
        </w:rPr>
        <w:t xml:space="preserve">y periodos regularmente estables y que, con frecuencia, son los más largos. </w:t>
      </w:r>
      <w:r w:rsidR="00802C0F" w:rsidRPr="00147038">
        <w:rPr>
          <w:rFonts w:ascii="Times New Roman" w:hAnsi="Times New Roman" w:cs="Times New Roman"/>
          <w:sz w:val="24"/>
          <w:szCs w:val="24"/>
        </w:rPr>
        <w:t>Es decir, suelen aparecer periodos cortos aunque muy intensos y periodos largos d</w:t>
      </w:r>
      <w:r w:rsidR="009161A4" w:rsidRPr="00147038">
        <w:rPr>
          <w:rFonts w:ascii="Times New Roman" w:hAnsi="Times New Roman" w:cs="Times New Roman"/>
          <w:sz w:val="24"/>
          <w:szCs w:val="24"/>
        </w:rPr>
        <w:t>urante los cuales no se aprecian alteraciones de la frecuencia de movilización. Así, la hipótesis que se maneja es que</w:t>
      </w:r>
      <w:r w:rsidRPr="00147038">
        <w:rPr>
          <w:rFonts w:ascii="Times New Roman" w:hAnsi="Times New Roman" w:cs="Times New Roman"/>
          <w:sz w:val="24"/>
          <w:szCs w:val="24"/>
        </w:rPr>
        <w:t xml:space="preserve"> </w:t>
      </w:r>
      <w:r w:rsidR="003723CF" w:rsidRPr="00147038">
        <w:rPr>
          <w:rFonts w:ascii="Times New Roman" w:hAnsi="Times New Roman" w:cs="Times New Roman"/>
          <w:sz w:val="24"/>
          <w:szCs w:val="24"/>
        </w:rPr>
        <w:t xml:space="preserve">en la medida en que un conflicto social tiene un carácter extensivo, el objeto de sus demandas se verá reducido a aquellos asuntos que afectan </w:t>
      </w:r>
      <w:r w:rsidR="00BD5662" w:rsidRPr="00147038">
        <w:rPr>
          <w:rFonts w:ascii="Times New Roman" w:hAnsi="Times New Roman" w:cs="Times New Roman"/>
          <w:sz w:val="24"/>
          <w:szCs w:val="24"/>
        </w:rPr>
        <w:t>a</w:t>
      </w:r>
      <w:r w:rsidR="003723CF" w:rsidRPr="00147038">
        <w:rPr>
          <w:rFonts w:ascii="Times New Roman" w:hAnsi="Times New Roman" w:cs="Times New Roman"/>
          <w:sz w:val="24"/>
          <w:szCs w:val="24"/>
        </w:rPr>
        <w:t xml:space="preserve"> las demandas de carácter materialistas como el empleo, la vivienda o servicios de bienestar, quedando orilladas otras demandas de carácter posmaterialistas relacionadas con los estilos de vida, las identidades o el cambio social. </w:t>
      </w:r>
    </w:p>
    <w:p w14:paraId="64444CA0" w14:textId="77777777" w:rsidR="00BD5662" w:rsidRPr="00147038" w:rsidRDefault="00BD5662" w:rsidP="006715C5">
      <w:pPr>
        <w:spacing w:after="0" w:line="360" w:lineRule="auto"/>
        <w:jc w:val="both"/>
        <w:rPr>
          <w:rFonts w:ascii="Times New Roman" w:hAnsi="Times New Roman" w:cs="Times New Roman"/>
          <w:sz w:val="24"/>
          <w:szCs w:val="24"/>
        </w:rPr>
      </w:pPr>
    </w:p>
    <w:p w14:paraId="65D6CCEB" w14:textId="52E52988" w:rsidR="008F1896" w:rsidRPr="00147038" w:rsidRDefault="004D19D8" w:rsidP="008F1896">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E</w:t>
      </w:r>
      <w:r w:rsidR="00F22118" w:rsidRPr="00147038">
        <w:rPr>
          <w:rFonts w:ascii="Times New Roman" w:hAnsi="Times New Roman" w:cs="Times New Roman"/>
          <w:sz w:val="24"/>
          <w:szCs w:val="24"/>
        </w:rPr>
        <w:t xml:space="preserve">sta investigación aporta como novedad </w:t>
      </w:r>
      <w:r w:rsidR="00090708" w:rsidRPr="00147038">
        <w:rPr>
          <w:rFonts w:ascii="Times New Roman" w:hAnsi="Times New Roman" w:cs="Times New Roman"/>
          <w:sz w:val="24"/>
          <w:szCs w:val="24"/>
        </w:rPr>
        <w:t>la identificación de los ‘momentos intensivos’ y los ‘momentos extensivos’ de la dinámica de la contienda política</w:t>
      </w:r>
      <w:r w:rsidR="00834DEA" w:rsidRPr="00147038">
        <w:rPr>
          <w:rFonts w:ascii="Times New Roman" w:hAnsi="Times New Roman" w:cs="Times New Roman"/>
          <w:sz w:val="24"/>
          <w:szCs w:val="24"/>
        </w:rPr>
        <w:t xml:space="preserve"> y cómo se relacionan estos fenómenos con la demanda. Para </w:t>
      </w:r>
      <w:r w:rsidR="008F1896" w:rsidRPr="00147038">
        <w:rPr>
          <w:rFonts w:ascii="Times New Roman" w:hAnsi="Times New Roman" w:cs="Times New Roman"/>
          <w:sz w:val="24"/>
          <w:szCs w:val="24"/>
        </w:rPr>
        <w:t>desarrollar</w:t>
      </w:r>
      <w:r w:rsidR="00834DEA" w:rsidRPr="00147038">
        <w:rPr>
          <w:rFonts w:ascii="Times New Roman" w:hAnsi="Times New Roman" w:cs="Times New Roman"/>
          <w:sz w:val="24"/>
          <w:szCs w:val="24"/>
        </w:rPr>
        <w:t xml:space="preserve"> el análisis de relaciones entre la frecuencia de la movilización y la demanda se han utilizado datos </w:t>
      </w:r>
      <w:r w:rsidR="00F22118" w:rsidRPr="00147038">
        <w:rPr>
          <w:rFonts w:ascii="Times New Roman" w:hAnsi="Times New Roman" w:cs="Times New Roman"/>
          <w:sz w:val="24"/>
          <w:szCs w:val="24"/>
        </w:rPr>
        <w:t>obtenido</w:t>
      </w:r>
      <w:r w:rsidR="000714C0" w:rsidRPr="00147038">
        <w:rPr>
          <w:rFonts w:ascii="Times New Roman" w:hAnsi="Times New Roman" w:cs="Times New Roman"/>
          <w:sz w:val="24"/>
          <w:szCs w:val="24"/>
        </w:rPr>
        <w:t>s</w:t>
      </w:r>
      <w:r w:rsidR="00F22118" w:rsidRPr="00147038">
        <w:rPr>
          <w:rFonts w:ascii="Times New Roman" w:hAnsi="Times New Roman" w:cs="Times New Roman"/>
          <w:sz w:val="24"/>
          <w:szCs w:val="24"/>
        </w:rPr>
        <w:t xml:space="preserve"> a partir de un </w:t>
      </w:r>
      <w:r w:rsidR="00F22118" w:rsidRPr="00147038">
        <w:rPr>
          <w:rFonts w:ascii="Times New Roman" w:hAnsi="Times New Roman" w:cs="Times New Roman"/>
          <w:i/>
          <w:iCs/>
          <w:sz w:val="24"/>
          <w:szCs w:val="24"/>
        </w:rPr>
        <w:t>Protest Event Analysis</w:t>
      </w:r>
      <w:r w:rsidR="00F22118" w:rsidRPr="00147038">
        <w:rPr>
          <w:rFonts w:ascii="Times New Roman" w:hAnsi="Times New Roman" w:cs="Times New Roman"/>
          <w:sz w:val="24"/>
          <w:szCs w:val="24"/>
        </w:rPr>
        <w:t xml:space="preserve"> (PEA) aplicado sobre el Movimiento Indignado en España (2011-2015)</w:t>
      </w:r>
      <w:r w:rsidR="000714C0" w:rsidRPr="00147038">
        <w:rPr>
          <w:rFonts w:ascii="Times New Roman" w:hAnsi="Times New Roman" w:cs="Times New Roman"/>
          <w:sz w:val="24"/>
          <w:szCs w:val="24"/>
        </w:rPr>
        <w:t>.</w:t>
      </w:r>
      <w:r w:rsidR="00CE2CE6" w:rsidRPr="00147038">
        <w:rPr>
          <w:rFonts w:ascii="Times New Roman" w:hAnsi="Times New Roman" w:cs="Times New Roman"/>
          <w:sz w:val="24"/>
          <w:szCs w:val="24"/>
        </w:rPr>
        <w:t xml:space="preserve"> Asimismo, estos datos fueron utilizados en la </w:t>
      </w:r>
      <w:r w:rsidR="00DE786A" w:rsidRPr="00147038">
        <w:rPr>
          <w:rFonts w:ascii="Times New Roman" w:hAnsi="Times New Roman" w:cs="Times New Roman"/>
          <w:sz w:val="24"/>
          <w:szCs w:val="24"/>
        </w:rPr>
        <w:t>investigación doctoral de Marín-Gutiérrez (2022) y la presente ponencia se encuentra en el marco de</w:t>
      </w:r>
      <w:r w:rsidR="008C60F2" w:rsidRPr="00147038">
        <w:rPr>
          <w:rFonts w:ascii="Times New Roman" w:hAnsi="Times New Roman" w:cs="Times New Roman"/>
          <w:sz w:val="24"/>
          <w:szCs w:val="24"/>
        </w:rPr>
        <w:t xml:space="preserve"> una estancia internacional en el Laboratorio de Movimientos Sociales y Condiciones de Vida de la Facultad de Trabajo Social de la Universidad Nacional de La Plata,</w:t>
      </w:r>
      <w:r w:rsidR="00040B3F" w:rsidRPr="00147038">
        <w:rPr>
          <w:rFonts w:ascii="Times New Roman" w:hAnsi="Times New Roman" w:cs="Times New Roman"/>
          <w:sz w:val="24"/>
          <w:szCs w:val="24"/>
        </w:rPr>
        <w:t xml:space="preserve"> donde se profundiza </w:t>
      </w:r>
      <w:r w:rsidR="009D0957" w:rsidRPr="00147038">
        <w:rPr>
          <w:rFonts w:ascii="Times New Roman" w:hAnsi="Times New Roman" w:cs="Times New Roman"/>
          <w:sz w:val="24"/>
          <w:szCs w:val="24"/>
        </w:rPr>
        <w:t>sobre cómo influye la movilización social</w:t>
      </w:r>
      <w:r w:rsidR="008E4964" w:rsidRPr="00147038">
        <w:rPr>
          <w:rFonts w:ascii="Times New Roman" w:hAnsi="Times New Roman" w:cs="Times New Roman"/>
          <w:sz w:val="24"/>
          <w:szCs w:val="24"/>
        </w:rPr>
        <w:t xml:space="preserve"> sobre las escenas culturales (</w:t>
      </w:r>
      <w:r w:rsidR="00E136EA" w:rsidRPr="00147038">
        <w:rPr>
          <w:rFonts w:ascii="Times New Roman" w:hAnsi="Times New Roman" w:cs="Times New Roman"/>
          <w:sz w:val="24"/>
          <w:szCs w:val="24"/>
        </w:rPr>
        <w:t>Navarro et al., 2014).</w:t>
      </w:r>
      <w:r w:rsidR="0056650B" w:rsidRPr="00147038">
        <w:rPr>
          <w:rFonts w:ascii="Times New Roman" w:hAnsi="Times New Roman" w:cs="Times New Roman"/>
          <w:sz w:val="24"/>
          <w:szCs w:val="24"/>
        </w:rPr>
        <w:t xml:space="preserve"> </w:t>
      </w:r>
      <w:r w:rsidR="008F1896" w:rsidRPr="00147038">
        <w:rPr>
          <w:rFonts w:ascii="Times New Roman" w:hAnsi="Times New Roman" w:cs="Times New Roman"/>
          <w:sz w:val="24"/>
          <w:szCs w:val="24"/>
        </w:rPr>
        <w:t xml:space="preserve">El presente texto tiene un carácter introductorio sobre los conceptos </w:t>
      </w:r>
      <w:r w:rsidR="0060253B" w:rsidRPr="00147038">
        <w:rPr>
          <w:rFonts w:ascii="Times New Roman" w:hAnsi="Times New Roman" w:cs="Times New Roman"/>
          <w:sz w:val="24"/>
          <w:szCs w:val="24"/>
        </w:rPr>
        <w:t>señalados anteriormente</w:t>
      </w:r>
      <w:r w:rsidR="00A669F9" w:rsidRPr="00147038">
        <w:rPr>
          <w:rFonts w:ascii="Times New Roman" w:hAnsi="Times New Roman" w:cs="Times New Roman"/>
          <w:sz w:val="24"/>
          <w:szCs w:val="24"/>
        </w:rPr>
        <w:t xml:space="preserve"> sobre la dinámica de la contienda política y aporta nuevas </w:t>
      </w:r>
      <w:r w:rsidR="00A669F9" w:rsidRPr="00147038">
        <w:rPr>
          <w:rFonts w:ascii="Times New Roman" w:hAnsi="Times New Roman" w:cs="Times New Roman"/>
          <w:sz w:val="24"/>
          <w:szCs w:val="24"/>
        </w:rPr>
        <w:lastRenderedPageBreak/>
        <w:t xml:space="preserve">perspectivas para </w:t>
      </w:r>
      <w:r w:rsidR="003E2198" w:rsidRPr="00147038">
        <w:rPr>
          <w:rFonts w:ascii="Times New Roman" w:hAnsi="Times New Roman" w:cs="Times New Roman"/>
          <w:sz w:val="24"/>
          <w:szCs w:val="24"/>
        </w:rPr>
        <w:t xml:space="preserve">ampliar el conocimiento sobre la misma, </w:t>
      </w:r>
      <w:r w:rsidR="008F1896" w:rsidRPr="00147038">
        <w:rPr>
          <w:rFonts w:ascii="Times New Roman" w:hAnsi="Times New Roman" w:cs="Times New Roman"/>
          <w:sz w:val="24"/>
          <w:szCs w:val="24"/>
        </w:rPr>
        <w:t>esclareciendo qué factores deberían tenerse en cuenta para advertir este tipo de fenómenos durante los periodos de agitación.</w:t>
      </w:r>
    </w:p>
    <w:p w14:paraId="3A54E4B5" w14:textId="77777777" w:rsidR="008F1896" w:rsidRPr="00147038" w:rsidRDefault="008F1896" w:rsidP="008F1896">
      <w:pPr>
        <w:spacing w:after="0" w:line="360" w:lineRule="auto"/>
        <w:jc w:val="both"/>
        <w:rPr>
          <w:rFonts w:ascii="Times New Roman" w:hAnsi="Times New Roman" w:cs="Times New Roman"/>
          <w:sz w:val="24"/>
          <w:szCs w:val="24"/>
        </w:rPr>
      </w:pPr>
    </w:p>
    <w:p w14:paraId="2CB3BAD3" w14:textId="4FAB55A6" w:rsidR="0056650B" w:rsidRPr="00147038" w:rsidRDefault="0056650B" w:rsidP="0056650B">
      <w:pPr>
        <w:pStyle w:val="Prrafodelista"/>
        <w:numPr>
          <w:ilvl w:val="0"/>
          <w:numId w:val="10"/>
        </w:num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Desarrollo</w:t>
      </w:r>
      <w:r w:rsidR="006E2055" w:rsidRPr="00147038">
        <w:rPr>
          <w:rFonts w:ascii="Times New Roman" w:hAnsi="Times New Roman" w:cs="Times New Roman"/>
          <w:b/>
          <w:bCs/>
          <w:sz w:val="24"/>
          <w:szCs w:val="24"/>
        </w:rPr>
        <w:t xml:space="preserve"> teórico y metodológico</w:t>
      </w:r>
    </w:p>
    <w:p w14:paraId="7DABA999" w14:textId="61129681" w:rsidR="00237251" w:rsidRPr="00147038" w:rsidRDefault="00237251" w:rsidP="00934C60">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El estudio de la contienda política se ha explorado tradicionalmente desde una perspectiva longitudinal, considerando la agregación episódica de eventos de protesta. El concepto de ciclos de movilización no es en sí una novedad, puesto que Buerklin (1987) determinó que los fenómenos políticos y sociales se ven afectados por variaciones fluctuantes que han sido interpretadas como «series temporales que describen y explican el cambio social y político». </w:t>
      </w:r>
      <w:r w:rsidR="006170DD" w:rsidRPr="00147038">
        <w:rPr>
          <w:rFonts w:ascii="Times New Roman" w:hAnsi="Times New Roman" w:cs="Times New Roman"/>
          <w:sz w:val="24"/>
          <w:szCs w:val="24"/>
        </w:rPr>
        <w:t xml:space="preserve">Este concepto, como puede verse, ya introduce la idea de fluctuación. </w:t>
      </w:r>
      <w:r w:rsidR="00934C60" w:rsidRPr="00147038">
        <w:rPr>
          <w:rFonts w:ascii="Times New Roman" w:hAnsi="Times New Roman" w:cs="Times New Roman"/>
          <w:sz w:val="24"/>
          <w:szCs w:val="24"/>
        </w:rPr>
        <w:t>Zolberg (1972)</w:t>
      </w:r>
      <w:r w:rsidR="006170DD" w:rsidRPr="00147038">
        <w:rPr>
          <w:rFonts w:ascii="Times New Roman" w:hAnsi="Times New Roman" w:cs="Times New Roman"/>
          <w:sz w:val="24"/>
          <w:szCs w:val="24"/>
        </w:rPr>
        <w:t>, por otro lado,</w:t>
      </w:r>
      <w:r w:rsidR="00934C60" w:rsidRPr="00147038">
        <w:rPr>
          <w:rFonts w:ascii="Times New Roman" w:hAnsi="Times New Roman" w:cs="Times New Roman"/>
          <w:sz w:val="24"/>
          <w:szCs w:val="24"/>
        </w:rPr>
        <w:t xml:space="preserve"> </w:t>
      </w:r>
      <w:r w:rsidR="00725E29" w:rsidRPr="00147038">
        <w:rPr>
          <w:rFonts w:ascii="Times New Roman" w:hAnsi="Times New Roman" w:cs="Times New Roman"/>
          <w:sz w:val="24"/>
          <w:szCs w:val="24"/>
        </w:rPr>
        <w:t>afirmó</w:t>
      </w:r>
      <w:r w:rsidR="00934C60" w:rsidRPr="00147038">
        <w:rPr>
          <w:rFonts w:ascii="Times New Roman" w:hAnsi="Times New Roman" w:cs="Times New Roman"/>
          <w:sz w:val="24"/>
          <w:szCs w:val="24"/>
        </w:rPr>
        <w:t xml:space="preserve"> que las principales características que identifican a los ciclos de protesta podrían verse alteradas</w:t>
      </w:r>
      <w:r w:rsidR="00725E29" w:rsidRPr="00147038">
        <w:rPr>
          <w:rFonts w:ascii="Times New Roman" w:hAnsi="Times New Roman" w:cs="Times New Roman"/>
          <w:sz w:val="24"/>
          <w:szCs w:val="24"/>
        </w:rPr>
        <w:t xml:space="preserve"> por </w:t>
      </w:r>
      <w:r w:rsidR="00EF7A1E" w:rsidRPr="00147038">
        <w:rPr>
          <w:rFonts w:ascii="Times New Roman" w:hAnsi="Times New Roman" w:cs="Times New Roman"/>
          <w:sz w:val="24"/>
          <w:szCs w:val="24"/>
        </w:rPr>
        <w:t xml:space="preserve">el incremento inesperado de la movilización. </w:t>
      </w:r>
      <w:r w:rsidR="00A01EB5" w:rsidRPr="00147038">
        <w:rPr>
          <w:rFonts w:ascii="Times New Roman" w:hAnsi="Times New Roman" w:cs="Times New Roman"/>
          <w:sz w:val="24"/>
          <w:szCs w:val="24"/>
        </w:rPr>
        <w:t>Este fenómeno fue identificado como «momento de locura».</w:t>
      </w:r>
      <w:r w:rsidR="00216BC4" w:rsidRPr="00147038">
        <w:rPr>
          <w:rFonts w:ascii="Times New Roman" w:hAnsi="Times New Roman" w:cs="Times New Roman"/>
          <w:sz w:val="24"/>
          <w:szCs w:val="24"/>
        </w:rPr>
        <w:t xml:space="preserve"> </w:t>
      </w:r>
      <w:r w:rsidRPr="00147038">
        <w:rPr>
          <w:rFonts w:ascii="Times New Roman" w:hAnsi="Times New Roman" w:cs="Times New Roman"/>
          <w:sz w:val="24"/>
          <w:szCs w:val="24"/>
        </w:rPr>
        <w:t xml:space="preserve">La hipótesis de Tarrow </w:t>
      </w:r>
      <w:r w:rsidR="005F7BC7" w:rsidRPr="00147038">
        <w:rPr>
          <w:rFonts w:ascii="Times New Roman" w:hAnsi="Times New Roman" w:cs="Times New Roman"/>
          <w:sz w:val="24"/>
          <w:szCs w:val="24"/>
        </w:rPr>
        <w:t xml:space="preserve">(2002) </w:t>
      </w:r>
      <w:r w:rsidRPr="00147038">
        <w:rPr>
          <w:rFonts w:ascii="Times New Roman" w:hAnsi="Times New Roman" w:cs="Times New Roman"/>
          <w:sz w:val="24"/>
          <w:szCs w:val="24"/>
        </w:rPr>
        <w:t xml:space="preserve">es que la relación entre </w:t>
      </w:r>
      <w:r w:rsidR="00216BC4" w:rsidRPr="00147038">
        <w:rPr>
          <w:rFonts w:ascii="Times New Roman" w:hAnsi="Times New Roman" w:cs="Times New Roman"/>
          <w:sz w:val="24"/>
          <w:szCs w:val="24"/>
        </w:rPr>
        <w:t>los ciclos de protesta y los momentos de locura</w:t>
      </w:r>
      <w:r w:rsidRPr="00147038">
        <w:rPr>
          <w:rFonts w:ascii="Times New Roman" w:hAnsi="Times New Roman" w:cs="Times New Roman"/>
          <w:sz w:val="24"/>
          <w:szCs w:val="24"/>
        </w:rPr>
        <w:t xml:space="preserve"> se produce como una evolución dinámica, de modo que la acción colectiva emergida durante los momentos de locura se adapta paulatinamente a las necesidades del conflicto social hasta integrarse en él como formas asimiladas. </w:t>
      </w:r>
    </w:p>
    <w:p w14:paraId="4D9B2A05" w14:textId="77777777" w:rsidR="006715C5" w:rsidRPr="00147038" w:rsidRDefault="006715C5" w:rsidP="00CC1DB7">
      <w:pPr>
        <w:spacing w:after="0" w:line="360" w:lineRule="auto"/>
        <w:jc w:val="both"/>
        <w:rPr>
          <w:rFonts w:ascii="Times New Roman" w:hAnsi="Times New Roman" w:cs="Times New Roman"/>
          <w:sz w:val="24"/>
          <w:szCs w:val="24"/>
        </w:rPr>
      </w:pPr>
    </w:p>
    <w:p w14:paraId="0776900E" w14:textId="73431FE9" w:rsidR="00CB6812" w:rsidRPr="00147038" w:rsidRDefault="005678A3" w:rsidP="00CC1DB7">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Desde la perspectiva que se quiere introducir en esta ponencia, </w:t>
      </w:r>
      <w:r w:rsidR="007E461E" w:rsidRPr="00147038">
        <w:rPr>
          <w:rFonts w:ascii="Times New Roman" w:hAnsi="Times New Roman" w:cs="Times New Roman"/>
          <w:sz w:val="24"/>
          <w:szCs w:val="24"/>
        </w:rPr>
        <w:t xml:space="preserve">los momentos de locura van a ser identificados como ‘momentos intensivos’, es decir, periodos cortos de tiempo en los que se produce una alta frecuencia de movilización. </w:t>
      </w:r>
      <w:r w:rsidR="008848F5" w:rsidRPr="00147038">
        <w:rPr>
          <w:rFonts w:ascii="Times New Roman" w:hAnsi="Times New Roman" w:cs="Times New Roman"/>
          <w:sz w:val="24"/>
          <w:szCs w:val="24"/>
        </w:rPr>
        <w:t xml:space="preserve">Lo que Tarrow ha entendido como ciclo de protesta podría verse como el ‘momento extensivo’ de la contienda política, </w:t>
      </w:r>
      <w:r w:rsidR="00C01B70" w:rsidRPr="00147038">
        <w:rPr>
          <w:rFonts w:ascii="Times New Roman" w:hAnsi="Times New Roman" w:cs="Times New Roman"/>
          <w:sz w:val="24"/>
          <w:szCs w:val="24"/>
        </w:rPr>
        <w:t>donde la frecuencia de movilización se mantiene regularmente estable.</w:t>
      </w:r>
    </w:p>
    <w:p w14:paraId="4729A7A0" w14:textId="77777777" w:rsidR="006715C5" w:rsidRPr="00147038" w:rsidRDefault="006715C5" w:rsidP="002B21D3">
      <w:pPr>
        <w:spacing w:after="0" w:line="360" w:lineRule="auto"/>
        <w:ind w:left="360"/>
        <w:jc w:val="both"/>
        <w:rPr>
          <w:rFonts w:ascii="Times New Roman" w:hAnsi="Times New Roman" w:cs="Times New Roman"/>
          <w:sz w:val="24"/>
          <w:szCs w:val="24"/>
        </w:rPr>
      </w:pPr>
    </w:p>
    <w:p w14:paraId="2F2417DA" w14:textId="0DA7C76D" w:rsidR="00927D3A" w:rsidRPr="00147038" w:rsidRDefault="00927D3A" w:rsidP="00927D3A">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Para comprender más adecuadamente la relación entre los ‘momentos intensivos’ y los ‘momentos extensivos’ se ha recurrido al caso del Movimiento Indignado a partir del acontecimiento desencadenante ocurrido tras la convocatoria </w:t>
      </w:r>
      <w:r w:rsidR="00557CD4" w:rsidRPr="00147038">
        <w:rPr>
          <w:rFonts w:ascii="Times New Roman" w:hAnsi="Times New Roman" w:cs="Times New Roman"/>
          <w:sz w:val="24"/>
          <w:szCs w:val="24"/>
        </w:rPr>
        <w:t xml:space="preserve">de movilización </w:t>
      </w:r>
      <w:r w:rsidRPr="00147038">
        <w:rPr>
          <w:rFonts w:ascii="Times New Roman" w:hAnsi="Times New Roman" w:cs="Times New Roman"/>
          <w:sz w:val="24"/>
          <w:szCs w:val="24"/>
        </w:rPr>
        <w:t>del 15-M</w:t>
      </w:r>
      <w:r w:rsidRPr="00147038">
        <w:rPr>
          <w:rStyle w:val="Refdenotaalpie"/>
          <w:rFonts w:ascii="Times New Roman" w:hAnsi="Times New Roman" w:cs="Times New Roman"/>
          <w:sz w:val="24"/>
          <w:szCs w:val="24"/>
        </w:rPr>
        <w:footnoteReference w:id="2"/>
      </w:r>
      <w:r w:rsidRPr="00147038">
        <w:rPr>
          <w:rFonts w:ascii="Times New Roman" w:hAnsi="Times New Roman" w:cs="Times New Roman"/>
          <w:sz w:val="24"/>
          <w:szCs w:val="24"/>
        </w:rPr>
        <w:t xml:space="preserve">. Portos (2016) reconoce que a partir de esta convocatoria se produce un salto de escala en la frecuencia de movilización durante el periodo anti-austeridad (2007-2015). En ese estudio se muestra existen pocos eventos en el periodo 2007-2010, con movilizaciones masivas ocasionales, y que se observa un incremento inesperado desde mediados de 2011, prolongándose hasta un declive </w:t>
      </w:r>
      <w:r w:rsidRPr="00147038">
        <w:rPr>
          <w:rFonts w:ascii="Times New Roman" w:hAnsi="Times New Roman" w:cs="Times New Roman"/>
          <w:sz w:val="24"/>
          <w:szCs w:val="24"/>
        </w:rPr>
        <w:lastRenderedPageBreak/>
        <w:t>paulatino a partir de 2013. Esta referencia se confirma en Calvo y Garciamarín (​2016) y se observa en el gráfico 1, a través de la frecuencia de manifestaciones recogida en los Anuarios del Ministerio del Interior del Gobierno de España.</w:t>
      </w:r>
    </w:p>
    <w:p w14:paraId="7B041F8F" w14:textId="77777777" w:rsidR="00C617B0" w:rsidRPr="00147038" w:rsidRDefault="00C617B0" w:rsidP="00C617B0">
      <w:pPr>
        <w:spacing w:after="0" w:line="360" w:lineRule="auto"/>
        <w:jc w:val="both"/>
        <w:rPr>
          <w:rFonts w:ascii="Times New Roman" w:hAnsi="Times New Roman" w:cs="Times New Roman"/>
          <w:sz w:val="24"/>
          <w:szCs w:val="24"/>
        </w:rPr>
      </w:pPr>
    </w:p>
    <w:p w14:paraId="683BAD1A" w14:textId="490CADED" w:rsidR="00C617B0" w:rsidRPr="00147038" w:rsidRDefault="00C617B0" w:rsidP="00C617B0">
      <w:p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 xml:space="preserve">Gráfico </w:t>
      </w:r>
      <w:r w:rsidR="00ED748E" w:rsidRPr="00147038">
        <w:rPr>
          <w:rFonts w:ascii="Times New Roman" w:hAnsi="Times New Roman" w:cs="Times New Roman"/>
          <w:b/>
          <w:bCs/>
          <w:sz w:val="24"/>
          <w:szCs w:val="24"/>
        </w:rPr>
        <w:t>0</w:t>
      </w:r>
      <w:r w:rsidRPr="00147038">
        <w:rPr>
          <w:rFonts w:ascii="Times New Roman" w:hAnsi="Times New Roman" w:cs="Times New Roman"/>
          <w:b/>
          <w:bCs/>
          <w:sz w:val="24"/>
          <w:szCs w:val="24"/>
        </w:rPr>
        <w:t>1. Frecuencia de manifestaciones en España (2006-2017)</w:t>
      </w:r>
    </w:p>
    <w:p w14:paraId="546CBDE6" w14:textId="77777777" w:rsidR="00C617B0" w:rsidRPr="00147038" w:rsidRDefault="00C617B0" w:rsidP="00C617B0">
      <w:pPr>
        <w:spacing w:after="0" w:line="360" w:lineRule="auto"/>
        <w:jc w:val="both"/>
        <w:rPr>
          <w:rFonts w:ascii="Times New Roman" w:hAnsi="Times New Roman" w:cs="Times New Roman"/>
          <w:sz w:val="24"/>
          <w:szCs w:val="24"/>
        </w:rPr>
      </w:pPr>
      <w:r w:rsidRPr="00147038">
        <w:rPr>
          <w:rFonts w:ascii="Times New Roman" w:hAnsi="Times New Roman" w:cs="Times New Roman"/>
          <w:noProof/>
        </w:rPr>
        <w:drawing>
          <wp:inline distT="0" distB="0" distL="0" distR="0" wp14:anchorId="1510A84E" wp14:editId="3B1582D1">
            <wp:extent cx="7314806" cy="2606040"/>
            <wp:effectExtent l="0" t="0" r="0" b="0"/>
            <wp:docPr id="3" name="Gráfico 3">
              <a:extLst xmlns:a="http://schemas.openxmlformats.org/drawingml/2006/main">
                <a:ext uri="{FF2B5EF4-FFF2-40B4-BE49-F238E27FC236}">
                  <a16:creationId xmlns:a16="http://schemas.microsoft.com/office/drawing/2014/main" id="{00000000-0008-0000-06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BDF944" w14:textId="77777777" w:rsidR="00C617B0" w:rsidRPr="00147038" w:rsidRDefault="00C617B0" w:rsidP="00C617B0">
      <w:pPr>
        <w:spacing w:after="0" w:line="360" w:lineRule="auto"/>
        <w:jc w:val="both"/>
        <w:rPr>
          <w:rFonts w:ascii="Times New Roman" w:hAnsi="Times New Roman" w:cs="Times New Roman"/>
          <w:sz w:val="20"/>
          <w:szCs w:val="20"/>
        </w:rPr>
      </w:pPr>
      <w:r w:rsidRPr="00147038">
        <w:rPr>
          <w:rFonts w:ascii="Times New Roman" w:hAnsi="Times New Roman" w:cs="Times New Roman"/>
          <w:sz w:val="20"/>
          <w:szCs w:val="20"/>
        </w:rPr>
        <w:t>Fuente: Datos agregados procedentes de los Anuarios del Ministerio del Interior del Gobierno de España</w:t>
      </w:r>
    </w:p>
    <w:p w14:paraId="48DFBF9F" w14:textId="77777777" w:rsidR="00C617B0" w:rsidRPr="00147038" w:rsidRDefault="00C617B0" w:rsidP="00C617B0">
      <w:pPr>
        <w:spacing w:after="0" w:line="360" w:lineRule="auto"/>
        <w:jc w:val="both"/>
        <w:rPr>
          <w:rFonts w:ascii="Times New Roman" w:hAnsi="Times New Roman" w:cs="Times New Roman"/>
          <w:sz w:val="24"/>
          <w:szCs w:val="24"/>
        </w:rPr>
      </w:pPr>
    </w:p>
    <w:p w14:paraId="3575FEFA" w14:textId="7F9C3327" w:rsidR="00C617B0" w:rsidRPr="00147038" w:rsidRDefault="00C6658F" w:rsidP="00C617B0">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Como puede apreciarse, después del evento del 15-M, el ciclo de protestas anti-austeridad experimenta un incremento </w:t>
      </w:r>
      <w:r w:rsidR="000C0292" w:rsidRPr="00147038">
        <w:rPr>
          <w:rFonts w:ascii="Times New Roman" w:hAnsi="Times New Roman" w:cs="Times New Roman"/>
          <w:sz w:val="24"/>
          <w:szCs w:val="24"/>
        </w:rPr>
        <w:t>sorpresivo de la movilización durante el resto del año y prolongándose durante los años 2012 y 2013, cuando la movilización comienza un periodo de desescalada</w:t>
      </w:r>
      <w:r w:rsidR="00D112A0" w:rsidRPr="00147038">
        <w:rPr>
          <w:rFonts w:ascii="Times New Roman" w:hAnsi="Times New Roman" w:cs="Times New Roman"/>
          <w:sz w:val="24"/>
          <w:szCs w:val="24"/>
        </w:rPr>
        <w:t xml:space="preserve"> en adelante. </w:t>
      </w:r>
      <w:r w:rsidR="008E22F2" w:rsidRPr="00147038">
        <w:rPr>
          <w:rFonts w:ascii="Times New Roman" w:hAnsi="Times New Roman" w:cs="Times New Roman"/>
          <w:sz w:val="24"/>
          <w:szCs w:val="24"/>
        </w:rPr>
        <w:t xml:space="preserve">Pero esto es en relación a la </w:t>
      </w:r>
      <w:r w:rsidR="007A1ED7" w:rsidRPr="00147038">
        <w:rPr>
          <w:rFonts w:ascii="Times New Roman" w:hAnsi="Times New Roman" w:cs="Times New Roman"/>
          <w:sz w:val="24"/>
          <w:szCs w:val="24"/>
        </w:rPr>
        <w:t xml:space="preserve">totalidad de la </w:t>
      </w:r>
      <w:r w:rsidR="008E22F2" w:rsidRPr="00147038">
        <w:rPr>
          <w:rFonts w:ascii="Times New Roman" w:hAnsi="Times New Roman" w:cs="Times New Roman"/>
          <w:sz w:val="24"/>
          <w:szCs w:val="24"/>
        </w:rPr>
        <w:t xml:space="preserve">protesta </w:t>
      </w:r>
      <w:r w:rsidR="00CF7F5C" w:rsidRPr="00147038">
        <w:rPr>
          <w:rFonts w:ascii="Times New Roman" w:hAnsi="Times New Roman" w:cs="Times New Roman"/>
          <w:sz w:val="24"/>
          <w:szCs w:val="24"/>
        </w:rPr>
        <w:t xml:space="preserve">recogida en los registros oficiales </w:t>
      </w:r>
      <w:r w:rsidR="007A1ED7" w:rsidRPr="00147038">
        <w:rPr>
          <w:rFonts w:ascii="Times New Roman" w:hAnsi="Times New Roman" w:cs="Times New Roman"/>
          <w:sz w:val="24"/>
          <w:szCs w:val="24"/>
        </w:rPr>
        <w:t xml:space="preserve">del Ministerio del Interior del Gobierno de España. Es decir, esa secuencia aparece todo tipo de protesta y no solo la relacionada con la </w:t>
      </w:r>
      <w:r w:rsidR="006A1ACC" w:rsidRPr="00147038">
        <w:rPr>
          <w:rFonts w:ascii="Times New Roman" w:hAnsi="Times New Roman" w:cs="Times New Roman"/>
          <w:sz w:val="24"/>
          <w:szCs w:val="24"/>
        </w:rPr>
        <w:t xml:space="preserve">austeridad impuesto por las instituciones económicas europeas. </w:t>
      </w:r>
    </w:p>
    <w:p w14:paraId="53FBF42F" w14:textId="77777777" w:rsidR="00D112A0" w:rsidRPr="00147038" w:rsidRDefault="00D112A0" w:rsidP="00C617B0">
      <w:pPr>
        <w:spacing w:after="0" w:line="360" w:lineRule="auto"/>
        <w:jc w:val="both"/>
        <w:rPr>
          <w:rFonts w:ascii="Times New Roman" w:hAnsi="Times New Roman" w:cs="Times New Roman"/>
          <w:sz w:val="24"/>
          <w:szCs w:val="24"/>
        </w:rPr>
      </w:pPr>
    </w:p>
    <w:p w14:paraId="733CB24B" w14:textId="03599F77" w:rsidR="006A1ACC" w:rsidRPr="00147038" w:rsidRDefault="006A1ACC" w:rsidP="006A1ACC">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Este análisis de aproximación trata de explorar las relaciones entre la frecuencia de la movilización concretamente anti</w:t>
      </w:r>
      <w:r w:rsidR="00DC6FD0" w:rsidRPr="00147038">
        <w:rPr>
          <w:rFonts w:ascii="Times New Roman" w:hAnsi="Times New Roman" w:cs="Times New Roman"/>
          <w:sz w:val="24"/>
          <w:szCs w:val="24"/>
        </w:rPr>
        <w:t xml:space="preserve">-austeridad y hacia qué reivindicaciones se dirigen las demandas que contienen. </w:t>
      </w:r>
      <w:r w:rsidR="007732DC" w:rsidRPr="00147038">
        <w:rPr>
          <w:rFonts w:ascii="Times New Roman" w:hAnsi="Times New Roman" w:cs="Times New Roman"/>
          <w:sz w:val="24"/>
          <w:szCs w:val="24"/>
        </w:rPr>
        <w:t xml:space="preserve">Para esto se han ejecutado dos procedimientos: por un lado, se ha creado una base de datos de protesta propia, según se explica a continuación, y por otro lado, </w:t>
      </w:r>
      <w:r w:rsidR="00AF56A8" w:rsidRPr="00147038">
        <w:rPr>
          <w:rFonts w:ascii="Times New Roman" w:hAnsi="Times New Roman" w:cs="Times New Roman"/>
          <w:sz w:val="24"/>
          <w:szCs w:val="24"/>
        </w:rPr>
        <w:t xml:space="preserve">se </w:t>
      </w:r>
      <w:r w:rsidR="0060780F" w:rsidRPr="00147038">
        <w:rPr>
          <w:rFonts w:ascii="Times New Roman" w:hAnsi="Times New Roman" w:cs="Times New Roman"/>
          <w:sz w:val="24"/>
          <w:szCs w:val="24"/>
        </w:rPr>
        <w:t xml:space="preserve">han comparado las frecuencias </w:t>
      </w:r>
      <w:r w:rsidR="00481304" w:rsidRPr="00147038">
        <w:rPr>
          <w:rFonts w:ascii="Times New Roman" w:hAnsi="Times New Roman" w:cs="Times New Roman"/>
          <w:sz w:val="24"/>
          <w:szCs w:val="24"/>
        </w:rPr>
        <w:t xml:space="preserve">de las demandas con respecto al total de la movilización para analizar en qué momento concreto se produce cada tipo de demanda. </w:t>
      </w:r>
    </w:p>
    <w:p w14:paraId="219954B8" w14:textId="77777777" w:rsidR="006A1ACC" w:rsidRPr="00147038" w:rsidRDefault="006A1ACC" w:rsidP="006A1ACC">
      <w:pPr>
        <w:spacing w:after="0" w:line="360" w:lineRule="auto"/>
        <w:jc w:val="both"/>
        <w:rPr>
          <w:rFonts w:ascii="Times New Roman" w:hAnsi="Times New Roman" w:cs="Times New Roman"/>
          <w:sz w:val="24"/>
          <w:szCs w:val="24"/>
        </w:rPr>
      </w:pPr>
    </w:p>
    <w:p w14:paraId="1A13D2C8" w14:textId="073EE915" w:rsidR="00B13686" w:rsidRPr="00147038" w:rsidRDefault="0072291D" w:rsidP="0072291D">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lastRenderedPageBreak/>
        <w:t xml:space="preserve">En este texto se ha aplicado un PEA como técnica para crear una base de datos de protestas a partir de la recogida de información, controlando la fuente utilizada, los criterios de sesgo, la fiabilidad y la consistencia, el periodo analizado y el territorio (Koopmans y Rucht, 2002; Earl et al. 2004; Hutter, 2014). Aunque el control de las unidades de observación resulta de gran importancia para la adecuada elaboración de una base de datos (Tilly, 2002), una de las singularidades de esta investigación es la forma en la que se caracteriza la unidad de análisis, es decir, lo que se entiende como evento de protesta. </w:t>
      </w:r>
    </w:p>
    <w:p w14:paraId="19B13CA5" w14:textId="77777777" w:rsidR="00B13686" w:rsidRPr="00147038" w:rsidRDefault="00B13686" w:rsidP="0072291D">
      <w:pPr>
        <w:spacing w:after="0" w:line="360" w:lineRule="auto"/>
        <w:jc w:val="both"/>
        <w:rPr>
          <w:rFonts w:ascii="Times New Roman" w:hAnsi="Times New Roman" w:cs="Times New Roman"/>
          <w:sz w:val="24"/>
          <w:szCs w:val="24"/>
        </w:rPr>
      </w:pPr>
    </w:p>
    <w:p w14:paraId="65FBA7D4" w14:textId="43297AF7" w:rsidR="004401A2" w:rsidRPr="00147038" w:rsidRDefault="00C025DC" w:rsidP="004401A2">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Concretamente, </w:t>
      </w:r>
      <w:r w:rsidR="00101BD1" w:rsidRPr="00147038">
        <w:rPr>
          <w:rFonts w:ascii="Times New Roman" w:hAnsi="Times New Roman" w:cs="Times New Roman"/>
          <w:sz w:val="24"/>
          <w:szCs w:val="24"/>
        </w:rPr>
        <w:t>para identificar los eventos de protesta</w:t>
      </w:r>
      <w:r w:rsidR="009E101E" w:rsidRPr="00147038">
        <w:rPr>
          <w:rFonts w:ascii="Times New Roman" w:hAnsi="Times New Roman" w:cs="Times New Roman"/>
          <w:sz w:val="24"/>
          <w:szCs w:val="24"/>
        </w:rPr>
        <w:t xml:space="preserve"> que aluden al Movimiento Indignado</w:t>
      </w:r>
      <w:r w:rsidR="00101BD1" w:rsidRPr="00147038">
        <w:rPr>
          <w:rFonts w:ascii="Times New Roman" w:hAnsi="Times New Roman" w:cs="Times New Roman"/>
          <w:sz w:val="24"/>
          <w:szCs w:val="24"/>
        </w:rPr>
        <w:t xml:space="preserve"> </w:t>
      </w:r>
      <w:r w:rsidR="004401A2" w:rsidRPr="00147038">
        <w:rPr>
          <w:rFonts w:ascii="Times New Roman" w:hAnsi="Times New Roman" w:cs="Times New Roman"/>
          <w:sz w:val="24"/>
          <w:szCs w:val="24"/>
        </w:rPr>
        <w:t xml:space="preserve">se han aplicado criterios de temporalidad y cohesión con la finalidad de justificar el periodo estudiado y los rasgos significativos que comparten las movilizaciones seleccionadas para integrar la base de datos del estudio. Mientras que en otros trabajos se pone el énfasis en recoger la mayor cantidad de casos posibles dentro del ciclo anti-austeridad aprovechando la fortaleza de esta metodología para el análisis longitudinal, en este texto se articulan mecanismos para identificar las protestas correspondientes </w:t>
      </w:r>
      <w:r w:rsidR="00945161" w:rsidRPr="00147038">
        <w:rPr>
          <w:rFonts w:ascii="Times New Roman" w:hAnsi="Times New Roman" w:cs="Times New Roman"/>
          <w:sz w:val="24"/>
          <w:szCs w:val="24"/>
        </w:rPr>
        <w:t>a lo que se ha denominado como</w:t>
      </w:r>
      <w:r w:rsidR="004401A2" w:rsidRPr="00147038">
        <w:rPr>
          <w:rFonts w:ascii="Times New Roman" w:hAnsi="Times New Roman" w:cs="Times New Roman"/>
          <w:sz w:val="24"/>
          <w:szCs w:val="24"/>
        </w:rPr>
        <w:t xml:space="preserve"> </w:t>
      </w:r>
      <w:r w:rsidR="00A87294" w:rsidRPr="00147038">
        <w:rPr>
          <w:rFonts w:ascii="Times New Roman" w:hAnsi="Times New Roman" w:cs="Times New Roman"/>
          <w:sz w:val="24"/>
          <w:szCs w:val="24"/>
        </w:rPr>
        <w:t>‘</w:t>
      </w:r>
      <w:r w:rsidR="004401A2" w:rsidRPr="00147038">
        <w:rPr>
          <w:rFonts w:ascii="Times New Roman" w:hAnsi="Times New Roman" w:cs="Times New Roman"/>
          <w:sz w:val="24"/>
          <w:szCs w:val="24"/>
        </w:rPr>
        <w:t>clúster indignado</w:t>
      </w:r>
      <w:r w:rsidR="00A87294" w:rsidRPr="00147038">
        <w:rPr>
          <w:rFonts w:ascii="Times New Roman" w:hAnsi="Times New Roman" w:cs="Times New Roman"/>
          <w:sz w:val="24"/>
          <w:szCs w:val="24"/>
        </w:rPr>
        <w:t>’ de movilización.</w:t>
      </w:r>
    </w:p>
    <w:p w14:paraId="660FE0FA" w14:textId="02624DC1" w:rsidR="00D112A0" w:rsidRPr="00147038" w:rsidRDefault="00D112A0" w:rsidP="00C617B0">
      <w:pPr>
        <w:spacing w:after="0" w:line="360" w:lineRule="auto"/>
        <w:jc w:val="both"/>
        <w:rPr>
          <w:rFonts w:ascii="Times New Roman" w:hAnsi="Times New Roman" w:cs="Times New Roman"/>
          <w:sz w:val="24"/>
          <w:szCs w:val="24"/>
        </w:rPr>
      </w:pPr>
    </w:p>
    <w:p w14:paraId="2ECEFA4C" w14:textId="539B998E" w:rsidR="00A87294" w:rsidRPr="00147038" w:rsidRDefault="00A87294" w:rsidP="00A87294">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El periodo estudiado se encuentra entre marzo de 2011 y junio de 2015. Aunque la planificación de las movilizaciones celebradas en España durante el 15-M comenzaron a principios de aquel mismo año a partir de diferentes «acciones conectivas» (Bennett y Segerber, 2012), el inicio del clúster indignado se ubica a partir de la edición española del ensayo </w:t>
      </w:r>
      <w:r w:rsidRPr="00147038">
        <w:rPr>
          <w:rFonts w:ascii="Times New Roman" w:hAnsi="Times New Roman" w:cs="Times New Roman"/>
          <w:i/>
          <w:iCs/>
          <w:sz w:val="24"/>
          <w:szCs w:val="24"/>
        </w:rPr>
        <w:t>¡Indignaos!</w:t>
      </w:r>
      <w:r w:rsidRPr="00147038">
        <w:rPr>
          <w:rFonts w:ascii="Times New Roman" w:hAnsi="Times New Roman" w:cs="Times New Roman"/>
          <w:sz w:val="24"/>
          <w:szCs w:val="24"/>
        </w:rPr>
        <w:t>, de Stéphane Hessel (2011)</w:t>
      </w:r>
      <w:r w:rsidRPr="00147038">
        <w:rPr>
          <w:rStyle w:val="Refdenotaalpie"/>
          <w:rFonts w:ascii="Times New Roman" w:hAnsi="Times New Roman" w:cs="Times New Roman"/>
          <w:sz w:val="24"/>
          <w:szCs w:val="24"/>
        </w:rPr>
        <w:footnoteReference w:id="3"/>
      </w:r>
      <w:r w:rsidRPr="00147038">
        <w:rPr>
          <w:rFonts w:ascii="Times New Roman" w:hAnsi="Times New Roman" w:cs="Times New Roman"/>
          <w:sz w:val="24"/>
          <w:szCs w:val="24"/>
        </w:rPr>
        <w:t xml:space="preserve">, y con la celebración de una protesta organizada por Juventud Sin Futuro bajo el lema </w:t>
      </w:r>
      <w:r w:rsidRPr="00147038">
        <w:rPr>
          <w:rFonts w:ascii="Times New Roman" w:hAnsi="Times New Roman" w:cs="Times New Roman"/>
          <w:i/>
          <w:iCs/>
          <w:sz w:val="24"/>
          <w:szCs w:val="24"/>
        </w:rPr>
        <w:t>Sin casa, sin curro, sin pensión. Juventud sin miedo. Recuperando nuestro futuro. Esto es solo el principio</w:t>
      </w:r>
      <w:r w:rsidRPr="00147038">
        <w:rPr>
          <w:rStyle w:val="Refdenotaalpie"/>
          <w:rFonts w:ascii="Times New Roman" w:hAnsi="Times New Roman" w:cs="Times New Roman"/>
          <w:i/>
          <w:iCs/>
          <w:sz w:val="24"/>
          <w:szCs w:val="24"/>
        </w:rPr>
        <w:footnoteReference w:id="4"/>
      </w:r>
      <w:r w:rsidRPr="00147038">
        <w:rPr>
          <w:rFonts w:ascii="Times New Roman" w:hAnsi="Times New Roman" w:cs="Times New Roman"/>
          <w:sz w:val="24"/>
          <w:szCs w:val="24"/>
        </w:rPr>
        <w:t xml:space="preserve">. Por otro lado, el cierre del ciclo de protestas analizado se sitúa en junio de 2015, con la constitución de los nuevos ayuntamientos resultantes de las elecciones municipales celebradas en mayo de ese mismo año. Distintos autores han reflexionado sobre cómo se produjo la transición de la calle a los ayuntamientos (Ibarra et al., 2018; Ubasart, 2018; Roth et al., 2019; Minguijón y Pac, 2019), así como la irrupción de experiencias electorales </w:t>
      </w:r>
      <w:r w:rsidRPr="00147038">
        <w:rPr>
          <w:rFonts w:ascii="Times New Roman" w:hAnsi="Times New Roman" w:cs="Times New Roman"/>
          <w:sz w:val="24"/>
          <w:szCs w:val="24"/>
        </w:rPr>
        <w:lastRenderedPageBreak/>
        <w:t>nacidas al calor de las movilizaciones (Lobera, 2015; Martín, 2015; Calvo y Álvarez, 2015; Subirats, 2015).</w:t>
      </w:r>
    </w:p>
    <w:p w14:paraId="747F3760" w14:textId="77777777" w:rsidR="00D112A0" w:rsidRPr="00147038" w:rsidRDefault="00D112A0" w:rsidP="00C617B0">
      <w:pPr>
        <w:spacing w:after="0" w:line="360" w:lineRule="auto"/>
        <w:jc w:val="both"/>
        <w:rPr>
          <w:rFonts w:ascii="Times New Roman" w:hAnsi="Times New Roman" w:cs="Times New Roman"/>
          <w:sz w:val="24"/>
          <w:szCs w:val="24"/>
        </w:rPr>
      </w:pPr>
    </w:p>
    <w:p w14:paraId="5AD753B0" w14:textId="441F3CBA" w:rsidR="00766467" w:rsidRPr="00147038" w:rsidRDefault="007E357C" w:rsidP="00766467">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El criterio analítico utilizado para incluir una protesta</w:t>
      </w:r>
      <w:r w:rsidR="00766467" w:rsidRPr="00147038">
        <w:rPr>
          <w:rFonts w:ascii="Times New Roman" w:hAnsi="Times New Roman" w:cs="Times New Roman"/>
          <w:sz w:val="24"/>
          <w:szCs w:val="24"/>
        </w:rPr>
        <w:t xml:space="preserve"> del periodo seleccionado</w:t>
      </w:r>
      <w:r w:rsidRPr="00147038">
        <w:rPr>
          <w:rFonts w:ascii="Times New Roman" w:hAnsi="Times New Roman" w:cs="Times New Roman"/>
          <w:sz w:val="24"/>
          <w:szCs w:val="24"/>
        </w:rPr>
        <w:t xml:space="preserve"> dentro del clúster indignado es que la acción colectiva estuviera impulsada por promotores autoidentificados en este periodo. La literatura habría reconocido a los impulsores de estas movilizaciones como un «ecosistema» (Gutiérrez, 2014; Lobera, 2015; Calvo y Álvarez, 2015), atribuyéndoles la capacidad de operar organizativamente como una red (Monterde, 2015) o reproductivamente durante un mecanismo rizomático (Castells, 2012). </w:t>
      </w:r>
      <w:r w:rsidR="00766467" w:rsidRPr="00147038">
        <w:rPr>
          <w:rFonts w:ascii="Times New Roman" w:hAnsi="Times New Roman" w:cs="Times New Roman"/>
          <w:sz w:val="24"/>
          <w:szCs w:val="24"/>
        </w:rPr>
        <w:t>El clúster indignado quedaría definido por aquellas protestas impulsadas por las organizaciones identificadas dentro de un «meta-marco amplio, generalista, pero que permite vincular iniciativas diversas y específicas, dotándolas de fuerzas renovadas al alinearlas con un nuevo consenso movilizador»</w:t>
      </w:r>
      <w:r w:rsidR="00766467" w:rsidRPr="00147038">
        <w:rPr>
          <w:rStyle w:val="Refdenotaalpie"/>
          <w:rFonts w:ascii="Times New Roman" w:hAnsi="Times New Roman" w:cs="Times New Roman"/>
          <w:sz w:val="24"/>
          <w:szCs w:val="24"/>
        </w:rPr>
        <w:footnoteReference w:id="5"/>
      </w:r>
      <w:r w:rsidR="00766467" w:rsidRPr="00147038">
        <w:rPr>
          <w:rFonts w:ascii="Times New Roman" w:hAnsi="Times New Roman" w:cs="Times New Roman"/>
          <w:sz w:val="24"/>
          <w:szCs w:val="24"/>
        </w:rPr>
        <w:t xml:space="preserve"> (Lobera, 2015</w:t>
      </w:r>
      <w:r w:rsidR="000979CE" w:rsidRPr="00147038">
        <w:rPr>
          <w:rFonts w:ascii="Times New Roman" w:hAnsi="Times New Roman" w:cs="Times New Roman"/>
          <w:sz w:val="24"/>
          <w:szCs w:val="24"/>
        </w:rPr>
        <w:t>, p.</w:t>
      </w:r>
      <w:r w:rsidR="00766467" w:rsidRPr="00147038">
        <w:rPr>
          <w:rFonts w:ascii="Times New Roman" w:hAnsi="Times New Roman" w:cs="Times New Roman"/>
          <w:sz w:val="24"/>
          <w:szCs w:val="24"/>
        </w:rPr>
        <w:t xml:space="preserve">102) durante el periodo comprendido entre 2011-2015. </w:t>
      </w:r>
    </w:p>
    <w:p w14:paraId="361F57E2" w14:textId="11B26DE4" w:rsidR="007E357C" w:rsidRPr="00147038" w:rsidRDefault="007E357C" w:rsidP="007E357C">
      <w:pPr>
        <w:spacing w:after="0" w:line="360" w:lineRule="auto"/>
        <w:jc w:val="both"/>
        <w:rPr>
          <w:rFonts w:ascii="Times New Roman" w:hAnsi="Times New Roman" w:cs="Times New Roman"/>
          <w:sz w:val="24"/>
          <w:szCs w:val="24"/>
        </w:rPr>
      </w:pPr>
    </w:p>
    <w:p w14:paraId="42988924" w14:textId="5486EA53" w:rsidR="00D5506F" w:rsidRPr="00147038" w:rsidRDefault="00D5506F" w:rsidP="00D5506F">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Para la selección de unidades de observación (N=1.342) fue utilizada la edición impresa del periódico </w:t>
      </w:r>
      <w:r w:rsidRPr="00147038">
        <w:rPr>
          <w:rFonts w:ascii="Times New Roman" w:hAnsi="Times New Roman" w:cs="Times New Roman"/>
          <w:i/>
          <w:iCs/>
          <w:sz w:val="24"/>
          <w:szCs w:val="24"/>
        </w:rPr>
        <w:t>El País</w:t>
      </w:r>
      <w:r w:rsidRPr="00147038">
        <w:rPr>
          <w:rFonts w:ascii="Times New Roman" w:hAnsi="Times New Roman" w:cs="Times New Roman"/>
          <w:sz w:val="24"/>
          <w:szCs w:val="24"/>
        </w:rPr>
        <w:t xml:space="preserve"> como fuente de información, accediendo a cada una de las informaciones analizadas a través de la aplicación Factiva de Dow Jones</w:t>
      </w:r>
      <w:r w:rsidRPr="00147038">
        <w:rPr>
          <w:rStyle w:val="Refdenotaalpie"/>
          <w:rFonts w:ascii="Times New Roman" w:hAnsi="Times New Roman" w:cs="Times New Roman"/>
          <w:sz w:val="24"/>
          <w:szCs w:val="24"/>
        </w:rPr>
        <w:footnoteReference w:id="6"/>
      </w:r>
      <w:r w:rsidRPr="00147038">
        <w:rPr>
          <w:rFonts w:ascii="Times New Roman" w:hAnsi="Times New Roman" w:cs="Times New Roman"/>
          <w:sz w:val="24"/>
          <w:szCs w:val="24"/>
        </w:rPr>
        <w:t>. A pesar de las consideraciones aportadas sobre el empleo de la prensa como fuente de datos sobre acciones colectivas (Río, 2008), se han aplicado mecanismos para el control de la calidad informativa de la fuente consultada y la credibilidad de la información</w:t>
      </w:r>
      <w:r w:rsidRPr="00147038">
        <w:rPr>
          <w:rStyle w:val="Refdenotaalpie"/>
          <w:rFonts w:ascii="Times New Roman" w:hAnsi="Times New Roman" w:cs="Times New Roman"/>
          <w:sz w:val="24"/>
          <w:szCs w:val="24"/>
        </w:rPr>
        <w:footnoteReference w:id="7"/>
      </w:r>
      <w:r w:rsidRPr="00147038">
        <w:rPr>
          <w:rFonts w:ascii="Times New Roman" w:hAnsi="Times New Roman" w:cs="Times New Roman"/>
          <w:sz w:val="24"/>
          <w:szCs w:val="24"/>
        </w:rPr>
        <w:t xml:space="preserve">, así como se han tenido en cuenta los sesgos de carácter periodístico (Lewin, 1947; Della Porta, 2014; Earl et al., 2014; Hutter, 2014) y espectacularidad (Bourdieu, 1997) relacionados con la información sobre la protesta. Las unidades de observación fueron transformadas en eventos de protesta a través de la codificación </w:t>
      </w:r>
      <w:r w:rsidRPr="00147038">
        <w:rPr>
          <w:rFonts w:ascii="Times New Roman" w:hAnsi="Times New Roman" w:cs="Times New Roman"/>
          <w:sz w:val="24"/>
          <w:szCs w:val="24"/>
        </w:rPr>
        <w:lastRenderedPageBreak/>
        <w:t>de ciento quince variables diferentes</w:t>
      </w:r>
      <w:r w:rsidRPr="00147038">
        <w:rPr>
          <w:rStyle w:val="Refdenotaalpie"/>
          <w:rFonts w:ascii="Times New Roman" w:hAnsi="Times New Roman" w:cs="Times New Roman"/>
          <w:sz w:val="24"/>
          <w:szCs w:val="24"/>
        </w:rPr>
        <w:footnoteReference w:id="8"/>
      </w:r>
      <w:r w:rsidRPr="00147038">
        <w:rPr>
          <w:rFonts w:ascii="Times New Roman" w:hAnsi="Times New Roman" w:cs="Times New Roman"/>
          <w:sz w:val="24"/>
          <w:szCs w:val="24"/>
        </w:rPr>
        <w:t xml:space="preserve">, aplicando Microsoft Excel y SPSS v25 para la limpieza, tratamiento y análisis de datos, obteniendo así la Base de Datos del Movimiento Indignado (N=762). </w:t>
      </w:r>
    </w:p>
    <w:p w14:paraId="11098AD2" w14:textId="77777777" w:rsidR="007E357C" w:rsidRPr="00147038" w:rsidRDefault="007E357C" w:rsidP="00C617B0">
      <w:pPr>
        <w:spacing w:after="0" w:line="360" w:lineRule="auto"/>
        <w:jc w:val="both"/>
        <w:rPr>
          <w:rFonts w:ascii="Times New Roman" w:hAnsi="Times New Roman" w:cs="Times New Roman"/>
          <w:sz w:val="24"/>
          <w:szCs w:val="24"/>
        </w:rPr>
      </w:pPr>
    </w:p>
    <w:p w14:paraId="0B253555" w14:textId="20663B25" w:rsidR="00575C13" w:rsidRPr="00147038" w:rsidRDefault="00926D6E" w:rsidP="00575C13">
      <w:pPr>
        <w:pStyle w:val="Prrafodelista"/>
        <w:tabs>
          <w:tab w:val="left" w:pos="284"/>
        </w:tabs>
        <w:spacing w:after="0" w:line="360" w:lineRule="auto"/>
        <w:ind w:left="0"/>
        <w:jc w:val="both"/>
        <w:rPr>
          <w:rFonts w:ascii="Times New Roman" w:hAnsi="Times New Roman" w:cs="Times New Roman"/>
          <w:sz w:val="24"/>
          <w:szCs w:val="24"/>
        </w:rPr>
      </w:pPr>
      <w:r w:rsidRPr="00147038">
        <w:rPr>
          <w:rFonts w:ascii="Times New Roman" w:hAnsi="Times New Roman" w:cs="Times New Roman"/>
          <w:sz w:val="24"/>
          <w:szCs w:val="24"/>
        </w:rPr>
        <w:t xml:space="preserve">Fundamentalmente, gracias a </w:t>
      </w:r>
      <w:r w:rsidR="00162BDE" w:rsidRPr="00147038">
        <w:rPr>
          <w:rFonts w:ascii="Times New Roman" w:hAnsi="Times New Roman" w:cs="Times New Roman"/>
          <w:sz w:val="24"/>
          <w:szCs w:val="24"/>
        </w:rPr>
        <w:t>los</w:t>
      </w:r>
      <w:r w:rsidRPr="00147038">
        <w:rPr>
          <w:rFonts w:ascii="Times New Roman" w:hAnsi="Times New Roman" w:cs="Times New Roman"/>
          <w:sz w:val="24"/>
          <w:szCs w:val="24"/>
        </w:rPr>
        <w:t xml:space="preserve"> datos</w:t>
      </w:r>
      <w:r w:rsidR="00162BDE" w:rsidRPr="00147038">
        <w:rPr>
          <w:rFonts w:ascii="Times New Roman" w:hAnsi="Times New Roman" w:cs="Times New Roman"/>
          <w:sz w:val="24"/>
          <w:szCs w:val="24"/>
        </w:rPr>
        <w:t xml:space="preserve"> de </w:t>
      </w:r>
      <w:r w:rsidR="00AC35B7" w:rsidRPr="00147038">
        <w:rPr>
          <w:rFonts w:ascii="Times New Roman" w:hAnsi="Times New Roman" w:cs="Times New Roman"/>
          <w:sz w:val="24"/>
          <w:szCs w:val="24"/>
        </w:rPr>
        <w:t>la BDMI</w:t>
      </w:r>
      <w:r w:rsidRPr="00147038">
        <w:rPr>
          <w:rFonts w:ascii="Times New Roman" w:hAnsi="Times New Roman" w:cs="Times New Roman"/>
          <w:sz w:val="24"/>
          <w:szCs w:val="24"/>
        </w:rPr>
        <w:t xml:space="preserve"> se ha estudiado la demanda</w:t>
      </w:r>
      <w:r w:rsidR="00575C13" w:rsidRPr="00147038">
        <w:rPr>
          <w:rFonts w:ascii="Times New Roman" w:hAnsi="Times New Roman" w:cs="Times New Roman"/>
          <w:sz w:val="24"/>
          <w:szCs w:val="24"/>
        </w:rPr>
        <w:t>, una dimensión que se encuentra entre los elementos clásicos de estudio de la contienda política. Las tensiones provocadas por el incremento de los agravios</w:t>
      </w:r>
      <w:r w:rsidR="00EC05F1" w:rsidRPr="00147038">
        <w:rPr>
          <w:rFonts w:ascii="Times New Roman" w:hAnsi="Times New Roman" w:cs="Times New Roman"/>
          <w:sz w:val="24"/>
          <w:szCs w:val="24"/>
        </w:rPr>
        <w:t xml:space="preserve">, </w:t>
      </w:r>
      <w:r w:rsidR="00575C13" w:rsidRPr="00147038">
        <w:rPr>
          <w:rFonts w:ascii="Times New Roman" w:hAnsi="Times New Roman" w:cs="Times New Roman"/>
          <w:sz w:val="24"/>
          <w:szCs w:val="24"/>
        </w:rPr>
        <w:t xml:space="preserve">así como la privación relativa provocada por la ausencia o restricción hacia un bien o servicio (Gurr, 1970) han sido dos de las explicaciones más frecuentes entre los fundamentos del conflicto político. La demanda se erige como </w:t>
      </w:r>
      <w:r w:rsidR="0015200D" w:rsidRPr="00147038">
        <w:rPr>
          <w:rFonts w:ascii="Times New Roman" w:hAnsi="Times New Roman" w:cs="Times New Roman"/>
          <w:sz w:val="24"/>
          <w:szCs w:val="24"/>
        </w:rPr>
        <w:t>un elemento en disputa</w:t>
      </w:r>
      <w:r w:rsidR="00575C13" w:rsidRPr="00147038">
        <w:rPr>
          <w:rFonts w:ascii="Times New Roman" w:hAnsi="Times New Roman" w:cs="Times New Roman"/>
          <w:sz w:val="24"/>
          <w:szCs w:val="24"/>
        </w:rPr>
        <w:t xml:space="preserve"> y termina dando forma a la construcción social de la protesta (Klandermans, 1994) a través del alineamiento de frames (Snow y Benford, 1988). Por tanto, hay un vínculo estrecho entre el objeto por el cual se disputa y el marco de referencia que se desarrolla alrededor del conflicto. </w:t>
      </w:r>
    </w:p>
    <w:p w14:paraId="1799A94E" w14:textId="2D7BB9FA" w:rsidR="00926D6E" w:rsidRPr="00147038" w:rsidRDefault="00926D6E" w:rsidP="00C617B0">
      <w:pPr>
        <w:spacing w:after="0" w:line="360" w:lineRule="auto"/>
        <w:jc w:val="both"/>
        <w:rPr>
          <w:rFonts w:ascii="Times New Roman" w:hAnsi="Times New Roman" w:cs="Times New Roman"/>
          <w:sz w:val="24"/>
          <w:szCs w:val="24"/>
        </w:rPr>
      </w:pPr>
    </w:p>
    <w:p w14:paraId="0A91207C" w14:textId="7EA6E6B3" w:rsidR="00B74842" w:rsidRPr="00147038" w:rsidRDefault="002E7CE6" w:rsidP="00B74842">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En este estudio introductorio se ha optado por operacionalizar la demanda según lo que Tarrow (1990)</w:t>
      </w:r>
      <w:r w:rsidR="000536BB" w:rsidRPr="00147038">
        <w:rPr>
          <w:rFonts w:ascii="Times New Roman" w:hAnsi="Times New Roman" w:cs="Times New Roman"/>
          <w:sz w:val="24"/>
          <w:szCs w:val="24"/>
        </w:rPr>
        <w:t xml:space="preserve"> denominó como el bien subyacente u objetivo al que pertenecen las reivindicaciones en función de su naturaleza temática, </w:t>
      </w:r>
      <w:r w:rsidRPr="00147038">
        <w:rPr>
          <w:rFonts w:ascii="Times New Roman" w:hAnsi="Times New Roman" w:cs="Times New Roman"/>
          <w:sz w:val="24"/>
          <w:szCs w:val="24"/>
        </w:rPr>
        <w:t xml:space="preserve">distinguiendo entre demandas económicas, sociales, políticas, antigubernamentales e ideológicas. Para este estudio se han agrupado en cuatro categorías: político-institucionales, socioeconómicas, servicios de bienestar y estilos de vida. </w:t>
      </w:r>
      <w:r w:rsidR="00B74842" w:rsidRPr="00147038">
        <w:rPr>
          <w:rFonts w:ascii="Times New Roman" w:hAnsi="Times New Roman" w:cs="Times New Roman"/>
          <w:sz w:val="24"/>
          <w:szCs w:val="24"/>
        </w:rPr>
        <w:t xml:space="preserve">En este estudio se ha optado por aplicar el criterio que caracteriza </w:t>
      </w:r>
      <w:r w:rsidR="00E23825" w:rsidRPr="00147038">
        <w:rPr>
          <w:rFonts w:ascii="Times New Roman" w:hAnsi="Times New Roman" w:cs="Times New Roman"/>
          <w:sz w:val="24"/>
          <w:szCs w:val="24"/>
        </w:rPr>
        <w:t xml:space="preserve">esta clasificación de </w:t>
      </w:r>
      <w:r w:rsidR="00B74842" w:rsidRPr="00147038">
        <w:rPr>
          <w:rFonts w:ascii="Times New Roman" w:hAnsi="Times New Roman" w:cs="Times New Roman"/>
          <w:sz w:val="24"/>
          <w:szCs w:val="24"/>
        </w:rPr>
        <w:t>las demandas según su naturaleza cultural. Inglehart (1977) y Opp (1990) habrían reducido las demandas a dos categorías: necesidades materialistas y posmaterialistas. Dentro de las demandas materialistas se encontrarán aquellas que hacen relación a demandas vinculadas con el estado de Bienestar y demandas de carácter socioeconómicas, mientras que entre las demandas posmaterialistas se encuentran aquellas de carácter político-institucional y las relacionadas con los estilos de vida.</w:t>
      </w:r>
    </w:p>
    <w:p w14:paraId="41C851F6" w14:textId="7C97F1CF" w:rsidR="002E7CE6" w:rsidRPr="00147038" w:rsidRDefault="002E7CE6" w:rsidP="002E7CE6">
      <w:pPr>
        <w:spacing w:after="0" w:line="360" w:lineRule="auto"/>
        <w:jc w:val="both"/>
        <w:rPr>
          <w:rFonts w:ascii="Times New Roman" w:hAnsi="Times New Roman" w:cs="Times New Roman"/>
          <w:sz w:val="24"/>
          <w:szCs w:val="24"/>
        </w:rPr>
      </w:pPr>
    </w:p>
    <w:p w14:paraId="5F92D010" w14:textId="5BF948EB" w:rsidR="000A3F1F" w:rsidRPr="00147038" w:rsidRDefault="000A3F1F" w:rsidP="000A3F1F">
      <w:pPr>
        <w:pStyle w:val="Prrafodelista"/>
        <w:numPr>
          <w:ilvl w:val="0"/>
          <w:numId w:val="10"/>
        </w:num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Conclusiones</w:t>
      </w:r>
      <w:r w:rsidR="006E2055" w:rsidRPr="00147038">
        <w:rPr>
          <w:rFonts w:ascii="Times New Roman" w:hAnsi="Times New Roman" w:cs="Times New Roman"/>
          <w:b/>
          <w:bCs/>
          <w:sz w:val="24"/>
          <w:szCs w:val="24"/>
        </w:rPr>
        <w:t>: r</w:t>
      </w:r>
      <w:r w:rsidRPr="00147038">
        <w:rPr>
          <w:rFonts w:ascii="Times New Roman" w:hAnsi="Times New Roman" w:cs="Times New Roman"/>
          <w:b/>
          <w:bCs/>
          <w:sz w:val="24"/>
          <w:szCs w:val="24"/>
        </w:rPr>
        <w:t>e</w:t>
      </w:r>
      <w:r w:rsidR="006E2055" w:rsidRPr="00147038">
        <w:rPr>
          <w:rFonts w:ascii="Times New Roman" w:hAnsi="Times New Roman" w:cs="Times New Roman"/>
          <w:b/>
          <w:bCs/>
          <w:sz w:val="24"/>
          <w:szCs w:val="24"/>
        </w:rPr>
        <w:t>sultados, hallazgos y discusión</w:t>
      </w:r>
    </w:p>
    <w:p w14:paraId="603C6BE5" w14:textId="617F6F69" w:rsidR="00EC7FBB" w:rsidRPr="00147038" w:rsidRDefault="00E57B94" w:rsidP="0040365E">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Los primeros resultados que se muestran en esta ponencia son los correspondientes a la frecuencia total de movilización para identificar </w:t>
      </w:r>
      <w:r w:rsidR="00E209D3" w:rsidRPr="00147038">
        <w:rPr>
          <w:rFonts w:ascii="Times New Roman" w:hAnsi="Times New Roman" w:cs="Times New Roman"/>
          <w:sz w:val="24"/>
          <w:szCs w:val="24"/>
        </w:rPr>
        <w:t xml:space="preserve">cómo evoluciona el conflicto social producido </w:t>
      </w:r>
      <w:r w:rsidR="00E209D3" w:rsidRPr="00147038">
        <w:rPr>
          <w:rFonts w:ascii="Times New Roman" w:hAnsi="Times New Roman" w:cs="Times New Roman"/>
          <w:sz w:val="24"/>
          <w:szCs w:val="24"/>
        </w:rPr>
        <w:lastRenderedPageBreak/>
        <w:t xml:space="preserve">por el Movimiento Indignado. </w:t>
      </w:r>
      <w:r w:rsidR="00481F4A" w:rsidRPr="00147038">
        <w:rPr>
          <w:rFonts w:ascii="Times New Roman" w:hAnsi="Times New Roman" w:cs="Times New Roman"/>
          <w:sz w:val="24"/>
          <w:szCs w:val="24"/>
        </w:rPr>
        <w:t xml:space="preserve">Para identificar la frecuencia de movilización del ‘momento intensivo’ y la correspondiente al ‘momento extensivo’, se presenta </w:t>
      </w:r>
      <w:r w:rsidR="006C13FC" w:rsidRPr="00147038">
        <w:rPr>
          <w:rFonts w:ascii="Times New Roman" w:hAnsi="Times New Roman" w:cs="Times New Roman"/>
          <w:sz w:val="24"/>
          <w:szCs w:val="24"/>
        </w:rPr>
        <w:t>la distribución temporal por trimestres en el gráfico 2.</w:t>
      </w:r>
      <w:r w:rsidR="00E209D3" w:rsidRPr="00147038">
        <w:rPr>
          <w:rFonts w:ascii="Times New Roman" w:hAnsi="Times New Roman" w:cs="Times New Roman"/>
          <w:sz w:val="24"/>
          <w:szCs w:val="24"/>
        </w:rPr>
        <w:t xml:space="preserve"> </w:t>
      </w:r>
    </w:p>
    <w:p w14:paraId="7CF5D012" w14:textId="77777777" w:rsidR="00EC7FBB" w:rsidRPr="00147038" w:rsidRDefault="00EC7FBB" w:rsidP="0040365E">
      <w:pPr>
        <w:spacing w:after="0" w:line="360" w:lineRule="auto"/>
        <w:jc w:val="both"/>
        <w:rPr>
          <w:rFonts w:ascii="Times New Roman" w:hAnsi="Times New Roman" w:cs="Times New Roman"/>
          <w:sz w:val="24"/>
          <w:szCs w:val="24"/>
        </w:rPr>
      </w:pPr>
    </w:p>
    <w:p w14:paraId="4C73F2F0" w14:textId="06792B40" w:rsidR="00376698" w:rsidRPr="00147038" w:rsidRDefault="00C04EAC" w:rsidP="0040365E">
      <w:p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 xml:space="preserve">Gráfico </w:t>
      </w:r>
      <w:r w:rsidR="00ED748E" w:rsidRPr="00147038">
        <w:rPr>
          <w:rFonts w:ascii="Times New Roman" w:hAnsi="Times New Roman" w:cs="Times New Roman"/>
          <w:b/>
          <w:bCs/>
          <w:sz w:val="24"/>
          <w:szCs w:val="24"/>
        </w:rPr>
        <w:t>0</w:t>
      </w:r>
      <w:r w:rsidRPr="00147038">
        <w:rPr>
          <w:rFonts w:ascii="Times New Roman" w:hAnsi="Times New Roman" w:cs="Times New Roman"/>
          <w:b/>
          <w:bCs/>
          <w:sz w:val="24"/>
          <w:szCs w:val="24"/>
        </w:rPr>
        <w:t>2. Frecuencia de eventos de protestas del Movimiento Indignado (2011</w:t>
      </w:r>
      <w:r w:rsidR="00C927A5" w:rsidRPr="00147038">
        <w:rPr>
          <w:rFonts w:ascii="Times New Roman" w:hAnsi="Times New Roman" w:cs="Times New Roman"/>
          <w:b/>
          <w:bCs/>
          <w:sz w:val="24"/>
          <w:szCs w:val="24"/>
        </w:rPr>
        <w:t>-2015)</w:t>
      </w:r>
    </w:p>
    <w:p w14:paraId="69B96AC1" w14:textId="4993B53F" w:rsidR="00376698" w:rsidRPr="00147038" w:rsidRDefault="00186B7E" w:rsidP="0040365E">
      <w:pPr>
        <w:spacing w:after="0" w:line="360" w:lineRule="auto"/>
        <w:jc w:val="both"/>
        <w:rPr>
          <w:rFonts w:ascii="Times New Roman" w:hAnsi="Times New Roman" w:cs="Times New Roman"/>
          <w:sz w:val="24"/>
          <w:szCs w:val="24"/>
        </w:rPr>
      </w:pPr>
      <w:r w:rsidRPr="00147038">
        <w:rPr>
          <w:rFonts w:ascii="Times New Roman" w:hAnsi="Times New Roman" w:cs="Times New Roman"/>
          <w:noProof/>
        </w:rPr>
        <w:drawing>
          <wp:inline distT="0" distB="0" distL="0" distR="0" wp14:anchorId="429D01D6" wp14:editId="20ECDC38">
            <wp:extent cx="5773783" cy="2743200"/>
            <wp:effectExtent l="0" t="0" r="0" b="0"/>
            <wp:docPr id="5" name="Gráfico 5">
              <a:extLst xmlns:a="http://schemas.openxmlformats.org/drawingml/2006/main">
                <a:ext uri="{FF2B5EF4-FFF2-40B4-BE49-F238E27FC236}">
                  <a16:creationId xmlns:a16="http://schemas.microsoft.com/office/drawing/2014/main" id="{076BEC24-1953-801F-D6C6-819101A9A8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D5A98D" w14:textId="71345C41" w:rsidR="00C927A5" w:rsidRPr="00147038" w:rsidRDefault="00C927A5" w:rsidP="00C927A5">
      <w:pPr>
        <w:spacing w:after="0" w:line="360" w:lineRule="auto"/>
        <w:jc w:val="both"/>
        <w:rPr>
          <w:rFonts w:ascii="Times New Roman" w:hAnsi="Times New Roman" w:cs="Times New Roman"/>
          <w:sz w:val="20"/>
          <w:szCs w:val="20"/>
        </w:rPr>
      </w:pPr>
      <w:r w:rsidRPr="00147038">
        <w:rPr>
          <w:rFonts w:ascii="Times New Roman" w:hAnsi="Times New Roman" w:cs="Times New Roman"/>
          <w:sz w:val="20"/>
          <w:szCs w:val="20"/>
        </w:rPr>
        <w:t>Fuente: BDMI</w:t>
      </w:r>
      <w:r w:rsidR="00481F4A" w:rsidRPr="00147038">
        <w:rPr>
          <w:rFonts w:ascii="Times New Roman" w:hAnsi="Times New Roman" w:cs="Times New Roman"/>
          <w:sz w:val="20"/>
          <w:szCs w:val="20"/>
        </w:rPr>
        <w:t xml:space="preserve"> (CSPL-UPO)</w:t>
      </w:r>
    </w:p>
    <w:p w14:paraId="0D8E311E" w14:textId="77777777" w:rsidR="00EC7FBB" w:rsidRPr="00147038" w:rsidRDefault="00EC7FBB" w:rsidP="0040365E">
      <w:pPr>
        <w:spacing w:after="0" w:line="360" w:lineRule="auto"/>
        <w:jc w:val="both"/>
        <w:rPr>
          <w:rFonts w:ascii="Times New Roman" w:hAnsi="Times New Roman" w:cs="Times New Roman"/>
          <w:sz w:val="24"/>
          <w:szCs w:val="24"/>
        </w:rPr>
      </w:pPr>
    </w:p>
    <w:p w14:paraId="25C462B9" w14:textId="573C14BF" w:rsidR="006C13FC" w:rsidRPr="00147038" w:rsidRDefault="001A4E9D" w:rsidP="0040365E">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Como se indicó en el apartado anterior, el momento de locura se produjo en las semanas posteriores de la convocatoria del quince de mayo de dos mil once, es decir, en el segundo trimestre del año. En el gráfico se aprecia un incremento inesperado de la movilización co</w:t>
      </w:r>
      <w:r w:rsidR="005242E8" w:rsidRPr="00147038">
        <w:rPr>
          <w:rFonts w:ascii="Times New Roman" w:hAnsi="Times New Roman" w:cs="Times New Roman"/>
          <w:sz w:val="24"/>
          <w:szCs w:val="24"/>
        </w:rPr>
        <w:t>n respecto al trimestre anterior y coincide con los datos presentados por Portos (2016) cuando</w:t>
      </w:r>
      <w:r w:rsidR="00824132" w:rsidRPr="00147038">
        <w:rPr>
          <w:rFonts w:ascii="Times New Roman" w:hAnsi="Times New Roman" w:cs="Times New Roman"/>
          <w:sz w:val="24"/>
          <w:szCs w:val="24"/>
        </w:rPr>
        <w:t xml:space="preserve"> señala el incremento inesperado de la movilización a partir de aquel evento masivo en una gran parte de ciudades españolas.</w:t>
      </w:r>
      <w:r w:rsidR="00DC51AF" w:rsidRPr="00147038">
        <w:rPr>
          <w:rFonts w:ascii="Times New Roman" w:hAnsi="Times New Roman" w:cs="Times New Roman"/>
          <w:sz w:val="24"/>
          <w:szCs w:val="24"/>
        </w:rPr>
        <w:t xml:space="preserve"> Sin embargo, lo </w:t>
      </w:r>
      <w:r w:rsidR="00C90E94" w:rsidRPr="00147038">
        <w:rPr>
          <w:rFonts w:ascii="Times New Roman" w:hAnsi="Times New Roman" w:cs="Times New Roman"/>
          <w:sz w:val="24"/>
          <w:szCs w:val="24"/>
        </w:rPr>
        <w:t xml:space="preserve">que se produce posteriormente no es el sostenimiento de la movilización sino una </w:t>
      </w:r>
      <w:r w:rsidR="008D4F53" w:rsidRPr="00147038">
        <w:rPr>
          <w:rFonts w:ascii="Times New Roman" w:hAnsi="Times New Roman" w:cs="Times New Roman"/>
          <w:sz w:val="24"/>
          <w:szCs w:val="24"/>
        </w:rPr>
        <w:t xml:space="preserve">brusca caída </w:t>
      </w:r>
      <w:r w:rsidR="00DD6DCE" w:rsidRPr="00147038">
        <w:rPr>
          <w:rFonts w:ascii="Times New Roman" w:hAnsi="Times New Roman" w:cs="Times New Roman"/>
          <w:sz w:val="24"/>
          <w:szCs w:val="24"/>
        </w:rPr>
        <w:t>a final de ese mismo y una relativa continuidad durante 2012 aunque en descen</w:t>
      </w:r>
      <w:r w:rsidR="005270DC" w:rsidRPr="00147038">
        <w:rPr>
          <w:rFonts w:ascii="Times New Roman" w:hAnsi="Times New Roman" w:cs="Times New Roman"/>
          <w:sz w:val="24"/>
          <w:szCs w:val="24"/>
        </w:rPr>
        <w:t>so hasta su desaparición a finales de 2013. Es decir, la frecuencia de la movilización de lo que se ha conocido como Movimiento Indignado</w:t>
      </w:r>
      <w:r w:rsidR="00985C17" w:rsidRPr="00147038">
        <w:rPr>
          <w:rFonts w:ascii="Times New Roman" w:hAnsi="Times New Roman" w:cs="Times New Roman"/>
          <w:sz w:val="24"/>
          <w:szCs w:val="24"/>
        </w:rPr>
        <w:t xml:space="preserve"> invita a pensar que hubo un ‘momento intensivo’ durante el </w:t>
      </w:r>
      <w:r w:rsidR="00A657EF" w:rsidRPr="00147038">
        <w:rPr>
          <w:rFonts w:ascii="Times New Roman" w:hAnsi="Times New Roman" w:cs="Times New Roman"/>
          <w:sz w:val="24"/>
          <w:szCs w:val="24"/>
        </w:rPr>
        <w:t>segundo</w:t>
      </w:r>
      <w:r w:rsidR="00985C17" w:rsidRPr="00147038">
        <w:rPr>
          <w:rFonts w:ascii="Times New Roman" w:hAnsi="Times New Roman" w:cs="Times New Roman"/>
          <w:sz w:val="24"/>
          <w:szCs w:val="24"/>
        </w:rPr>
        <w:t xml:space="preserve"> y </w:t>
      </w:r>
      <w:r w:rsidR="00A657EF" w:rsidRPr="00147038">
        <w:rPr>
          <w:rFonts w:ascii="Times New Roman" w:hAnsi="Times New Roman" w:cs="Times New Roman"/>
          <w:sz w:val="24"/>
          <w:szCs w:val="24"/>
        </w:rPr>
        <w:t>tercer</w:t>
      </w:r>
      <w:r w:rsidR="00985C17" w:rsidRPr="00147038">
        <w:rPr>
          <w:rFonts w:ascii="Times New Roman" w:hAnsi="Times New Roman" w:cs="Times New Roman"/>
          <w:sz w:val="24"/>
          <w:szCs w:val="24"/>
        </w:rPr>
        <w:t xml:space="preserve"> trimestre de 2011</w:t>
      </w:r>
      <w:r w:rsidR="005437DB" w:rsidRPr="00147038">
        <w:rPr>
          <w:rFonts w:ascii="Times New Roman" w:hAnsi="Times New Roman" w:cs="Times New Roman"/>
          <w:sz w:val="24"/>
          <w:szCs w:val="24"/>
        </w:rPr>
        <w:t xml:space="preserve">, mientras que </w:t>
      </w:r>
      <w:r w:rsidR="00A657EF" w:rsidRPr="00147038">
        <w:rPr>
          <w:rFonts w:ascii="Times New Roman" w:hAnsi="Times New Roman" w:cs="Times New Roman"/>
          <w:sz w:val="24"/>
          <w:szCs w:val="24"/>
        </w:rPr>
        <w:t>el resto de</w:t>
      </w:r>
      <w:r w:rsidR="00E45E27" w:rsidRPr="00147038">
        <w:rPr>
          <w:rFonts w:ascii="Times New Roman" w:hAnsi="Times New Roman" w:cs="Times New Roman"/>
          <w:sz w:val="24"/>
          <w:szCs w:val="24"/>
        </w:rPr>
        <w:t xml:space="preserve">l periodo estaría expresando el concepto de ‘momento extensivo’: </w:t>
      </w:r>
      <w:r w:rsidR="000B0099" w:rsidRPr="00147038">
        <w:rPr>
          <w:rFonts w:ascii="Times New Roman" w:hAnsi="Times New Roman" w:cs="Times New Roman"/>
          <w:sz w:val="24"/>
          <w:szCs w:val="24"/>
        </w:rPr>
        <w:t>la protesta se mantiene</w:t>
      </w:r>
      <w:r w:rsidR="00E45E27" w:rsidRPr="00147038">
        <w:rPr>
          <w:rFonts w:ascii="Times New Roman" w:hAnsi="Times New Roman" w:cs="Times New Roman"/>
          <w:sz w:val="24"/>
          <w:szCs w:val="24"/>
        </w:rPr>
        <w:t xml:space="preserve"> en forma de continuidad y latencia, sirviendo como </w:t>
      </w:r>
      <w:r w:rsidR="000B0099" w:rsidRPr="00147038">
        <w:rPr>
          <w:rFonts w:ascii="Times New Roman" w:hAnsi="Times New Roman" w:cs="Times New Roman"/>
          <w:sz w:val="24"/>
          <w:szCs w:val="24"/>
        </w:rPr>
        <w:t xml:space="preserve">referencia para la movilización que en ese momento se esté produciendo. </w:t>
      </w:r>
    </w:p>
    <w:p w14:paraId="14124F56" w14:textId="77777777" w:rsidR="000B0099" w:rsidRPr="00147038" w:rsidRDefault="000B0099" w:rsidP="0040365E">
      <w:pPr>
        <w:spacing w:after="0" w:line="360" w:lineRule="auto"/>
        <w:jc w:val="both"/>
        <w:rPr>
          <w:rFonts w:ascii="Times New Roman" w:hAnsi="Times New Roman" w:cs="Times New Roman"/>
          <w:sz w:val="24"/>
          <w:szCs w:val="24"/>
        </w:rPr>
      </w:pPr>
    </w:p>
    <w:p w14:paraId="6791D423" w14:textId="7B7DB566" w:rsidR="0040365E" w:rsidRPr="00147038" w:rsidRDefault="000B0099" w:rsidP="0040365E">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lastRenderedPageBreak/>
        <w:t xml:space="preserve">Este primer resultado también estaría invitando a </w:t>
      </w:r>
      <w:r w:rsidR="00822B06" w:rsidRPr="00147038">
        <w:rPr>
          <w:rFonts w:ascii="Times New Roman" w:hAnsi="Times New Roman" w:cs="Times New Roman"/>
          <w:sz w:val="24"/>
          <w:szCs w:val="24"/>
        </w:rPr>
        <w:t xml:space="preserve">reconsiderar la etiqueta de movimiento social que se habría aplicado al Movimiento Indignado. Más bien, como han apuntado otro autores, quizá sea conveniente no considerar este fenómeno como un movimiento social propio y sí como un </w:t>
      </w:r>
      <w:r w:rsidR="004D028C" w:rsidRPr="00147038">
        <w:rPr>
          <w:rFonts w:ascii="Times New Roman" w:hAnsi="Times New Roman" w:cs="Times New Roman"/>
          <w:sz w:val="24"/>
          <w:szCs w:val="24"/>
        </w:rPr>
        <w:t xml:space="preserve">estallido en un momento concreto que se continúa con una movilización derivada de aquel ‘momento intensivo’ inicial. </w:t>
      </w:r>
      <w:r w:rsidR="00E95E53" w:rsidRPr="00147038">
        <w:rPr>
          <w:rFonts w:ascii="Times New Roman" w:hAnsi="Times New Roman" w:cs="Times New Roman"/>
          <w:sz w:val="24"/>
          <w:szCs w:val="24"/>
        </w:rPr>
        <w:t>Esta posición</w:t>
      </w:r>
      <w:r w:rsidR="00274493" w:rsidRPr="00147038">
        <w:rPr>
          <w:rFonts w:ascii="Times New Roman" w:hAnsi="Times New Roman" w:cs="Times New Roman"/>
          <w:sz w:val="24"/>
          <w:szCs w:val="24"/>
        </w:rPr>
        <w:t xml:space="preserve"> ya invita a pensar en la posibilidad de que las demandas iniciales pudieran ir transformándose paulatinamente. </w:t>
      </w:r>
      <w:r w:rsidR="00F821E2" w:rsidRPr="00147038">
        <w:rPr>
          <w:rFonts w:ascii="Times New Roman" w:hAnsi="Times New Roman" w:cs="Times New Roman"/>
          <w:sz w:val="24"/>
          <w:szCs w:val="24"/>
        </w:rPr>
        <w:t xml:space="preserve">Zolberg </w:t>
      </w:r>
      <w:r w:rsidR="00126EC6" w:rsidRPr="00147038">
        <w:rPr>
          <w:rFonts w:ascii="Times New Roman" w:hAnsi="Times New Roman" w:cs="Times New Roman"/>
          <w:sz w:val="24"/>
          <w:szCs w:val="24"/>
        </w:rPr>
        <w:t>(1972)</w:t>
      </w:r>
      <w:r w:rsidR="00A304A4" w:rsidRPr="00147038">
        <w:rPr>
          <w:rFonts w:ascii="Times New Roman" w:hAnsi="Times New Roman" w:cs="Times New Roman"/>
          <w:sz w:val="24"/>
          <w:szCs w:val="24"/>
        </w:rPr>
        <w:t xml:space="preserve"> y Tarrow (</w:t>
      </w:r>
      <w:r w:rsidR="005F7BC7" w:rsidRPr="00147038">
        <w:rPr>
          <w:rFonts w:ascii="Times New Roman" w:hAnsi="Times New Roman" w:cs="Times New Roman"/>
          <w:sz w:val="24"/>
          <w:szCs w:val="24"/>
        </w:rPr>
        <w:t>2002</w:t>
      </w:r>
      <w:r w:rsidR="00A304A4" w:rsidRPr="00147038">
        <w:rPr>
          <w:rFonts w:ascii="Times New Roman" w:hAnsi="Times New Roman" w:cs="Times New Roman"/>
          <w:sz w:val="24"/>
          <w:szCs w:val="24"/>
        </w:rPr>
        <w:t xml:space="preserve">) apuntaban que </w:t>
      </w:r>
      <w:r w:rsidR="00126EC6" w:rsidRPr="00147038">
        <w:rPr>
          <w:rFonts w:ascii="Times New Roman" w:hAnsi="Times New Roman" w:cs="Times New Roman"/>
          <w:sz w:val="24"/>
          <w:szCs w:val="24"/>
        </w:rPr>
        <w:t xml:space="preserve">el </w:t>
      </w:r>
      <w:r w:rsidR="00A304A4" w:rsidRPr="00147038">
        <w:rPr>
          <w:rFonts w:ascii="Times New Roman" w:hAnsi="Times New Roman" w:cs="Times New Roman"/>
          <w:sz w:val="24"/>
          <w:szCs w:val="24"/>
        </w:rPr>
        <w:t>‘momento extensivo’</w:t>
      </w:r>
      <w:r w:rsidR="00CA6BF5" w:rsidRPr="00147038">
        <w:rPr>
          <w:rFonts w:ascii="Times New Roman" w:hAnsi="Times New Roman" w:cs="Times New Roman"/>
          <w:sz w:val="24"/>
          <w:szCs w:val="24"/>
        </w:rPr>
        <w:t xml:space="preserve"> </w:t>
      </w:r>
      <w:r w:rsidR="00126EC6" w:rsidRPr="00147038">
        <w:rPr>
          <w:rFonts w:ascii="Times New Roman" w:hAnsi="Times New Roman" w:cs="Times New Roman"/>
          <w:sz w:val="24"/>
          <w:szCs w:val="24"/>
        </w:rPr>
        <w:t xml:space="preserve">es capaz de absorber todas las </w:t>
      </w:r>
      <w:r w:rsidR="00CA6BF5" w:rsidRPr="00147038">
        <w:rPr>
          <w:rFonts w:ascii="Times New Roman" w:hAnsi="Times New Roman" w:cs="Times New Roman"/>
          <w:sz w:val="24"/>
          <w:szCs w:val="24"/>
        </w:rPr>
        <w:t xml:space="preserve">innovaciones introducidas </w:t>
      </w:r>
      <w:r w:rsidR="00A304A4" w:rsidRPr="00147038">
        <w:rPr>
          <w:rFonts w:ascii="Times New Roman" w:hAnsi="Times New Roman" w:cs="Times New Roman"/>
          <w:sz w:val="24"/>
          <w:szCs w:val="24"/>
        </w:rPr>
        <w:t>durante el estallido inicial</w:t>
      </w:r>
      <w:r w:rsidR="00F03832" w:rsidRPr="00147038">
        <w:rPr>
          <w:rFonts w:ascii="Times New Roman" w:hAnsi="Times New Roman" w:cs="Times New Roman"/>
          <w:sz w:val="24"/>
          <w:szCs w:val="24"/>
        </w:rPr>
        <w:t>, bien continuándolas o bien integrándolas en la movilización hasta difuminarlas.</w:t>
      </w:r>
    </w:p>
    <w:p w14:paraId="338E9855" w14:textId="77777777" w:rsidR="00B84275" w:rsidRPr="00147038" w:rsidRDefault="00B84275" w:rsidP="0040365E">
      <w:pPr>
        <w:spacing w:after="0" w:line="360" w:lineRule="auto"/>
        <w:jc w:val="both"/>
        <w:rPr>
          <w:rFonts w:ascii="Times New Roman" w:hAnsi="Times New Roman" w:cs="Times New Roman"/>
          <w:sz w:val="24"/>
          <w:szCs w:val="24"/>
        </w:rPr>
      </w:pPr>
    </w:p>
    <w:p w14:paraId="6A6DB0E9" w14:textId="3234F2D0" w:rsidR="007B3F44" w:rsidRPr="00147038" w:rsidRDefault="00D72BE6" w:rsidP="007B3F44">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Seguidamente, los resultados </w:t>
      </w:r>
      <w:r w:rsidR="007B3F44" w:rsidRPr="00147038">
        <w:rPr>
          <w:rFonts w:ascii="Times New Roman" w:hAnsi="Times New Roman" w:cs="Times New Roman"/>
          <w:sz w:val="24"/>
          <w:szCs w:val="24"/>
        </w:rPr>
        <w:t>del análisis de las demandas confirman la idea de que en los ‘momentos intensivos’ se abre un espacio en el cual «todo es posible» y en los que se funde lo instrumental y lo expresivo. Esto podría entenderse como una ventana de oportunidad para promover reformas de gran profundidad (Oberschall, 1999; Gamson y Meyer, 1999; y Goodwin y Jasper, 2004) e impulsar transformaciones sociales. De hecho, para que se produzca una oportunidad populista</w:t>
      </w:r>
      <w:r w:rsidR="009A0C43" w:rsidRPr="00147038">
        <w:rPr>
          <w:rFonts w:ascii="Times New Roman" w:hAnsi="Times New Roman" w:cs="Times New Roman"/>
          <w:sz w:val="24"/>
          <w:szCs w:val="24"/>
        </w:rPr>
        <w:t>, por ejemplo,</w:t>
      </w:r>
      <w:r w:rsidR="007B3F44" w:rsidRPr="00147038">
        <w:rPr>
          <w:rFonts w:ascii="Times New Roman" w:hAnsi="Times New Roman" w:cs="Times New Roman"/>
          <w:sz w:val="24"/>
          <w:szCs w:val="24"/>
        </w:rPr>
        <w:t xml:space="preserve"> será necesari</w:t>
      </w:r>
      <w:r w:rsidR="009A0C43" w:rsidRPr="00147038">
        <w:rPr>
          <w:rFonts w:ascii="Times New Roman" w:hAnsi="Times New Roman" w:cs="Times New Roman"/>
          <w:sz w:val="24"/>
          <w:szCs w:val="24"/>
        </w:rPr>
        <w:t xml:space="preserve">a la coincidencia de un </w:t>
      </w:r>
      <w:r w:rsidR="007B3F44" w:rsidRPr="00147038">
        <w:rPr>
          <w:rFonts w:ascii="Times New Roman" w:hAnsi="Times New Roman" w:cs="Times New Roman"/>
          <w:sz w:val="24"/>
          <w:szCs w:val="24"/>
        </w:rPr>
        <w:t xml:space="preserve">conjunto de demandas equivalentes entre sí en igualdad de relevancia y una estrategia dicotómica de la sociedad, con un amplio carácter competitivo (Laclau, 2005). </w:t>
      </w:r>
      <w:r w:rsidR="00843BB0" w:rsidRPr="00147038">
        <w:rPr>
          <w:rFonts w:ascii="Times New Roman" w:hAnsi="Times New Roman" w:cs="Times New Roman"/>
          <w:sz w:val="24"/>
          <w:szCs w:val="24"/>
        </w:rPr>
        <w:t>Sin embargo, la fuerte caída de la movilización estaría descartando esa idea e introduciendo la posibilidad de que el conjunto de las demandas se estaría enfocando en otra dirección.</w:t>
      </w:r>
    </w:p>
    <w:p w14:paraId="0F8A9CD5" w14:textId="77777777" w:rsidR="00843BB0" w:rsidRPr="00147038" w:rsidRDefault="00843BB0" w:rsidP="007B3F44">
      <w:pPr>
        <w:spacing w:after="0" w:line="360" w:lineRule="auto"/>
        <w:jc w:val="both"/>
        <w:rPr>
          <w:rFonts w:ascii="Times New Roman" w:hAnsi="Times New Roman" w:cs="Times New Roman"/>
          <w:sz w:val="24"/>
          <w:szCs w:val="24"/>
        </w:rPr>
      </w:pPr>
    </w:p>
    <w:p w14:paraId="6BDDDB4E" w14:textId="717CFB08" w:rsidR="00843BB0" w:rsidRPr="00147038" w:rsidRDefault="00843BB0" w:rsidP="00843BB0">
      <w:p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 xml:space="preserve">Gráfico </w:t>
      </w:r>
      <w:r w:rsidR="00ED748E" w:rsidRPr="00147038">
        <w:rPr>
          <w:rFonts w:ascii="Times New Roman" w:hAnsi="Times New Roman" w:cs="Times New Roman"/>
          <w:b/>
          <w:bCs/>
          <w:sz w:val="24"/>
          <w:szCs w:val="24"/>
        </w:rPr>
        <w:t>0</w:t>
      </w:r>
      <w:r w:rsidRPr="00147038">
        <w:rPr>
          <w:rFonts w:ascii="Times New Roman" w:hAnsi="Times New Roman" w:cs="Times New Roman"/>
          <w:b/>
          <w:bCs/>
          <w:sz w:val="24"/>
          <w:szCs w:val="24"/>
        </w:rPr>
        <w:t xml:space="preserve">3. Frecuencia </w:t>
      </w:r>
      <w:r w:rsidR="006448C3" w:rsidRPr="00147038">
        <w:rPr>
          <w:rFonts w:ascii="Times New Roman" w:hAnsi="Times New Roman" w:cs="Times New Roman"/>
          <w:b/>
          <w:bCs/>
          <w:sz w:val="24"/>
          <w:szCs w:val="24"/>
        </w:rPr>
        <w:t>de las demandas</w:t>
      </w:r>
      <w:r w:rsidRPr="00147038">
        <w:rPr>
          <w:rFonts w:ascii="Times New Roman" w:hAnsi="Times New Roman" w:cs="Times New Roman"/>
          <w:b/>
          <w:bCs/>
          <w:sz w:val="24"/>
          <w:szCs w:val="24"/>
        </w:rPr>
        <w:t xml:space="preserve"> del Movimiento Indignado (2011-2015)</w:t>
      </w:r>
    </w:p>
    <w:p w14:paraId="39333559" w14:textId="56AB68F8" w:rsidR="00843BB0" w:rsidRPr="00147038" w:rsidRDefault="006448C3" w:rsidP="00843BB0">
      <w:pPr>
        <w:spacing w:after="0" w:line="360" w:lineRule="auto"/>
        <w:jc w:val="both"/>
        <w:rPr>
          <w:rFonts w:ascii="Times New Roman" w:hAnsi="Times New Roman" w:cs="Times New Roman"/>
          <w:sz w:val="24"/>
          <w:szCs w:val="24"/>
        </w:rPr>
      </w:pPr>
      <w:r w:rsidRPr="00147038">
        <w:rPr>
          <w:rFonts w:ascii="Times New Roman" w:hAnsi="Times New Roman" w:cs="Times New Roman"/>
          <w:noProof/>
        </w:rPr>
        <w:drawing>
          <wp:inline distT="0" distB="0" distL="0" distR="0" wp14:anchorId="08E6CDBC" wp14:editId="0C2AE030">
            <wp:extent cx="5651500" cy="2481943"/>
            <wp:effectExtent l="0" t="0" r="6350" b="0"/>
            <wp:docPr id="7" name="Gráfico 7">
              <a:extLst xmlns:a="http://schemas.openxmlformats.org/drawingml/2006/main">
                <a:ext uri="{FF2B5EF4-FFF2-40B4-BE49-F238E27FC236}">
                  <a16:creationId xmlns:a16="http://schemas.microsoft.com/office/drawing/2014/main" id="{9C39F09D-DD74-F906-A816-A772B7010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927477" w14:textId="77777777" w:rsidR="00843BB0" w:rsidRPr="00147038" w:rsidRDefault="00843BB0" w:rsidP="00843BB0">
      <w:pPr>
        <w:spacing w:after="0" w:line="360" w:lineRule="auto"/>
        <w:jc w:val="both"/>
        <w:rPr>
          <w:rFonts w:ascii="Times New Roman" w:hAnsi="Times New Roman" w:cs="Times New Roman"/>
          <w:sz w:val="20"/>
          <w:szCs w:val="20"/>
        </w:rPr>
      </w:pPr>
      <w:r w:rsidRPr="00147038">
        <w:rPr>
          <w:rFonts w:ascii="Times New Roman" w:hAnsi="Times New Roman" w:cs="Times New Roman"/>
          <w:sz w:val="20"/>
          <w:szCs w:val="20"/>
        </w:rPr>
        <w:t>Fuente: BDMI (CSPL-UPO)</w:t>
      </w:r>
    </w:p>
    <w:p w14:paraId="07C57B4D" w14:textId="44496E9B" w:rsidR="006F37F3" w:rsidRPr="00147038" w:rsidRDefault="006448C3" w:rsidP="006F37F3">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lastRenderedPageBreak/>
        <w:t>El gráfico 3 muestra la frecuencia de las demandas del Movimiento Indignado</w:t>
      </w:r>
      <w:r w:rsidR="00A91E63" w:rsidRPr="00147038">
        <w:rPr>
          <w:rFonts w:ascii="Times New Roman" w:hAnsi="Times New Roman" w:cs="Times New Roman"/>
          <w:sz w:val="24"/>
          <w:szCs w:val="24"/>
        </w:rPr>
        <w:t xml:space="preserve"> representando el porcentaje sobre el total anual. Como se intuía, el año 2011 fue el momento en el que todo era posible</w:t>
      </w:r>
      <w:r w:rsidR="008146C7" w:rsidRPr="00147038">
        <w:rPr>
          <w:rFonts w:ascii="Times New Roman" w:hAnsi="Times New Roman" w:cs="Times New Roman"/>
          <w:sz w:val="24"/>
          <w:szCs w:val="24"/>
        </w:rPr>
        <w:t>, lo que se observa en el 49,9% de las demandas de carácter político-institucionales.</w:t>
      </w:r>
      <w:r w:rsidR="000B7624" w:rsidRPr="00147038">
        <w:rPr>
          <w:rFonts w:ascii="Times New Roman" w:hAnsi="Times New Roman" w:cs="Times New Roman"/>
          <w:sz w:val="24"/>
          <w:szCs w:val="24"/>
        </w:rPr>
        <w:t xml:space="preserve"> </w:t>
      </w:r>
      <w:r w:rsidR="00224EF5" w:rsidRPr="00147038">
        <w:rPr>
          <w:rFonts w:ascii="Times New Roman" w:hAnsi="Times New Roman" w:cs="Times New Roman"/>
          <w:sz w:val="24"/>
          <w:szCs w:val="24"/>
        </w:rPr>
        <w:t>Si se observan las peticiones realizadas en las acampadas de 2011, la mayoría de las reivindicaciones estaban relacionadas con reformas profundas</w:t>
      </w:r>
      <w:r w:rsidR="003474FD" w:rsidRPr="00147038">
        <w:rPr>
          <w:rFonts w:ascii="Times New Roman" w:hAnsi="Times New Roman" w:cs="Times New Roman"/>
          <w:sz w:val="24"/>
          <w:szCs w:val="24"/>
        </w:rPr>
        <w:t xml:space="preserve"> del sistema político, como la ley electoral</w:t>
      </w:r>
      <w:r w:rsidR="00B32F21" w:rsidRPr="00147038">
        <w:rPr>
          <w:rFonts w:ascii="Times New Roman" w:hAnsi="Times New Roman" w:cs="Times New Roman"/>
          <w:sz w:val="24"/>
          <w:szCs w:val="24"/>
        </w:rPr>
        <w:t>, el sistema económico</w:t>
      </w:r>
      <w:r w:rsidR="00397E51" w:rsidRPr="00147038">
        <w:rPr>
          <w:rFonts w:ascii="Times New Roman" w:hAnsi="Times New Roman" w:cs="Times New Roman"/>
          <w:sz w:val="24"/>
          <w:szCs w:val="24"/>
        </w:rPr>
        <w:t xml:space="preserve">, las libertades civiles o los partidos políticos, tal como </w:t>
      </w:r>
      <w:r w:rsidR="006057F6" w:rsidRPr="00147038">
        <w:rPr>
          <w:rFonts w:ascii="Times New Roman" w:hAnsi="Times New Roman" w:cs="Times New Roman"/>
          <w:sz w:val="24"/>
          <w:szCs w:val="24"/>
        </w:rPr>
        <w:t>se apreciaba en la conversación pública de esta acción conectiva (</w:t>
      </w:r>
      <w:r w:rsidR="00F336C1" w:rsidRPr="00147038">
        <w:rPr>
          <w:rFonts w:ascii="Times New Roman" w:hAnsi="Times New Roman" w:cs="Times New Roman"/>
          <w:sz w:val="24"/>
          <w:szCs w:val="24"/>
        </w:rPr>
        <w:t>Casas et al., 2016)</w:t>
      </w:r>
      <w:r w:rsidR="006F37F3" w:rsidRPr="00147038">
        <w:rPr>
          <w:rFonts w:ascii="Times New Roman" w:hAnsi="Times New Roman" w:cs="Times New Roman"/>
          <w:sz w:val="24"/>
          <w:szCs w:val="24"/>
        </w:rPr>
        <w:t xml:space="preserve">. </w:t>
      </w:r>
      <w:r w:rsidR="00C475E8" w:rsidRPr="00147038">
        <w:rPr>
          <w:rFonts w:ascii="Times New Roman" w:hAnsi="Times New Roman" w:cs="Times New Roman"/>
          <w:sz w:val="24"/>
          <w:szCs w:val="24"/>
        </w:rPr>
        <w:t xml:space="preserve">Las demandas diferenciadas habían quedado apartadas en favor de demandas de una mayor amplitud social. Este tipo de demandas contenían un alto grado posmaterialista, es decir, muy enfocadas hacia reivindicaciones político-institucionales y de estilos de vida. </w:t>
      </w:r>
      <w:r w:rsidR="006F37F3" w:rsidRPr="00147038">
        <w:rPr>
          <w:rFonts w:ascii="Times New Roman" w:hAnsi="Times New Roman" w:cs="Times New Roman"/>
          <w:sz w:val="24"/>
          <w:szCs w:val="24"/>
        </w:rPr>
        <w:t xml:space="preserve">Asimismo, estas primeras reivindicaciones inducen a pensar que se estaba planteando una reforma profunda del sistema político y social, casi antagónica con respecto al que hasta ahora se había disfrutado. Así lo resumía uno de los eslóganes de la movilización: </w:t>
      </w:r>
      <w:r w:rsidR="006F37F3" w:rsidRPr="00147038">
        <w:rPr>
          <w:rFonts w:ascii="Times New Roman" w:hAnsi="Times New Roman" w:cs="Times New Roman"/>
          <w:i/>
          <w:iCs/>
          <w:sz w:val="24"/>
          <w:szCs w:val="24"/>
        </w:rPr>
        <w:t>reiniciando el sistema</w:t>
      </w:r>
      <w:r w:rsidR="006F37F3" w:rsidRPr="00147038">
        <w:rPr>
          <w:rFonts w:ascii="Times New Roman" w:hAnsi="Times New Roman" w:cs="Times New Roman"/>
          <w:sz w:val="24"/>
          <w:szCs w:val="24"/>
        </w:rPr>
        <w:t xml:space="preserve"> o, en clave de humor, «no es una crisis, es que ya no te quiero» (Romanos, 2016), una evidencia expresiv</w:t>
      </w:r>
      <w:r w:rsidR="009C4451" w:rsidRPr="00147038">
        <w:rPr>
          <w:rFonts w:ascii="Times New Roman" w:hAnsi="Times New Roman" w:cs="Times New Roman"/>
          <w:sz w:val="24"/>
          <w:szCs w:val="24"/>
        </w:rPr>
        <w:t>a</w:t>
      </w:r>
      <w:r w:rsidR="006F37F3" w:rsidRPr="00147038">
        <w:rPr>
          <w:rFonts w:ascii="Times New Roman" w:hAnsi="Times New Roman" w:cs="Times New Roman"/>
          <w:sz w:val="24"/>
          <w:szCs w:val="24"/>
        </w:rPr>
        <w:t xml:space="preserve"> de</w:t>
      </w:r>
      <w:r w:rsidR="00CA4B7E" w:rsidRPr="00147038">
        <w:rPr>
          <w:rFonts w:ascii="Times New Roman" w:hAnsi="Times New Roman" w:cs="Times New Roman"/>
          <w:sz w:val="24"/>
          <w:szCs w:val="24"/>
        </w:rPr>
        <w:t xml:space="preserve"> este ‘momento intensivo’</w:t>
      </w:r>
      <w:r w:rsidR="009C4451" w:rsidRPr="00147038">
        <w:rPr>
          <w:rFonts w:ascii="Times New Roman" w:hAnsi="Times New Roman" w:cs="Times New Roman"/>
          <w:sz w:val="24"/>
          <w:szCs w:val="24"/>
        </w:rPr>
        <w:t xml:space="preserve"> que se fundía con naturalidad con propuesta instrumentales.</w:t>
      </w:r>
    </w:p>
    <w:p w14:paraId="5C64D658" w14:textId="77777777" w:rsidR="00C475E8" w:rsidRPr="00147038" w:rsidRDefault="00C475E8" w:rsidP="0040365E">
      <w:pPr>
        <w:spacing w:after="0" w:line="360" w:lineRule="auto"/>
        <w:jc w:val="both"/>
        <w:rPr>
          <w:rFonts w:ascii="Times New Roman" w:hAnsi="Times New Roman" w:cs="Times New Roman"/>
          <w:sz w:val="24"/>
          <w:szCs w:val="24"/>
        </w:rPr>
      </w:pPr>
    </w:p>
    <w:p w14:paraId="3F8ACDCD" w14:textId="2ECB49FD" w:rsidR="0071743B" w:rsidRPr="00147038" w:rsidRDefault="000B7624" w:rsidP="0040365E">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En los años siguientes, la demanda político-institucional centrada en la</w:t>
      </w:r>
      <w:r w:rsidR="0060094A" w:rsidRPr="00147038">
        <w:rPr>
          <w:rFonts w:ascii="Times New Roman" w:hAnsi="Times New Roman" w:cs="Times New Roman"/>
          <w:sz w:val="24"/>
          <w:szCs w:val="24"/>
        </w:rPr>
        <w:t xml:space="preserve"> refundación del sistema político y social se diluye y la escasa frecuencia de movilización impulsa una nueva agenda de movilización sostenida sobre reivindicaciones socioeconómicas (</w:t>
      </w:r>
      <w:r w:rsidR="001E567F" w:rsidRPr="00147038">
        <w:rPr>
          <w:rFonts w:ascii="Times New Roman" w:hAnsi="Times New Roman" w:cs="Times New Roman"/>
          <w:sz w:val="24"/>
          <w:szCs w:val="24"/>
        </w:rPr>
        <w:t xml:space="preserve">48% en 2012) y bienestar en los años 2013, 2014 y 2015. </w:t>
      </w:r>
      <w:r w:rsidR="007A758D" w:rsidRPr="00147038">
        <w:rPr>
          <w:rFonts w:ascii="Times New Roman" w:hAnsi="Times New Roman" w:cs="Times New Roman"/>
          <w:sz w:val="24"/>
          <w:szCs w:val="24"/>
        </w:rPr>
        <w:t xml:space="preserve">Es como si a los movilizados se les hubiera pasado la fiebre revolucionaria y esto hubiera dejado paso a una etapa más instrumental, donde proteger </w:t>
      </w:r>
      <w:r w:rsidR="00B65F21" w:rsidRPr="00147038">
        <w:rPr>
          <w:rFonts w:ascii="Times New Roman" w:hAnsi="Times New Roman" w:cs="Times New Roman"/>
          <w:sz w:val="24"/>
          <w:szCs w:val="24"/>
        </w:rPr>
        <w:t>Estado se convierte en una prioridad frente a la idea de impulsar cambios profundos y sistémicos.</w:t>
      </w:r>
      <w:r w:rsidR="00AF43F3" w:rsidRPr="00147038">
        <w:rPr>
          <w:rFonts w:ascii="Times New Roman" w:hAnsi="Times New Roman" w:cs="Times New Roman"/>
          <w:sz w:val="24"/>
          <w:szCs w:val="24"/>
        </w:rPr>
        <w:t xml:space="preserve"> Especialmente, </w:t>
      </w:r>
      <w:r w:rsidR="00B818E0" w:rsidRPr="00147038">
        <w:rPr>
          <w:rFonts w:ascii="Times New Roman" w:hAnsi="Times New Roman" w:cs="Times New Roman"/>
          <w:sz w:val="24"/>
          <w:szCs w:val="24"/>
        </w:rPr>
        <w:t>lo que se observa</w:t>
      </w:r>
      <w:r w:rsidR="00E353BC" w:rsidRPr="00147038">
        <w:rPr>
          <w:rFonts w:ascii="Times New Roman" w:hAnsi="Times New Roman" w:cs="Times New Roman"/>
          <w:sz w:val="24"/>
          <w:szCs w:val="24"/>
        </w:rPr>
        <w:t xml:space="preserve"> en el gráfico 2 es</w:t>
      </w:r>
      <w:r w:rsidR="00B818E0" w:rsidRPr="00147038">
        <w:rPr>
          <w:rFonts w:ascii="Times New Roman" w:hAnsi="Times New Roman" w:cs="Times New Roman"/>
          <w:sz w:val="24"/>
          <w:szCs w:val="24"/>
        </w:rPr>
        <w:t xml:space="preserve"> el hecho de</w:t>
      </w:r>
      <w:r w:rsidR="00E353BC" w:rsidRPr="00147038">
        <w:rPr>
          <w:rFonts w:ascii="Times New Roman" w:hAnsi="Times New Roman" w:cs="Times New Roman"/>
          <w:sz w:val="24"/>
          <w:szCs w:val="24"/>
        </w:rPr>
        <w:t xml:space="preserve"> que el ‘momento intensivo’ alberga un carácter </w:t>
      </w:r>
      <w:r w:rsidR="00B818E0" w:rsidRPr="00147038">
        <w:rPr>
          <w:rFonts w:ascii="Times New Roman" w:hAnsi="Times New Roman" w:cs="Times New Roman"/>
          <w:sz w:val="24"/>
          <w:szCs w:val="24"/>
        </w:rPr>
        <w:t xml:space="preserve">de </w:t>
      </w:r>
      <w:r w:rsidR="000464BD" w:rsidRPr="00147038">
        <w:rPr>
          <w:rFonts w:ascii="Times New Roman" w:hAnsi="Times New Roman" w:cs="Times New Roman"/>
          <w:sz w:val="24"/>
          <w:szCs w:val="24"/>
        </w:rPr>
        <w:t xml:space="preserve">ruptura mientras que el ‘momento extensivo’ comienza a desarrollar un perfil </w:t>
      </w:r>
      <w:r w:rsidR="00C52503" w:rsidRPr="00147038">
        <w:rPr>
          <w:rFonts w:ascii="Times New Roman" w:hAnsi="Times New Roman" w:cs="Times New Roman"/>
          <w:sz w:val="24"/>
          <w:szCs w:val="24"/>
        </w:rPr>
        <w:t xml:space="preserve">reactivo en defensa del bienestar, el empleo y los derechos conseguidos hasta ese momento frente a posibles </w:t>
      </w:r>
      <w:r w:rsidR="0043396F" w:rsidRPr="00147038">
        <w:rPr>
          <w:rFonts w:ascii="Times New Roman" w:hAnsi="Times New Roman" w:cs="Times New Roman"/>
          <w:sz w:val="24"/>
          <w:szCs w:val="24"/>
        </w:rPr>
        <w:t>ataques provenientes de las políticas neoliberales.</w:t>
      </w:r>
    </w:p>
    <w:p w14:paraId="4B678974" w14:textId="77777777" w:rsidR="0043396F" w:rsidRPr="00147038" w:rsidRDefault="0043396F" w:rsidP="0040365E">
      <w:pPr>
        <w:spacing w:after="0" w:line="360" w:lineRule="auto"/>
        <w:jc w:val="both"/>
        <w:rPr>
          <w:rFonts w:ascii="Times New Roman" w:hAnsi="Times New Roman" w:cs="Times New Roman"/>
          <w:sz w:val="24"/>
          <w:szCs w:val="24"/>
        </w:rPr>
      </w:pPr>
    </w:p>
    <w:p w14:paraId="4CCCD573" w14:textId="253D6DB6" w:rsidR="0043396F" w:rsidRPr="00147038" w:rsidRDefault="0043396F" w:rsidP="0040365E">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En conclusión, en esta ponencia se han presentado </w:t>
      </w:r>
      <w:r w:rsidR="00FA26CF" w:rsidRPr="00147038">
        <w:rPr>
          <w:rFonts w:ascii="Times New Roman" w:hAnsi="Times New Roman" w:cs="Times New Roman"/>
          <w:sz w:val="24"/>
          <w:szCs w:val="24"/>
        </w:rPr>
        <w:t>varias novedades. Por un lado, que los conceptos de momento de locura y ciclos de protesta pueden ser entendidos como ‘momento intensivo’ y ‘momento extensivo’</w:t>
      </w:r>
      <w:r w:rsidR="00BD4200" w:rsidRPr="00147038">
        <w:rPr>
          <w:rFonts w:ascii="Times New Roman" w:hAnsi="Times New Roman" w:cs="Times New Roman"/>
          <w:sz w:val="24"/>
          <w:szCs w:val="24"/>
        </w:rPr>
        <w:t xml:space="preserve">, respectivamente, </w:t>
      </w:r>
      <w:r w:rsidR="00894A84" w:rsidRPr="00147038">
        <w:rPr>
          <w:rFonts w:ascii="Times New Roman" w:hAnsi="Times New Roman" w:cs="Times New Roman"/>
          <w:sz w:val="24"/>
          <w:szCs w:val="24"/>
        </w:rPr>
        <w:t>a través de la frecuen</w:t>
      </w:r>
      <w:r w:rsidR="00C37EC4" w:rsidRPr="00147038">
        <w:rPr>
          <w:rFonts w:ascii="Times New Roman" w:hAnsi="Times New Roman" w:cs="Times New Roman"/>
          <w:sz w:val="24"/>
          <w:szCs w:val="24"/>
        </w:rPr>
        <w:t xml:space="preserve">cia de movilización. Así mismo, </w:t>
      </w:r>
      <w:r w:rsidR="004937E2" w:rsidRPr="00147038">
        <w:rPr>
          <w:rFonts w:ascii="Times New Roman" w:hAnsi="Times New Roman" w:cs="Times New Roman"/>
          <w:sz w:val="24"/>
          <w:szCs w:val="24"/>
        </w:rPr>
        <w:t xml:space="preserve">el caso utilizado evidencia que los movimientos sociales no son capaces de mantener ciclos amplios de movilización sino que producen pulsiones o estallidos concretos </w:t>
      </w:r>
      <w:r w:rsidR="004937E2" w:rsidRPr="00147038">
        <w:rPr>
          <w:rFonts w:ascii="Times New Roman" w:hAnsi="Times New Roman" w:cs="Times New Roman"/>
          <w:sz w:val="24"/>
          <w:szCs w:val="24"/>
        </w:rPr>
        <w:lastRenderedPageBreak/>
        <w:t xml:space="preserve">que después se sostienen </w:t>
      </w:r>
      <w:r w:rsidR="00D06E32" w:rsidRPr="00147038">
        <w:rPr>
          <w:rFonts w:ascii="Times New Roman" w:hAnsi="Times New Roman" w:cs="Times New Roman"/>
          <w:sz w:val="24"/>
          <w:szCs w:val="24"/>
        </w:rPr>
        <w:t>en el tiempo evidentemente mermados. Esto sugiere la idea de analizar más profundamente este tipo de datos para conocer si realmente</w:t>
      </w:r>
      <w:r w:rsidR="00B87D45" w:rsidRPr="00147038">
        <w:rPr>
          <w:rFonts w:ascii="Times New Roman" w:hAnsi="Times New Roman" w:cs="Times New Roman"/>
          <w:sz w:val="24"/>
          <w:szCs w:val="24"/>
        </w:rPr>
        <w:t xml:space="preserve"> se tratan de verdaderos movimientos sociales o solamente son estallidos que mantienen un reflujo más o menos prolongado.</w:t>
      </w:r>
    </w:p>
    <w:p w14:paraId="6395C2C5" w14:textId="77777777" w:rsidR="00EB2ADE" w:rsidRPr="00147038" w:rsidRDefault="00EB2ADE" w:rsidP="0040365E">
      <w:pPr>
        <w:spacing w:after="0" w:line="360" w:lineRule="auto"/>
        <w:jc w:val="both"/>
        <w:rPr>
          <w:rFonts w:ascii="Times New Roman" w:hAnsi="Times New Roman" w:cs="Times New Roman"/>
          <w:sz w:val="24"/>
          <w:szCs w:val="24"/>
        </w:rPr>
      </w:pPr>
    </w:p>
    <w:p w14:paraId="46EDC877" w14:textId="445F4F47" w:rsidR="00EB2ADE" w:rsidRPr="00147038" w:rsidRDefault="00EB2ADE" w:rsidP="0040365E">
      <w:pPr>
        <w:spacing w:after="0" w:line="360" w:lineRule="auto"/>
        <w:jc w:val="both"/>
        <w:rPr>
          <w:rFonts w:ascii="Times New Roman" w:hAnsi="Times New Roman" w:cs="Times New Roman"/>
          <w:sz w:val="24"/>
          <w:szCs w:val="24"/>
        </w:rPr>
      </w:pPr>
      <w:r w:rsidRPr="00147038">
        <w:rPr>
          <w:rFonts w:ascii="Times New Roman" w:hAnsi="Times New Roman" w:cs="Times New Roman"/>
          <w:sz w:val="24"/>
          <w:szCs w:val="24"/>
        </w:rPr>
        <w:t xml:space="preserve">Por otro lado, el caso estudiado también permite comprobar cómo los ‘momento intensivos’ coinciden con demandas político-institucionales que empujan el conflicto hacia la revolución, lo cual debería ser contratado </w:t>
      </w:r>
      <w:r w:rsidR="002E5CC4" w:rsidRPr="00147038">
        <w:rPr>
          <w:rFonts w:ascii="Times New Roman" w:hAnsi="Times New Roman" w:cs="Times New Roman"/>
          <w:sz w:val="24"/>
          <w:szCs w:val="24"/>
        </w:rPr>
        <w:t xml:space="preserve">con otro tipo de variables, como la orientación de las propias demandas (Tilly, 2002). </w:t>
      </w:r>
      <w:r w:rsidR="00EA28C5" w:rsidRPr="00147038">
        <w:rPr>
          <w:rFonts w:ascii="Times New Roman" w:hAnsi="Times New Roman" w:cs="Times New Roman"/>
          <w:sz w:val="24"/>
          <w:szCs w:val="24"/>
        </w:rPr>
        <w:t xml:space="preserve">Asimismo, los ‘momentos extensivos’ se vuelven reactivos y proteccionistas, apartando los delirios rupturistas para dejar paso a formas más templadas de la movilización que </w:t>
      </w:r>
      <w:r w:rsidR="004A0A4D" w:rsidRPr="00147038">
        <w:rPr>
          <w:rFonts w:ascii="Times New Roman" w:hAnsi="Times New Roman" w:cs="Times New Roman"/>
          <w:sz w:val="24"/>
          <w:szCs w:val="24"/>
        </w:rPr>
        <w:t xml:space="preserve">buscan la defensa del Estado del bienestar. </w:t>
      </w:r>
      <w:r w:rsidR="00265052" w:rsidRPr="00147038">
        <w:rPr>
          <w:rFonts w:ascii="Times New Roman" w:hAnsi="Times New Roman" w:cs="Times New Roman"/>
          <w:sz w:val="24"/>
          <w:szCs w:val="24"/>
        </w:rPr>
        <w:t>Ambos resultados estarían</w:t>
      </w:r>
      <w:r w:rsidR="004A0A4D" w:rsidRPr="00147038">
        <w:rPr>
          <w:rFonts w:ascii="Times New Roman" w:hAnsi="Times New Roman" w:cs="Times New Roman"/>
          <w:sz w:val="24"/>
          <w:szCs w:val="24"/>
        </w:rPr>
        <w:t xml:space="preserve"> </w:t>
      </w:r>
      <w:r w:rsidR="00265052" w:rsidRPr="00147038">
        <w:rPr>
          <w:rFonts w:ascii="Times New Roman" w:hAnsi="Times New Roman" w:cs="Times New Roman"/>
          <w:sz w:val="24"/>
          <w:szCs w:val="24"/>
        </w:rPr>
        <w:t>invitando a pensar que la tipología de demandas está relacionada con el ‘momento’ conflictivo que se esté produciendo en un periodo de movilizaciones.</w:t>
      </w:r>
      <w:r w:rsidR="002D1487" w:rsidRPr="00147038">
        <w:rPr>
          <w:rFonts w:ascii="Times New Roman" w:hAnsi="Times New Roman" w:cs="Times New Roman"/>
          <w:sz w:val="24"/>
          <w:szCs w:val="24"/>
        </w:rPr>
        <w:t xml:space="preserve"> Sin embargo, en necesario tomar algunas cautelas sobre </w:t>
      </w:r>
      <w:r w:rsidR="00016F2E" w:rsidRPr="00147038">
        <w:rPr>
          <w:rFonts w:ascii="Times New Roman" w:hAnsi="Times New Roman" w:cs="Times New Roman"/>
          <w:sz w:val="24"/>
          <w:szCs w:val="24"/>
        </w:rPr>
        <w:t xml:space="preserve">estas afirmaciones, como la adecuada identificación del agravio sobrevenido que desata un incremento inesperado de la movilización </w:t>
      </w:r>
      <w:r w:rsidR="0050641F" w:rsidRPr="00147038">
        <w:rPr>
          <w:rFonts w:ascii="Times New Roman" w:hAnsi="Times New Roman" w:cs="Times New Roman"/>
          <w:sz w:val="24"/>
          <w:szCs w:val="24"/>
        </w:rPr>
        <w:t xml:space="preserve">y el contraste con otro tipo de variables que puedan afianzar </w:t>
      </w:r>
      <w:r w:rsidR="00F2299F" w:rsidRPr="00147038">
        <w:rPr>
          <w:rFonts w:ascii="Times New Roman" w:hAnsi="Times New Roman" w:cs="Times New Roman"/>
          <w:sz w:val="24"/>
          <w:szCs w:val="24"/>
        </w:rPr>
        <w:t>la influencia de la frecuencia de la movilización sobre la conformación de la demanda.</w:t>
      </w:r>
    </w:p>
    <w:p w14:paraId="6D076126" w14:textId="77777777" w:rsidR="00F2299F" w:rsidRPr="00147038" w:rsidRDefault="00F2299F" w:rsidP="0040365E">
      <w:pPr>
        <w:spacing w:after="0" w:line="360" w:lineRule="auto"/>
        <w:jc w:val="both"/>
        <w:rPr>
          <w:rFonts w:ascii="Times New Roman" w:hAnsi="Times New Roman" w:cs="Times New Roman"/>
          <w:sz w:val="24"/>
          <w:szCs w:val="24"/>
        </w:rPr>
      </w:pPr>
    </w:p>
    <w:p w14:paraId="22E59A79" w14:textId="4260BA3A" w:rsidR="00F2299F" w:rsidRPr="00147038" w:rsidRDefault="00F2299F" w:rsidP="0040365E">
      <w:pPr>
        <w:spacing w:after="0" w:line="360" w:lineRule="auto"/>
        <w:jc w:val="both"/>
        <w:rPr>
          <w:rFonts w:ascii="Times New Roman" w:hAnsi="Times New Roman" w:cs="Times New Roman"/>
          <w:b/>
          <w:bCs/>
          <w:sz w:val="24"/>
          <w:szCs w:val="24"/>
        </w:rPr>
      </w:pPr>
      <w:r w:rsidRPr="00147038">
        <w:rPr>
          <w:rFonts w:ascii="Times New Roman" w:hAnsi="Times New Roman" w:cs="Times New Roman"/>
          <w:b/>
          <w:bCs/>
          <w:sz w:val="24"/>
          <w:szCs w:val="24"/>
        </w:rPr>
        <w:t>Bibliografía</w:t>
      </w:r>
    </w:p>
    <w:p w14:paraId="148485CC" w14:textId="77777777" w:rsidR="00EC05F1" w:rsidRPr="00147038" w:rsidRDefault="00EC05F1" w:rsidP="0040365E">
      <w:pPr>
        <w:spacing w:after="0" w:line="360" w:lineRule="auto"/>
        <w:jc w:val="both"/>
        <w:rPr>
          <w:rFonts w:ascii="Times New Roman" w:hAnsi="Times New Roman" w:cs="Times New Roman"/>
          <w:sz w:val="24"/>
          <w:szCs w:val="24"/>
        </w:rPr>
      </w:pPr>
    </w:p>
    <w:p w14:paraId="59306C33" w14:textId="528C31FC" w:rsidR="00EC05F1" w:rsidRPr="00147038" w:rsidRDefault="00EC05F1" w:rsidP="00147038">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Alberich, T. (2016). </w:t>
      </w:r>
      <w:r w:rsidRPr="00147038">
        <w:rPr>
          <w:rFonts w:ascii="Times New Roman" w:hAnsi="Times New Roman" w:cs="Times New Roman"/>
          <w:i/>
          <w:iCs/>
          <w:sz w:val="24"/>
          <w:szCs w:val="24"/>
        </w:rPr>
        <w:t>Desde las Asociaciones de Vecinos al 15M y las mareas ciudadanas. Breve historia de los movimientos sociales</w:t>
      </w:r>
      <w:r w:rsidRPr="00147038">
        <w:rPr>
          <w:rFonts w:ascii="Times New Roman" w:hAnsi="Times New Roman" w:cs="Times New Roman"/>
          <w:sz w:val="24"/>
          <w:szCs w:val="24"/>
        </w:rPr>
        <w:t>. Editorial Dykinson.</w:t>
      </w:r>
    </w:p>
    <w:p w14:paraId="77CA8AD9" w14:textId="161F58FF" w:rsidR="00EC05F1" w:rsidRPr="00147038" w:rsidRDefault="00EC05F1" w:rsidP="00147038">
      <w:pPr>
        <w:spacing w:after="0" w:line="360" w:lineRule="auto"/>
        <w:ind w:left="709" w:hanging="709"/>
        <w:jc w:val="both"/>
        <w:rPr>
          <w:rFonts w:ascii="Times New Roman" w:hAnsi="Times New Roman" w:cs="Times New Roman"/>
          <w:sz w:val="24"/>
          <w:szCs w:val="24"/>
          <w:lang w:val="en-US"/>
        </w:rPr>
      </w:pPr>
      <w:r w:rsidRPr="00147038">
        <w:rPr>
          <w:rFonts w:ascii="Times New Roman" w:hAnsi="Times New Roman" w:cs="Times New Roman"/>
          <w:sz w:val="24"/>
          <w:szCs w:val="24"/>
          <w:lang w:val="en-US"/>
        </w:rPr>
        <w:t xml:space="preserve">Bennett, W. L. y Segerberg, A. (2012). The Logic of Connective Action. Digital Media and the Personalization of Contentious Politics. </w:t>
      </w:r>
      <w:r w:rsidRPr="00147038">
        <w:rPr>
          <w:rFonts w:ascii="Times New Roman" w:hAnsi="Times New Roman" w:cs="Times New Roman"/>
          <w:i/>
          <w:iCs/>
          <w:sz w:val="24"/>
          <w:szCs w:val="24"/>
          <w:lang w:val="en-US"/>
        </w:rPr>
        <w:t>Information, Communication and Society</w:t>
      </w:r>
      <w:r w:rsidRPr="00147038">
        <w:rPr>
          <w:rFonts w:ascii="Times New Roman" w:hAnsi="Times New Roman" w:cs="Times New Roman"/>
          <w:sz w:val="24"/>
          <w:szCs w:val="24"/>
          <w:lang w:val="en-US"/>
        </w:rPr>
        <w:t>, 15(5), 739-768.</w:t>
      </w:r>
    </w:p>
    <w:p w14:paraId="3BD5294B" w14:textId="7B350C8E" w:rsidR="00EC05F1" w:rsidRPr="00147038" w:rsidRDefault="00EC05F1" w:rsidP="00147038">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Bourdieu, P. (1997). </w:t>
      </w:r>
      <w:r w:rsidRPr="00147038">
        <w:rPr>
          <w:rFonts w:ascii="Times New Roman" w:hAnsi="Times New Roman" w:cs="Times New Roman"/>
          <w:i/>
          <w:iCs/>
          <w:sz w:val="24"/>
          <w:szCs w:val="24"/>
        </w:rPr>
        <w:t>Sobre la televisión</w:t>
      </w:r>
      <w:r w:rsidRPr="00147038">
        <w:rPr>
          <w:rFonts w:ascii="Times New Roman" w:hAnsi="Times New Roman" w:cs="Times New Roman"/>
          <w:sz w:val="24"/>
          <w:szCs w:val="24"/>
        </w:rPr>
        <w:t>. Anagrama.</w:t>
      </w:r>
    </w:p>
    <w:p w14:paraId="13EF2350" w14:textId="656820B1" w:rsidR="00EC05F1" w:rsidRPr="00147038" w:rsidRDefault="00EC05F1" w:rsidP="00147038">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Buerklin, W. (1987). Why study political cycles: An introduction. </w:t>
      </w:r>
      <w:r w:rsidRPr="00147038">
        <w:rPr>
          <w:rFonts w:ascii="Times New Roman" w:hAnsi="Times New Roman" w:cs="Times New Roman"/>
          <w:i/>
          <w:iCs/>
          <w:sz w:val="24"/>
          <w:szCs w:val="24"/>
        </w:rPr>
        <w:t>European Journal of Political Research</w:t>
      </w:r>
      <w:r w:rsidRPr="00147038">
        <w:rPr>
          <w:rFonts w:ascii="Times New Roman" w:hAnsi="Times New Roman" w:cs="Times New Roman"/>
          <w:sz w:val="24"/>
          <w:szCs w:val="24"/>
        </w:rPr>
        <w:t>, 15, 131-143.</w:t>
      </w:r>
    </w:p>
    <w:p w14:paraId="6E2E296F" w14:textId="77777777" w:rsidR="00707812"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Calvo, K. y Álvarez I. (2015), Limitaciones y exclusiones en la institucionalización de la in</w:t>
      </w:r>
      <w:r w:rsidR="00147038">
        <w:rPr>
          <w:rFonts w:ascii="Times New Roman" w:hAnsi="Times New Roman" w:cs="Times New Roman"/>
          <w:sz w:val="24"/>
          <w:szCs w:val="24"/>
        </w:rPr>
        <w:t>d</w:t>
      </w:r>
      <w:r w:rsidRPr="00147038">
        <w:rPr>
          <w:rFonts w:ascii="Times New Roman" w:hAnsi="Times New Roman" w:cs="Times New Roman"/>
          <w:sz w:val="24"/>
          <w:szCs w:val="24"/>
        </w:rPr>
        <w:t xml:space="preserve">ignación: del 15-M a Podemos. </w:t>
      </w:r>
      <w:r w:rsidRPr="00147038">
        <w:rPr>
          <w:rFonts w:ascii="Times New Roman" w:hAnsi="Times New Roman" w:cs="Times New Roman"/>
          <w:i/>
          <w:iCs/>
          <w:sz w:val="24"/>
          <w:szCs w:val="24"/>
        </w:rPr>
        <w:t>Revista Española de Sociología</w:t>
      </w:r>
      <w:r w:rsidRPr="00147038">
        <w:rPr>
          <w:rFonts w:ascii="Times New Roman" w:hAnsi="Times New Roman" w:cs="Times New Roman"/>
          <w:sz w:val="24"/>
          <w:szCs w:val="24"/>
        </w:rPr>
        <w:t>, 24, 115-122.</w:t>
      </w:r>
    </w:p>
    <w:p w14:paraId="655BB330" w14:textId="6757112D"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lastRenderedPageBreak/>
        <w:t xml:space="preserve">Calvo,  K. y Garciamarín, H. (2016). </w:t>
      </w:r>
      <w:r w:rsidRPr="00147038">
        <w:rPr>
          <w:rFonts w:ascii="Times New Roman" w:hAnsi="Times New Roman" w:cs="Times New Roman"/>
          <w:i/>
          <w:iCs/>
          <w:sz w:val="24"/>
          <w:szCs w:val="24"/>
        </w:rPr>
        <w:t>¿Qué ha pasado con la movilización social? Continuidad y cambios en la protesta social en España</w:t>
      </w:r>
      <w:r w:rsidRPr="00147038">
        <w:rPr>
          <w:rFonts w:ascii="Times New Roman" w:hAnsi="Times New Roman" w:cs="Times New Roman"/>
          <w:sz w:val="24"/>
          <w:szCs w:val="24"/>
        </w:rPr>
        <w:t xml:space="preserve">. (Informe 2016/28). </w:t>
      </w:r>
      <w:r w:rsidRPr="00147038">
        <w:rPr>
          <w:rFonts w:ascii="Times New Roman" w:hAnsi="Times New Roman" w:cs="Times New Roman"/>
          <w:sz w:val="24"/>
          <w:szCs w:val="24"/>
          <w:lang w:val="en-US"/>
        </w:rPr>
        <w:t xml:space="preserve">Fundación Alternativas Laboratorio. </w:t>
      </w:r>
    </w:p>
    <w:p w14:paraId="22FD8332" w14:textId="5E6A5C40"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Casas, A., Davesa, F. y Congosto, M. (2016). La cobertura mediática de una acción “conectiva”: la interacción entre el movimiento 15-M y los medios de comunicación. </w:t>
      </w:r>
      <w:r w:rsidRPr="00147038">
        <w:rPr>
          <w:rFonts w:ascii="Times New Roman" w:hAnsi="Times New Roman" w:cs="Times New Roman"/>
          <w:i/>
          <w:iCs/>
          <w:sz w:val="24"/>
          <w:szCs w:val="24"/>
        </w:rPr>
        <w:t>Revista Española de Investigaciones Sociológicas</w:t>
      </w:r>
      <w:r w:rsidRPr="00147038">
        <w:rPr>
          <w:rFonts w:ascii="Times New Roman" w:hAnsi="Times New Roman" w:cs="Times New Roman"/>
          <w:sz w:val="24"/>
          <w:szCs w:val="24"/>
        </w:rPr>
        <w:t>, 155, 73-96.</w:t>
      </w:r>
    </w:p>
    <w:p w14:paraId="4582C1DD" w14:textId="295BA140"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Castells, M. (2012). </w:t>
      </w:r>
      <w:r w:rsidRPr="00147038">
        <w:rPr>
          <w:rFonts w:ascii="Times New Roman" w:hAnsi="Times New Roman" w:cs="Times New Roman"/>
          <w:i/>
          <w:iCs/>
          <w:sz w:val="24"/>
          <w:szCs w:val="24"/>
        </w:rPr>
        <w:t>Redes de indignación y esperanza</w:t>
      </w:r>
      <w:r w:rsidRPr="00147038">
        <w:rPr>
          <w:rFonts w:ascii="Times New Roman" w:hAnsi="Times New Roman" w:cs="Times New Roman"/>
          <w:sz w:val="24"/>
          <w:szCs w:val="24"/>
        </w:rPr>
        <w:t>. Alianza Editorial.</w:t>
      </w:r>
    </w:p>
    <w:p w14:paraId="3C13D608" w14:textId="44BA1E6F" w:rsidR="00EC05F1" w:rsidRPr="00707812" w:rsidRDefault="00EC05F1" w:rsidP="00707812">
      <w:pPr>
        <w:spacing w:after="0" w:line="360" w:lineRule="auto"/>
        <w:ind w:left="709" w:hanging="709"/>
        <w:jc w:val="both"/>
        <w:rPr>
          <w:rFonts w:ascii="Times New Roman" w:hAnsi="Times New Roman" w:cs="Times New Roman"/>
          <w:sz w:val="24"/>
          <w:szCs w:val="24"/>
          <w:lang w:val="en-US"/>
        </w:rPr>
      </w:pPr>
      <w:r w:rsidRPr="00147038">
        <w:rPr>
          <w:rFonts w:ascii="Times New Roman" w:hAnsi="Times New Roman" w:cs="Times New Roman"/>
          <w:sz w:val="24"/>
          <w:szCs w:val="24"/>
          <w:lang w:val="en-US"/>
        </w:rPr>
        <w:t xml:space="preserve">Della Porta, D. (2014). Cycles of protest and the Consolidation of Democracy. </w:t>
      </w:r>
      <w:r w:rsidRPr="00147038">
        <w:rPr>
          <w:rFonts w:ascii="Times New Roman" w:hAnsi="Times New Roman" w:cs="Times New Roman"/>
          <w:i/>
          <w:iCs/>
          <w:sz w:val="24"/>
          <w:szCs w:val="24"/>
          <w:lang w:val="en-US"/>
        </w:rPr>
        <w:t>Partecipazione e Conflitto</w:t>
      </w:r>
      <w:r w:rsidRPr="00147038">
        <w:rPr>
          <w:rFonts w:ascii="Times New Roman" w:hAnsi="Times New Roman" w:cs="Times New Roman"/>
          <w:sz w:val="24"/>
          <w:szCs w:val="24"/>
          <w:lang w:val="en-US"/>
        </w:rPr>
        <w:t>, 7 (3), 447-468.</w:t>
      </w:r>
    </w:p>
    <w:p w14:paraId="1D81F863" w14:textId="2A27CC8C" w:rsidR="00EC05F1" w:rsidRPr="00147038" w:rsidRDefault="00EC05F1" w:rsidP="00707812">
      <w:pPr>
        <w:spacing w:after="0" w:line="360" w:lineRule="auto"/>
        <w:ind w:left="709" w:hanging="709"/>
        <w:jc w:val="both"/>
        <w:rPr>
          <w:rFonts w:ascii="Times New Roman" w:hAnsi="Times New Roman" w:cs="Times New Roman"/>
          <w:sz w:val="24"/>
          <w:szCs w:val="24"/>
        </w:rPr>
      </w:pPr>
      <w:r w:rsidRPr="00707812">
        <w:rPr>
          <w:rFonts w:ascii="Times New Roman" w:hAnsi="Times New Roman" w:cs="Times New Roman"/>
          <w:sz w:val="24"/>
          <w:szCs w:val="24"/>
          <w:lang w:val="en-US"/>
        </w:rPr>
        <w:t xml:space="preserve">Earl, J., Martin, A., McAdam, D. y Soule, S.A. (2004). </w:t>
      </w:r>
      <w:r w:rsidRPr="00147038">
        <w:rPr>
          <w:rFonts w:ascii="Times New Roman" w:hAnsi="Times New Roman" w:cs="Times New Roman"/>
          <w:sz w:val="24"/>
          <w:szCs w:val="24"/>
          <w:lang w:val="en-US"/>
        </w:rPr>
        <w:t xml:space="preserve">The use of Newspapaer data in the study of collective action. </w:t>
      </w:r>
      <w:r w:rsidRPr="00147038">
        <w:rPr>
          <w:rFonts w:ascii="Times New Roman" w:hAnsi="Times New Roman" w:cs="Times New Roman"/>
          <w:i/>
          <w:iCs/>
          <w:sz w:val="24"/>
          <w:szCs w:val="24"/>
        </w:rPr>
        <w:t>Annual Review of Sociology</w:t>
      </w:r>
      <w:r w:rsidRPr="00147038">
        <w:rPr>
          <w:rFonts w:ascii="Times New Roman" w:hAnsi="Times New Roman" w:cs="Times New Roman"/>
          <w:sz w:val="24"/>
          <w:szCs w:val="24"/>
        </w:rPr>
        <w:t>, 30, 65-80.</w:t>
      </w:r>
    </w:p>
    <w:p w14:paraId="27F71A6E" w14:textId="01D81806"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Gamson, W. y Meyer, D. (1999). Marcos interpretativos de las oportunidades políticas. En D. McAdam, J. McCarthy y M. Zald (Eds.), </w:t>
      </w:r>
      <w:r w:rsidRPr="00147038">
        <w:rPr>
          <w:rFonts w:ascii="Times New Roman" w:hAnsi="Times New Roman" w:cs="Times New Roman"/>
          <w:i/>
          <w:iCs/>
          <w:sz w:val="24"/>
          <w:szCs w:val="24"/>
        </w:rPr>
        <w:t>Movimientos sociales: perspectivas comparadas</w:t>
      </w:r>
      <w:r w:rsidRPr="00147038">
        <w:rPr>
          <w:rFonts w:ascii="Times New Roman" w:hAnsi="Times New Roman" w:cs="Times New Roman"/>
          <w:sz w:val="24"/>
          <w:szCs w:val="24"/>
        </w:rPr>
        <w:t xml:space="preserve"> (pp. 389-312). Istmo.</w:t>
      </w:r>
    </w:p>
    <w:p w14:paraId="325DF9E2" w14:textId="3FDE41C9"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Goodwin, J. y Jasper, J.M. (Eds.) (2004). </w:t>
      </w:r>
      <w:r w:rsidRPr="00147038">
        <w:rPr>
          <w:rFonts w:ascii="Times New Roman" w:hAnsi="Times New Roman" w:cs="Times New Roman"/>
          <w:i/>
          <w:iCs/>
          <w:sz w:val="24"/>
          <w:szCs w:val="24"/>
          <w:lang w:val="en-US"/>
        </w:rPr>
        <w:t>Rethinking Social Movements: Structure, Meaning and Emotion</w:t>
      </w:r>
      <w:r w:rsidRPr="00147038">
        <w:rPr>
          <w:rFonts w:ascii="Times New Roman" w:hAnsi="Times New Roman" w:cs="Times New Roman"/>
          <w:sz w:val="24"/>
          <w:szCs w:val="24"/>
          <w:lang w:val="en-US"/>
        </w:rPr>
        <w:t xml:space="preserve">. </w:t>
      </w:r>
      <w:r w:rsidRPr="00147038">
        <w:rPr>
          <w:rFonts w:ascii="Times New Roman" w:hAnsi="Times New Roman" w:cs="Times New Roman"/>
          <w:sz w:val="24"/>
          <w:szCs w:val="24"/>
        </w:rPr>
        <w:t>Rowman and Littlefield</w:t>
      </w:r>
      <w:r w:rsidRPr="00147038">
        <w:rPr>
          <w:rFonts w:ascii="Times New Roman" w:hAnsi="Times New Roman" w:cs="Times New Roman"/>
          <w:sz w:val="24"/>
          <w:szCs w:val="24"/>
        </w:rPr>
        <w:t>.</w:t>
      </w:r>
    </w:p>
    <w:p w14:paraId="78A6F2EB" w14:textId="45A9D5CC"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Gurr, T. (1970). </w:t>
      </w:r>
      <w:r w:rsidRPr="00147038">
        <w:rPr>
          <w:rFonts w:ascii="Times New Roman" w:hAnsi="Times New Roman" w:cs="Times New Roman"/>
          <w:i/>
          <w:iCs/>
          <w:sz w:val="24"/>
          <w:szCs w:val="24"/>
          <w:lang w:val="en-US"/>
        </w:rPr>
        <w:t xml:space="preserve">Why men rebel? </w:t>
      </w:r>
      <w:r w:rsidRPr="00147038">
        <w:rPr>
          <w:rFonts w:ascii="Times New Roman" w:hAnsi="Times New Roman" w:cs="Times New Roman"/>
          <w:sz w:val="24"/>
          <w:szCs w:val="24"/>
        </w:rPr>
        <w:t>Princeton University Press.</w:t>
      </w:r>
    </w:p>
    <w:p w14:paraId="2DDF5288" w14:textId="1C85C190"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Gutiérrez,  B.  (31 de mayo de 2014),  El  método 15M como sistema operativo de la nueva era de partidos. </w:t>
      </w:r>
      <w:r w:rsidRPr="00147038">
        <w:rPr>
          <w:rFonts w:ascii="Times New Roman" w:hAnsi="Times New Roman" w:cs="Times New Roman"/>
          <w:i/>
          <w:iCs/>
          <w:sz w:val="24"/>
          <w:szCs w:val="24"/>
        </w:rPr>
        <w:t>eldiario.es</w:t>
      </w:r>
      <w:r w:rsidRPr="00147038">
        <w:rPr>
          <w:rFonts w:ascii="Times New Roman" w:hAnsi="Times New Roman" w:cs="Times New Roman"/>
          <w:sz w:val="24"/>
          <w:szCs w:val="24"/>
        </w:rPr>
        <w:t xml:space="preserve">.  </w:t>
      </w:r>
      <w:hyperlink r:id="rId12" w:history="1">
        <w:r w:rsidRPr="00147038">
          <w:rPr>
            <w:rStyle w:val="Hipervnculo"/>
            <w:rFonts w:ascii="Times New Roman" w:hAnsi="Times New Roman" w:cs="Times New Roman"/>
            <w:sz w:val="24"/>
            <w:szCs w:val="24"/>
          </w:rPr>
          <w:t>http://www.eldiario.es/zona-critica/metodo-sistema-operativo-nueva-parti-dos_6_265683467.html</w:t>
        </w:r>
      </w:hyperlink>
    </w:p>
    <w:p w14:paraId="378295FF" w14:textId="2C28F6AC" w:rsidR="00275217" w:rsidRPr="00147038" w:rsidRDefault="00750324"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Herrera-Gutiérrez, M.R.</w:t>
      </w:r>
      <w:r w:rsidR="00372D91" w:rsidRPr="00147038">
        <w:rPr>
          <w:rFonts w:ascii="Times New Roman" w:hAnsi="Times New Roman" w:cs="Times New Roman"/>
          <w:sz w:val="24"/>
          <w:szCs w:val="24"/>
        </w:rPr>
        <w:t xml:space="preserve"> y</w:t>
      </w:r>
      <w:r w:rsidRPr="00147038">
        <w:rPr>
          <w:rFonts w:ascii="Times New Roman" w:hAnsi="Times New Roman" w:cs="Times New Roman"/>
          <w:sz w:val="24"/>
          <w:szCs w:val="24"/>
        </w:rPr>
        <w:t xml:space="preserve"> Navarro, C.J. (2017). Los libretos de la protesta: un modelo para el estudio de la contienda política (Argentina, 1998-2005). </w:t>
      </w:r>
      <w:r w:rsidRPr="00147038">
        <w:rPr>
          <w:rFonts w:ascii="Times New Roman" w:hAnsi="Times New Roman" w:cs="Times New Roman"/>
          <w:i/>
          <w:iCs/>
          <w:sz w:val="24"/>
          <w:szCs w:val="24"/>
        </w:rPr>
        <w:t>Perfiles Latinoamericanos</w:t>
      </w:r>
      <w:r w:rsidRPr="00147038">
        <w:rPr>
          <w:rFonts w:ascii="Times New Roman" w:hAnsi="Times New Roman" w:cs="Times New Roman"/>
          <w:sz w:val="24"/>
          <w:szCs w:val="24"/>
        </w:rPr>
        <w:t>, 25(50), 247-278.</w:t>
      </w:r>
    </w:p>
    <w:p w14:paraId="0D2A3402" w14:textId="1DB18FEC"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Hessel, S. (2011). </w:t>
      </w:r>
      <w:r w:rsidRPr="00147038">
        <w:rPr>
          <w:rFonts w:ascii="Times New Roman" w:hAnsi="Times New Roman" w:cs="Times New Roman"/>
          <w:i/>
          <w:iCs/>
          <w:sz w:val="24"/>
          <w:szCs w:val="24"/>
        </w:rPr>
        <w:t>¡Indignaos!</w:t>
      </w:r>
      <w:r w:rsidRPr="00147038">
        <w:rPr>
          <w:rFonts w:ascii="Times New Roman" w:hAnsi="Times New Roman" w:cs="Times New Roman"/>
          <w:sz w:val="24"/>
          <w:szCs w:val="24"/>
        </w:rPr>
        <w:t xml:space="preserve"> Destino.</w:t>
      </w:r>
    </w:p>
    <w:p w14:paraId="3F4C08F6" w14:textId="17B7FCB1" w:rsidR="00EC05F1" w:rsidRPr="00707812"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Hutter, S. (2014). </w:t>
      </w:r>
      <w:r w:rsidRPr="00147038">
        <w:rPr>
          <w:rFonts w:ascii="Times New Roman" w:hAnsi="Times New Roman" w:cs="Times New Roman"/>
          <w:sz w:val="24"/>
          <w:szCs w:val="24"/>
          <w:lang w:val="en-US"/>
        </w:rPr>
        <w:t xml:space="preserve">Protest Event Analysis and Its Offspring. En D. della Porta (ed.), </w:t>
      </w:r>
      <w:r w:rsidRPr="00147038">
        <w:rPr>
          <w:rFonts w:ascii="Times New Roman" w:hAnsi="Times New Roman" w:cs="Times New Roman"/>
          <w:i/>
          <w:iCs/>
          <w:sz w:val="24"/>
          <w:szCs w:val="24"/>
          <w:lang w:val="en-US"/>
        </w:rPr>
        <w:t>Methodological Practices in Social Movement Research</w:t>
      </w:r>
      <w:r w:rsidRPr="00147038">
        <w:rPr>
          <w:rFonts w:ascii="Times New Roman" w:hAnsi="Times New Roman" w:cs="Times New Roman"/>
          <w:sz w:val="24"/>
          <w:szCs w:val="24"/>
          <w:lang w:val="en-US"/>
        </w:rPr>
        <w:t xml:space="preserve"> (pp. 335-367). </w:t>
      </w:r>
      <w:r w:rsidRPr="00147038">
        <w:rPr>
          <w:rFonts w:ascii="Times New Roman" w:hAnsi="Times New Roman" w:cs="Times New Roman"/>
          <w:sz w:val="24"/>
          <w:szCs w:val="24"/>
        </w:rPr>
        <w:t>Oxford University Press.</w:t>
      </w:r>
    </w:p>
    <w:p w14:paraId="420F8494" w14:textId="7AC4651D"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Ibarra, P., Martí i Puig, S., Cortina-Oriol, M. y Sribman, A. (eds.) (2018). </w:t>
      </w:r>
      <w:r w:rsidRPr="00147038">
        <w:rPr>
          <w:rFonts w:ascii="Times New Roman" w:hAnsi="Times New Roman" w:cs="Times New Roman"/>
          <w:i/>
          <w:iCs/>
          <w:sz w:val="24"/>
          <w:szCs w:val="24"/>
        </w:rPr>
        <w:t>Nuevos movimientos sociales: de la calle a los ayuntamientos</w:t>
      </w:r>
      <w:r w:rsidRPr="00147038">
        <w:rPr>
          <w:rFonts w:ascii="Times New Roman" w:hAnsi="Times New Roman" w:cs="Times New Roman"/>
          <w:sz w:val="24"/>
          <w:szCs w:val="24"/>
        </w:rPr>
        <w:t>. Icaria Editorial.</w:t>
      </w:r>
    </w:p>
    <w:p w14:paraId="75B5DB91" w14:textId="4FD4B3A9" w:rsidR="00EC05F1" w:rsidRPr="00147038" w:rsidRDefault="00EC05F1" w:rsidP="00147038">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Inglehart, R. (1977). </w:t>
      </w:r>
      <w:r w:rsidRPr="00147038">
        <w:rPr>
          <w:rFonts w:ascii="Times New Roman" w:hAnsi="Times New Roman" w:cs="Times New Roman"/>
          <w:i/>
          <w:iCs/>
          <w:sz w:val="24"/>
          <w:szCs w:val="24"/>
          <w:lang w:val="en-US"/>
        </w:rPr>
        <w:t>The silent revolution: Changing values and political styles among Western publics</w:t>
      </w:r>
      <w:r w:rsidRPr="00147038">
        <w:rPr>
          <w:rFonts w:ascii="Times New Roman" w:hAnsi="Times New Roman" w:cs="Times New Roman"/>
          <w:sz w:val="24"/>
          <w:szCs w:val="24"/>
          <w:lang w:val="en-US"/>
        </w:rPr>
        <w:t xml:space="preserve">. </w:t>
      </w:r>
      <w:r w:rsidRPr="00147038">
        <w:rPr>
          <w:rFonts w:ascii="Times New Roman" w:hAnsi="Times New Roman" w:cs="Times New Roman"/>
          <w:sz w:val="24"/>
          <w:szCs w:val="24"/>
        </w:rPr>
        <w:t>Princeton University Press.</w:t>
      </w:r>
    </w:p>
    <w:p w14:paraId="10009BB3" w14:textId="77777777" w:rsidR="00EC05F1" w:rsidRPr="00147038" w:rsidRDefault="00EC05F1" w:rsidP="00147038">
      <w:pPr>
        <w:spacing w:after="0" w:line="360" w:lineRule="auto"/>
        <w:ind w:left="709" w:hanging="709"/>
        <w:jc w:val="both"/>
        <w:rPr>
          <w:rFonts w:ascii="Times New Roman" w:hAnsi="Times New Roman" w:cs="Times New Roman"/>
          <w:sz w:val="24"/>
          <w:szCs w:val="24"/>
        </w:rPr>
      </w:pPr>
    </w:p>
    <w:p w14:paraId="5650AC6F" w14:textId="49525A02"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lastRenderedPageBreak/>
        <w:t xml:space="preserve">Klandermans, B. (1994). La construcción social de la protesta y los campos pluriorganizativos. En J. Gusfield, E. Larala (Eds.), </w:t>
      </w:r>
      <w:r w:rsidRPr="00147038">
        <w:rPr>
          <w:rFonts w:ascii="Times New Roman" w:hAnsi="Times New Roman" w:cs="Times New Roman"/>
          <w:i/>
          <w:iCs/>
          <w:sz w:val="24"/>
          <w:szCs w:val="24"/>
        </w:rPr>
        <w:t>Los nuevos movimientos sociales: de la ideología a la identidad</w:t>
      </w:r>
      <w:r w:rsidRPr="00147038">
        <w:rPr>
          <w:rFonts w:ascii="Times New Roman" w:hAnsi="Times New Roman" w:cs="Times New Roman"/>
          <w:sz w:val="24"/>
          <w:szCs w:val="24"/>
        </w:rPr>
        <w:t xml:space="preserve"> (pp. 183-220). Centro de Investigaciones Sociológicas.</w:t>
      </w:r>
    </w:p>
    <w:p w14:paraId="35F37181" w14:textId="0F971113"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Koopmans, R., Rucht, D. (2002). Protest Event Analysis. En B. Klandermans y S. Staggenborg (Eds.), </w:t>
      </w:r>
      <w:r w:rsidRPr="00147038">
        <w:rPr>
          <w:rFonts w:ascii="Times New Roman" w:hAnsi="Times New Roman" w:cs="Times New Roman"/>
          <w:i/>
          <w:iCs/>
          <w:sz w:val="24"/>
          <w:szCs w:val="24"/>
          <w:lang w:val="en-US"/>
        </w:rPr>
        <w:t>Methods of Social Movement Research</w:t>
      </w:r>
      <w:r w:rsidRPr="00147038">
        <w:rPr>
          <w:rFonts w:ascii="Times New Roman" w:hAnsi="Times New Roman" w:cs="Times New Roman"/>
          <w:sz w:val="24"/>
          <w:szCs w:val="24"/>
          <w:lang w:val="en-US"/>
        </w:rPr>
        <w:t xml:space="preserve"> (pp.231-259). </w:t>
      </w:r>
      <w:r w:rsidRPr="00147038">
        <w:rPr>
          <w:rFonts w:ascii="Times New Roman" w:hAnsi="Times New Roman" w:cs="Times New Roman"/>
          <w:sz w:val="24"/>
          <w:szCs w:val="24"/>
        </w:rPr>
        <w:t>Minnesota Press.</w:t>
      </w:r>
    </w:p>
    <w:p w14:paraId="09C39FEA" w14:textId="521AF4B5" w:rsidR="00EC05F1" w:rsidRPr="00147038" w:rsidRDefault="00EC05F1" w:rsidP="00707812">
      <w:pPr>
        <w:spacing w:after="0" w:line="360" w:lineRule="auto"/>
        <w:ind w:left="709" w:hanging="709"/>
        <w:jc w:val="both"/>
        <w:rPr>
          <w:rFonts w:ascii="Times New Roman" w:hAnsi="Times New Roman" w:cs="Times New Roman"/>
          <w:sz w:val="24"/>
          <w:szCs w:val="24"/>
          <w:lang w:val="en-US"/>
        </w:rPr>
      </w:pPr>
      <w:r w:rsidRPr="00147038">
        <w:rPr>
          <w:rFonts w:ascii="Times New Roman" w:hAnsi="Times New Roman" w:cs="Times New Roman"/>
          <w:sz w:val="24"/>
          <w:szCs w:val="24"/>
        </w:rPr>
        <w:t xml:space="preserve">Kriesi, H.P., Koopmans, R., Dyvendak, J.W. y Giugni, M. (1995). </w:t>
      </w:r>
      <w:r w:rsidRPr="00147038">
        <w:rPr>
          <w:rFonts w:ascii="Times New Roman" w:hAnsi="Times New Roman" w:cs="Times New Roman"/>
          <w:i/>
          <w:iCs/>
          <w:sz w:val="24"/>
          <w:szCs w:val="24"/>
          <w:lang w:val="en-US"/>
        </w:rPr>
        <w:t>New Social Movements in Western Europe: A Comparative Analysis</w:t>
      </w:r>
      <w:r w:rsidRPr="00147038">
        <w:rPr>
          <w:rFonts w:ascii="Times New Roman" w:hAnsi="Times New Roman" w:cs="Times New Roman"/>
          <w:sz w:val="24"/>
          <w:szCs w:val="24"/>
          <w:lang w:val="en-US"/>
        </w:rPr>
        <w:t>. UCL Press.</w:t>
      </w:r>
    </w:p>
    <w:p w14:paraId="1E4818A7" w14:textId="528998AC"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Laclau, E. (2005). </w:t>
      </w:r>
      <w:r w:rsidRPr="00147038">
        <w:rPr>
          <w:rFonts w:ascii="Times New Roman" w:hAnsi="Times New Roman" w:cs="Times New Roman"/>
          <w:i/>
          <w:iCs/>
          <w:sz w:val="24"/>
          <w:szCs w:val="24"/>
        </w:rPr>
        <w:t>La razón populista</w:t>
      </w:r>
      <w:r w:rsidRPr="00147038">
        <w:rPr>
          <w:rFonts w:ascii="Times New Roman" w:hAnsi="Times New Roman" w:cs="Times New Roman"/>
          <w:sz w:val="24"/>
          <w:szCs w:val="24"/>
        </w:rPr>
        <w:t>. Fondo de Cultura Económica.</w:t>
      </w:r>
    </w:p>
    <w:p w14:paraId="2853382A" w14:textId="3787843A"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Lewin, K. (1947). Frontiers in Group Dynamics: II. Channels of Group Life; Social Planning and Action Research. </w:t>
      </w:r>
      <w:r w:rsidRPr="00147038">
        <w:rPr>
          <w:rFonts w:ascii="Times New Roman" w:hAnsi="Times New Roman" w:cs="Times New Roman"/>
          <w:i/>
          <w:iCs/>
          <w:sz w:val="24"/>
          <w:szCs w:val="24"/>
        </w:rPr>
        <w:t>Human Relations</w:t>
      </w:r>
      <w:r w:rsidRPr="00147038">
        <w:rPr>
          <w:rFonts w:ascii="Times New Roman" w:hAnsi="Times New Roman" w:cs="Times New Roman"/>
          <w:sz w:val="24"/>
          <w:szCs w:val="24"/>
        </w:rPr>
        <w:t>, 1(2), 143-153.</w:t>
      </w:r>
    </w:p>
    <w:p w14:paraId="2538930C" w14:textId="4B640B9E"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Lobera, J. (2015). De movimientos a partidos. La cristalización electoral de la protesta. </w:t>
      </w:r>
      <w:r w:rsidRPr="00147038">
        <w:rPr>
          <w:rFonts w:ascii="Times New Roman" w:hAnsi="Times New Roman" w:cs="Times New Roman"/>
          <w:i/>
          <w:iCs/>
          <w:sz w:val="24"/>
          <w:szCs w:val="24"/>
        </w:rPr>
        <w:t>Revista Española de Sociología</w:t>
      </w:r>
      <w:r w:rsidRPr="00147038">
        <w:rPr>
          <w:rFonts w:ascii="Times New Roman" w:hAnsi="Times New Roman" w:cs="Times New Roman"/>
          <w:sz w:val="24"/>
          <w:szCs w:val="24"/>
        </w:rPr>
        <w:t>, 24, 97-105</w:t>
      </w:r>
    </w:p>
    <w:p w14:paraId="6E870BF4" w14:textId="3E230640"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Marín-Gutiérrez, D. (2022). </w:t>
      </w:r>
      <w:r w:rsidRPr="00147038">
        <w:rPr>
          <w:rFonts w:ascii="Times New Roman" w:hAnsi="Times New Roman" w:cs="Times New Roman"/>
          <w:i/>
          <w:iCs/>
          <w:sz w:val="24"/>
          <w:szCs w:val="24"/>
        </w:rPr>
        <w:t>La dinámica contenciosa del Movimiento de las Indignadas: un estudio sobre la familia de movimientos sociales a través del análisis de los libretos de protesta</w:t>
      </w:r>
      <w:r w:rsidRPr="00147038">
        <w:rPr>
          <w:rFonts w:ascii="Times New Roman" w:hAnsi="Times New Roman" w:cs="Times New Roman"/>
          <w:sz w:val="24"/>
          <w:szCs w:val="24"/>
        </w:rPr>
        <w:t>. (Tesis de Doctorado). Centro de Estudios de Posgrado, Universidad Pablo de Olavide.</w:t>
      </w:r>
    </w:p>
    <w:p w14:paraId="5F31C0D4" w14:textId="7E48504F"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Martín, I. (2015). Podemos y otros modelos de partido-movimiento. </w:t>
      </w:r>
      <w:r w:rsidRPr="00147038">
        <w:rPr>
          <w:rFonts w:ascii="Times New Roman" w:hAnsi="Times New Roman" w:cs="Times New Roman"/>
          <w:i/>
          <w:iCs/>
          <w:sz w:val="24"/>
          <w:szCs w:val="24"/>
        </w:rPr>
        <w:t>Revista Española de Sociología</w:t>
      </w:r>
      <w:r w:rsidRPr="00147038">
        <w:rPr>
          <w:rFonts w:ascii="Times New Roman" w:hAnsi="Times New Roman" w:cs="Times New Roman"/>
          <w:sz w:val="24"/>
          <w:szCs w:val="24"/>
        </w:rPr>
        <w:t>, 24, 107-114.</w:t>
      </w:r>
    </w:p>
    <w:p w14:paraId="010AD3C6" w14:textId="41D4DB14" w:rsidR="00EC05F1" w:rsidRPr="00147038" w:rsidRDefault="008111F3"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McAdam, D., Tarrow, S. y Tilly, Ch. </w:t>
      </w:r>
      <w:r w:rsidRPr="00147038">
        <w:rPr>
          <w:rFonts w:ascii="Times New Roman" w:hAnsi="Times New Roman" w:cs="Times New Roman"/>
          <w:sz w:val="24"/>
          <w:szCs w:val="24"/>
        </w:rPr>
        <w:t xml:space="preserve">(2005). </w:t>
      </w:r>
      <w:r w:rsidRPr="00147038">
        <w:rPr>
          <w:rFonts w:ascii="Times New Roman" w:hAnsi="Times New Roman" w:cs="Times New Roman"/>
          <w:i/>
          <w:iCs/>
          <w:sz w:val="24"/>
          <w:szCs w:val="24"/>
        </w:rPr>
        <w:t>Dinámica de la contienda política</w:t>
      </w:r>
      <w:r w:rsidRPr="00147038">
        <w:rPr>
          <w:rFonts w:ascii="Times New Roman" w:hAnsi="Times New Roman" w:cs="Times New Roman"/>
          <w:sz w:val="24"/>
          <w:szCs w:val="24"/>
        </w:rPr>
        <w:t>. Hacer.</w:t>
      </w:r>
    </w:p>
    <w:p w14:paraId="3BA2AC99" w14:textId="5C64AB28" w:rsidR="00EC05F1" w:rsidRPr="00147038" w:rsidRDefault="00EC05F1" w:rsidP="00707812">
      <w:pPr>
        <w:spacing w:after="0" w:line="360" w:lineRule="auto"/>
        <w:ind w:left="709" w:hanging="709"/>
        <w:jc w:val="both"/>
        <w:rPr>
          <w:rFonts w:ascii="Times New Roman" w:hAnsi="Times New Roman" w:cs="Times New Roman"/>
          <w:sz w:val="24"/>
          <w:szCs w:val="24"/>
          <w:lang w:val="en-US"/>
        </w:rPr>
      </w:pPr>
      <w:r w:rsidRPr="00147038">
        <w:rPr>
          <w:rFonts w:ascii="Times New Roman" w:hAnsi="Times New Roman" w:cs="Times New Roman"/>
          <w:sz w:val="24"/>
          <w:szCs w:val="24"/>
        </w:rPr>
        <w:t xml:space="preserve">Minguijón, P.J. y Pac-Salas, D. (2019). El caso de Ganemos Zaragoza: una aproximación desde la sociología relacional. </w:t>
      </w:r>
      <w:r w:rsidRPr="00147038">
        <w:rPr>
          <w:rFonts w:ascii="Times New Roman" w:hAnsi="Times New Roman" w:cs="Times New Roman"/>
          <w:i/>
          <w:iCs/>
          <w:sz w:val="24"/>
          <w:szCs w:val="24"/>
          <w:lang w:val="en-US"/>
        </w:rPr>
        <w:t>Revista Internacional De Sociología</w:t>
      </w:r>
      <w:r w:rsidRPr="00147038">
        <w:rPr>
          <w:rFonts w:ascii="Times New Roman" w:hAnsi="Times New Roman" w:cs="Times New Roman"/>
          <w:sz w:val="24"/>
          <w:szCs w:val="24"/>
          <w:lang w:val="en-US"/>
        </w:rPr>
        <w:t>, 77(1), e121.</w:t>
      </w:r>
    </w:p>
    <w:p w14:paraId="54BBD19B" w14:textId="034CD733" w:rsidR="00EC05F1" w:rsidRPr="00707812" w:rsidRDefault="00EC05F1" w:rsidP="00707812">
      <w:pPr>
        <w:spacing w:after="0" w:line="360" w:lineRule="auto"/>
        <w:ind w:left="709" w:hanging="709"/>
        <w:jc w:val="both"/>
        <w:rPr>
          <w:rFonts w:ascii="Times New Roman" w:hAnsi="Times New Roman" w:cs="Times New Roman"/>
          <w:sz w:val="24"/>
          <w:szCs w:val="24"/>
          <w:lang w:val="en-US"/>
        </w:rPr>
      </w:pPr>
      <w:r w:rsidRPr="00147038">
        <w:rPr>
          <w:rFonts w:ascii="Times New Roman" w:hAnsi="Times New Roman" w:cs="Times New Roman"/>
          <w:sz w:val="24"/>
          <w:szCs w:val="24"/>
        </w:rPr>
        <w:t xml:space="preserve">Navarro, C.J., Mora, C. y Rodríguez, M.J. (2012). </w:t>
      </w:r>
      <w:r w:rsidRPr="00147038">
        <w:rPr>
          <w:rFonts w:ascii="Times New Roman" w:hAnsi="Times New Roman" w:cs="Times New Roman"/>
          <w:sz w:val="24"/>
          <w:szCs w:val="24"/>
          <w:lang w:val="en-US"/>
        </w:rPr>
        <w:t xml:space="preserve">Cultural scenes, the creative class and development in Spanish municipalities. </w:t>
      </w:r>
      <w:r w:rsidRPr="00147038">
        <w:rPr>
          <w:rFonts w:ascii="Times New Roman" w:hAnsi="Times New Roman" w:cs="Times New Roman"/>
          <w:i/>
          <w:iCs/>
          <w:sz w:val="24"/>
          <w:szCs w:val="24"/>
          <w:lang w:val="en-US"/>
        </w:rPr>
        <w:t>European Urban and Regional Studies</w:t>
      </w:r>
      <w:r w:rsidRPr="00147038">
        <w:rPr>
          <w:rFonts w:ascii="Times New Roman" w:hAnsi="Times New Roman" w:cs="Times New Roman"/>
          <w:sz w:val="24"/>
          <w:szCs w:val="24"/>
          <w:lang w:val="en-US"/>
        </w:rPr>
        <w:t>, 21, 301-317.</w:t>
      </w:r>
    </w:p>
    <w:p w14:paraId="110ADB9A" w14:textId="7B200F86"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Oberschall, A. (1999). Oportunidades y creación de marcos en las revueltas de 1989 en el Este de Europa. En D. McAdam, J. McCarthy y M. Zald (Eds.), </w:t>
      </w:r>
      <w:r w:rsidRPr="00147038">
        <w:rPr>
          <w:rFonts w:ascii="Times New Roman" w:hAnsi="Times New Roman" w:cs="Times New Roman"/>
          <w:i/>
          <w:iCs/>
          <w:sz w:val="24"/>
          <w:szCs w:val="24"/>
        </w:rPr>
        <w:t>Movimientos sociales: perspectivas comparadas</w:t>
      </w:r>
      <w:r w:rsidRPr="00147038">
        <w:rPr>
          <w:rFonts w:ascii="Times New Roman" w:hAnsi="Times New Roman" w:cs="Times New Roman"/>
          <w:sz w:val="24"/>
          <w:szCs w:val="24"/>
        </w:rPr>
        <w:t xml:space="preserve"> (pp.143-181). Istmo.</w:t>
      </w:r>
    </w:p>
    <w:p w14:paraId="1A59DD1C" w14:textId="5822D38C" w:rsidR="008111F3"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Opp, K.D. (1990). Postmaterialism, Collective Action, and Political Protest. </w:t>
      </w:r>
      <w:r w:rsidRPr="00147038">
        <w:rPr>
          <w:rFonts w:ascii="Times New Roman" w:hAnsi="Times New Roman" w:cs="Times New Roman"/>
          <w:i/>
          <w:iCs/>
          <w:sz w:val="24"/>
          <w:szCs w:val="24"/>
        </w:rPr>
        <w:t>American Journal of Political Science</w:t>
      </w:r>
      <w:r w:rsidRPr="00147038">
        <w:rPr>
          <w:rFonts w:ascii="Times New Roman" w:hAnsi="Times New Roman" w:cs="Times New Roman"/>
          <w:sz w:val="24"/>
          <w:szCs w:val="24"/>
        </w:rPr>
        <w:t>, 34, 212-235.</w:t>
      </w:r>
    </w:p>
    <w:p w14:paraId="1D58F892" w14:textId="77777777" w:rsidR="00EC05F1" w:rsidRPr="00147038" w:rsidRDefault="00EC05F1" w:rsidP="00147038">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Portos, M. (2016). Movilización social en tiempos de recesión: un análisis de eventos de protesta en España, 2007-2015. </w:t>
      </w:r>
      <w:r w:rsidRPr="00147038">
        <w:rPr>
          <w:rFonts w:ascii="Times New Roman" w:hAnsi="Times New Roman" w:cs="Times New Roman"/>
          <w:i/>
          <w:iCs/>
          <w:sz w:val="24"/>
          <w:szCs w:val="24"/>
        </w:rPr>
        <w:t>Revista Española De Ciencia Política</w:t>
      </w:r>
      <w:r w:rsidRPr="00147038">
        <w:rPr>
          <w:rFonts w:ascii="Times New Roman" w:hAnsi="Times New Roman" w:cs="Times New Roman"/>
          <w:sz w:val="24"/>
          <w:szCs w:val="24"/>
        </w:rPr>
        <w:t>, 41, 159-178.</w:t>
      </w:r>
    </w:p>
    <w:p w14:paraId="761526E1" w14:textId="77777777" w:rsidR="00EC05F1" w:rsidRPr="00147038" w:rsidRDefault="00EC05F1" w:rsidP="00147038">
      <w:pPr>
        <w:spacing w:after="0" w:line="360" w:lineRule="auto"/>
        <w:ind w:left="709" w:hanging="709"/>
        <w:jc w:val="both"/>
        <w:rPr>
          <w:rFonts w:ascii="Times New Roman" w:hAnsi="Times New Roman" w:cs="Times New Roman"/>
          <w:sz w:val="24"/>
          <w:szCs w:val="24"/>
        </w:rPr>
      </w:pPr>
    </w:p>
    <w:p w14:paraId="3C51D982" w14:textId="5F4224D4"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lastRenderedPageBreak/>
        <w:t xml:space="preserve">Río, M. A. (2008). Usos y abusos de la prensa como fuente de datos sobre acciones colectivas. Empiria. </w:t>
      </w:r>
      <w:r w:rsidRPr="00147038">
        <w:rPr>
          <w:rFonts w:ascii="Times New Roman" w:hAnsi="Times New Roman" w:cs="Times New Roman"/>
          <w:i/>
          <w:iCs/>
          <w:sz w:val="24"/>
          <w:szCs w:val="24"/>
        </w:rPr>
        <w:t>Revista De metodología De Ciencias Sociales</w:t>
      </w:r>
      <w:r w:rsidRPr="00147038">
        <w:rPr>
          <w:rFonts w:ascii="Times New Roman" w:hAnsi="Times New Roman" w:cs="Times New Roman"/>
          <w:sz w:val="24"/>
          <w:szCs w:val="24"/>
        </w:rPr>
        <w:t>, (16), 59–84.</w:t>
      </w:r>
    </w:p>
    <w:p w14:paraId="2A3F3F47" w14:textId="724A5BD0"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Romanos,  E. (2016). ‘No es una crisis, es que ya no te quiero’. Humor y protesta en el movimiento 15M. </w:t>
      </w:r>
      <w:r w:rsidRPr="00147038">
        <w:rPr>
          <w:rFonts w:ascii="Times New Roman" w:hAnsi="Times New Roman" w:cs="Times New Roman"/>
          <w:i/>
          <w:iCs/>
          <w:sz w:val="24"/>
          <w:szCs w:val="24"/>
        </w:rPr>
        <w:t xml:space="preserve">Revista Internacional de Sociología, </w:t>
      </w:r>
      <w:r w:rsidRPr="00147038">
        <w:rPr>
          <w:rFonts w:ascii="Times New Roman" w:hAnsi="Times New Roman" w:cs="Times New Roman"/>
          <w:sz w:val="24"/>
          <w:szCs w:val="24"/>
        </w:rPr>
        <w:t>74 (3), e039</w:t>
      </w:r>
      <w:r w:rsidRPr="00147038">
        <w:rPr>
          <w:rFonts w:ascii="Times New Roman" w:hAnsi="Times New Roman" w:cs="Times New Roman"/>
          <w:sz w:val="24"/>
          <w:szCs w:val="24"/>
        </w:rPr>
        <w:t>.</w:t>
      </w:r>
    </w:p>
    <w:p w14:paraId="76AF1DD3" w14:textId="5E001180"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Roth, L., Monterde, A., y Calleja-López, A. (2019). </w:t>
      </w:r>
      <w:r w:rsidRPr="00147038">
        <w:rPr>
          <w:rFonts w:ascii="Times New Roman" w:hAnsi="Times New Roman" w:cs="Times New Roman"/>
          <w:i/>
          <w:iCs/>
          <w:sz w:val="24"/>
          <w:szCs w:val="24"/>
        </w:rPr>
        <w:t>Ciudades Democráticas. La revuelta municipalista en el ciclo post-15M</w:t>
      </w:r>
      <w:r w:rsidRPr="00147038">
        <w:rPr>
          <w:rFonts w:ascii="Times New Roman" w:hAnsi="Times New Roman" w:cs="Times New Roman"/>
          <w:sz w:val="24"/>
          <w:szCs w:val="24"/>
        </w:rPr>
        <w:t>. Icaria.</w:t>
      </w:r>
    </w:p>
    <w:p w14:paraId="75AD7503" w14:textId="2FFB2487"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Snow, D.A. y Benford, R. (1988). Ideology, frame resonance and participant mobilization. In B. Klandermans, H. Kriesi, y S. Tarrow (Eds.), </w:t>
      </w:r>
      <w:r w:rsidRPr="00147038">
        <w:rPr>
          <w:rFonts w:ascii="Times New Roman" w:hAnsi="Times New Roman" w:cs="Times New Roman"/>
          <w:i/>
          <w:iCs/>
          <w:sz w:val="24"/>
          <w:szCs w:val="24"/>
          <w:lang w:val="en-US"/>
        </w:rPr>
        <w:t>From Structure to Action: Comparing Social Movement Research Across Cultures International social movement research</w:t>
      </w:r>
      <w:r w:rsidRPr="00147038">
        <w:rPr>
          <w:rFonts w:ascii="Times New Roman" w:hAnsi="Times New Roman" w:cs="Times New Roman"/>
          <w:sz w:val="24"/>
          <w:szCs w:val="24"/>
          <w:lang w:val="en-US"/>
        </w:rPr>
        <w:t xml:space="preserve"> (pp. 197-217). </w:t>
      </w:r>
      <w:r w:rsidRPr="00147038">
        <w:rPr>
          <w:rFonts w:ascii="Times New Roman" w:hAnsi="Times New Roman" w:cs="Times New Roman"/>
          <w:sz w:val="24"/>
          <w:szCs w:val="24"/>
        </w:rPr>
        <w:t>JAI Press.</w:t>
      </w:r>
    </w:p>
    <w:p w14:paraId="1007DA43" w14:textId="057CCBFD"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Subirats, J. (2015). Todo se mueve. Acción colectiva, acción conectiva. Movimientos, partidos e instituciones. </w:t>
      </w:r>
      <w:r w:rsidRPr="00147038">
        <w:rPr>
          <w:rFonts w:ascii="Times New Roman" w:hAnsi="Times New Roman" w:cs="Times New Roman"/>
          <w:i/>
          <w:iCs/>
          <w:sz w:val="24"/>
          <w:szCs w:val="24"/>
        </w:rPr>
        <w:t>Revista Española de Sociología</w:t>
      </w:r>
      <w:r w:rsidRPr="00147038">
        <w:rPr>
          <w:rFonts w:ascii="Times New Roman" w:hAnsi="Times New Roman" w:cs="Times New Roman"/>
          <w:sz w:val="24"/>
          <w:szCs w:val="24"/>
        </w:rPr>
        <w:t>, 24, 123-131.</w:t>
      </w:r>
    </w:p>
    <w:p w14:paraId="46F43E36" w14:textId="70C61AEC" w:rsidR="00EC05F1"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Tarrow, S. (1990). </w:t>
      </w:r>
      <w:r w:rsidRPr="00147038">
        <w:rPr>
          <w:rFonts w:ascii="Times New Roman" w:hAnsi="Times New Roman" w:cs="Times New Roman"/>
          <w:i/>
          <w:iCs/>
          <w:sz w:val="24"/>
          <w:szCs w:val="24"/>
        </w:rPr>
        <w:t>Dimocrazia e disordine: Movimimenti di protesta e politica in Italia: 1965-1975</w:t>
      </w:r>
      <w:r w:rsidRPr="00147038">
        <w:rPr>
          <w:rFonts w:ascii="Times New Roman" w:hAnsi="Times New Roman" w:cs="Times New Roman"/>
          <w:sz w:val="24"/>
          <w:szCs w:val="24"/>
        </w:rPr>
        <w:t>. Libri de tempo La terraza.</w:t>
      </w:r>
    </w:p>
    <w:p w14:paraId="2C793C90" w14:textId="39ADF5E7" w:rsidR="00EC05F1" w:rsidRPr="00707812"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Tarrow, S. (2002). Ciclos de acción colectiva: entre los momentos de locura y el repertorio de contestación. En M. Traugott (Ed.), </w:t>
      </w:r>
      <w:r w:rsidRPr="00147038">
        <w:rPr>
          <w:rFonts w:ascii="Times New Roman" w:hAnsi="Times New Roman" w:cs="Times New Roman"/>
          <w:i/>
          <w:iCs/>
          <w:sz w:val="24"/>
          <w:szCs w:val="24"/>
        </w:rPr>
        <w:t>Protesta Social</w:t>
      </w:r>
      <w:r w:rsidRPr="00147038">
        <w:rPr>
          <w:rFonts w:ascii="Times New Roman" w:hAnsi="Times New Roman" w:cs="Times New Roman"/>
          <w:sz w:val="24"/>
          <w:szCs w:val="24"/>
        </w:rPr>
        <w:t xml:space="preserve"> (pp. 99-130). Hacer.</w:t>
      </w:r>
    </w:p>
    <w:p w14:paraId="7E508185" w14:textId="6D64BD8E" w:rsidR="00EC05F1" w:rsidRPr="00707812" w:rsidRDefault="00EC05F1" w:rsidP="00707812">
      <w:pPr>
        <w:spacing w:after="0" w:line="360" w:lineRule="auto"/>
        <w:ind w:left="709" w:hanging="709"/>
        <w:jc w:val="both"/>
        <w:rPr>
          <w:rFonts w:ascii="Times New Roman" w:hAnsi="Times New Roman" w:cs="Times New Roman"/>
          <w:sz w:val="24"/>
          <w:szCs w:val="24"/>
          <w:lang w:val="en-US"/>
        </w:rPr>
      </w:pPr>
      <w:r w:rsidRPr="00147038">
        <w:rPr>
          <w:rFonts w:ascii="Times New Roman" w:hAnsi="Times New Roman" w:cs="Times New Roman"/>
          <w:sz w:val="24"/>
          <w:szCs w:val="24"/>
          <w:lang w:val="en-US"/>
        </w:rPr>
        <w:t xml:space="preserve">Tilly, Ch. (2002). Event catalogs as theories. </w:t>
      </w:r>
      <w:r w:rsidRPr="00147038">
        <w:rPr>
          <w:rFonts w:ascii="Times New Roman" w:hAnsi="Times New Roman" w:cs="Times New Roman"/>
          <w:i/>
          <w:iCs/>
          <w:sz w:val="24"/>
          <w:szCs w:val="24"/>
          <w:lang w:val="en-US"/>
        </w:rPr>
        <w:t>Sociological Theory</w:t>
      </w:r>
      <w:r w:rsidRPr="00147038">
        <w:rPr>
          <w:rFonts w:ascii="Times New Roman" w:hAnsi="Times New Roman" w:cs="Times New Roman"/>
          <w:sz w:val="24"/>
          <w:szCs w:val="24"/>
          <w:lang w:val="en-US"/>
        </w:rPr>
        <w:t>, 20 (2), 248-254.</w:t>
      </w:r>
    </w:p>
    <w:p w14:paraId="35CEBF77" w14:textId="3F4B7819" w:rsidR="00EC05F1" w:rsidRPr="00147038" w:rsidRDefault="00EC05F1" w:rsidP="00707812">
      <w:pPr>
        <w:spacing w:after="0" w:line="360" w:lineRule="auto"/>
        <w:ind w:left="709" w:hanging="709"/>
        <w:jc w:val="both"/>
        <w:rPr>
          <w:rFonts w:ascii="Times New Roman" w:hAnsi="Times New Roman" w:cs="Times New Roman"/>
          <w:sz w:val="24"/>
          <w:szCs w:val="24"/>
          <w:lang w:val="en-US"/>
        </w:rPr>
      </w:pPr>
      <w:r w:rsidRPr="00147038">
        <w:rPr>
          <w:rFonts w:ascii="Times New Roman" w:hAnsi="Times New Roman" w:cs="Times New Roman"/>
          <w:sz w:val="24"/>
          <w:szCs w:val="24"/>
          <w:lang w:val="en-US"/>
        </w:rPr>
        <w:t xml:space="preserve">Tilly, Ch. (2008). </w:t>
      </w:r>
      <w:r w:rsidRPr="00147038">
        <w:rPr>
          <w:rFonts w:ascii="Times New Roman" w:hAnsi="Times New Roman" w:cs="Times New Roman"/>
          <w:i/>
          <w:iCs/>
          <w:sz w:val="24"/>
          <w:szCs w:val="24"/>
          <w:lang w:val="en-US"/>
        </w:rPr>
        <w:t>Contentious Performances</w:t>
      </w:r>
      <w:r w:rsidRPr="00147038">
        <w:rPr>
          <w:rFonts w:ascii="Times New Roman" w:hAnsi="Times New Roman" w:cs="Times New Roman"/>
          <w:sz w:val="24"/>
          <w:szCs w:val="24"/>
          <w:lang w:val="en-US"/>
        </w:rPr>
        <w:t>. Cambridge University Press.</w:t>
      </w:r>
    </w:p>
    <w:p w14:paraId="41418E50" w14:textId="11509AE5" w:rsidR="00532FFE" w:rsidRPr="00147038" w:rsidRDefault="00532FFE"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Touraine, A. (1981). </w:t>
      </w:r>
      <w:r w:rsidRPr="00147038">
        <w:rPr>
          <w:rFonts w:ascii="Times New Roman" w:hAnsi="Times New Roman" w:cs="Times New Roman"/>
          <w:i/>
          <w:iCs/>
          <w:sz w:val="24"/>
          <w:szCs w:val="24"/>
          <w:lang w:val="en-US"/>
        </w:rPr>
        <w:t>The Voice and the Eye. An Analysis of Social Movements</w:t>
      </w:r>
      <w:r w:rsidRPr="00147038">
        <w:rPr>
          <w:rFonts w:ascii="Times New Roman" w:hAnsi="Times New Roman" w:cs="Times New Roman"/>
          <w:sz w:val="24"/>
          <w:szCs w:val="24"/>
          <w:lang w:val="en-US"/>
        </w:rPr>
        <w:t xml:space="preserve">. </w:t>
      </w:r>
      <w:r w:rsidRPr="00147038">
        <w:rPr>
          <w:rFonts w:ascii="Times New Roman" w:hAnsi="Times New Roman" w:cs="Times New Roman"/>
          <w:sz w:val="24"/>
          <w:szCs w:val="24"/>
        </w:rPr>
        <w:t>Cambridge University Press.</w:t>
      </w:r>
    </w:p>
    <w:p w14:paraId="215BA1BE" w14:textId="4C4966AF" w:rsidR="00D81A68" w:rsidRPr="00147038" w:rsidRDefault="00EC05F1" w:rsidP="00707812">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rPr>
        <w:t xml:space="preserve">Ubasart, G. (2018). Apuestas municipalistas: un salto de escala. En P. Ibarra, S. Martí i Puig, M. Cortina-Oriol y A. Sribman (eds.), </w:t>
      </w:r>
      <w:r w:rsidRPr="00147038">
        <w:rPr>
          <w:rFonts w:ascii="Times New Roman" w:hAnsi="Times New Roman" w:cs="Times New Roman"/>
          <w:i/>
          <w:iCs/>
          <w:sz w:val="24"/>
          <w:szCs w:val="24"/>
        </w:rPr>
        <w:t>Nuevos movimientos sociales: de la calle a los ayuntamientos</w:t>
      </w:r>
      <w:r w:rsidRPr="00147038">
        <w:rPr>
          <w:rFonts w:ascii="Times New Roman" w:hAnsi="Times New Roman" w:cs="Times New Roman"/>
          <w:sz w:val="24"/>
          <w:szCs w:val="24"/>
        </w:rPr>
        <w:t xml:space="preserve"> (pp.65-76). Icaria Editorial.</w:t>
      </w:r>
    </w:p>
    <w:p w14:paraId="0F11E2C0" w14:textId="3483E9AC" w:rsidR="008C0C3A" w:rsidRPr="00147038" w:rsidRDefault="00580C16" w:rsidP="00147038">
      <w:pPr>
        <w:spacing w:after="0" w:line="360" w:lineRule="auto"/>
        <w:ind w:left="709" w:hanging="709"/>
        <w:jc w:val="both"/>
        <w:rPr>
          <w:rFonts w:ascii="Times New Roman" w:hAnsi="Times New Roman" w:cs="Times New Roman"/>
          <w:sz w:val="24"/>
          <w:szCs w:val="24"/>
        </w:rPr>
      </w:pPr>
      <w:r w:rsidRPr="00147038">
        <w:rPr>
          <w:rFonts w:ascii="Times New Roman" w:hAnsi="Times New Roman" w:cs="Times New Roman"/>
          <w:sz w:val="24"/>
          <w:szCs w:val="24"/>
          <w:lang w:val="en-US"/>
        </w:rPr>
        <w:t xml:space="preserve">Zolberg, A.R. (1972). Moments of Madness. </w:t>
      </w:r>
      <w:r w:rsidRPr="00147038">
        <w:rPr>
          <w:rFonts w:ascii="Times New Roman" w:hAnsi="Times New Roman" w:cs="Times New Roman"/>
          <w:i/>
          <w:iCs/>
          <w:sz w:val="24"/>
          <w:szCs w:val="24"/>
        </w:rPr>
        <w:t>Politics &amp; Society</w:t>
      </w:r>
      <w:r w:rsidRPr="00147038">
        <w:rPr>
          <w:rFonts w:ascii="Times New Roman" w:hAnsi="Times New Roman" w:cs="Times New Roman"/>
          <w:sz w:val="24"/>
          <w:szCs w:val="24"/>
        </w:rPr>
        <w:t>, 2(2), 183-207.</w:t>
      </w:r>
    </w:p>
    <w:sectPr w:rsidR="008C0C3A" w:rsidRPr="00147038" w:rsidSect="0095658B">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41FF" w14:textId="77777777" w:rsidR="006C24A1" w:rsidRDefault="006C24A1" w:rsidP="00CC5C7D">
      <w:pPr>
        <w:spacing w:after="0" w:line="240" w:lineRule="auto"/>
      </w:pPr>
      <w:r>
        <w:separator/>
      </w:r>
    </w:p>
  </w:endnote>
  <w:endnote w:type="continuationSeparator" w:id="0">
    <w:p w14:paraId="4BAF0F0A" w14:textId="77777777" w:rsidR="006C24A1" w:rsidRDefault="006C24A1" w:rsidP="00CC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49270"/>
      <w:docPartObj>
        <w:docPartGallery w:val="Page Numbers (Bottom of Page)"/>
        <w:docPartUnique/>
      </w:docPartObj>
    </w:sdtPr>
    <w:sdtEndPr>
      <w:rPr>
        <w:rFonts w:ascii="Times New Roman" w:hAnsi="Times New Roman" w:cs="Times New Roman"/>
        <w:sz w:val="20"/>
        <w:szCs w:val="20"/>
      </w:rPr>
    </w:sdtEndPr>
    <w:sdtContent>
      <w:p w14:paraId="3E439853" w14:textId="5401A620" w:rsidR="00A76E97" w:rsidRPr="00A76E97" w:rsidRDefault="00A76E97">
        <w:pPr>
          <w:pStyle w:val="Piedepgina"/>
          <w:jc w:val="right"/>
          <w:rPr>
            <w:rFonts w:ascii="Times New Roman" w:hAnsi="Times New Roman" w:cs="Times New Roman"/>
            <w:sz w:val="20"/>
            <w:szCs w:val="20"/>
          </w:rPr>
        </w:pPr>
        <w:r w:rsidRPr="00A76E97">
          <w:rPr>
            <w:rFonts w:ascii="Times New Roman" w:hAnsi="Times New Roman" w:cs="Times New Roman"/>
            <w:sz w:val="20"/>
            <w:szCs w:val="20"/>
          </w:rPr>
          <w:fldChar w:fldCharType="begin"/>
        </w:r>
        <w:r w:rsidRPr="00A76E97">
          <w:rPr>
            <w:rFonts w:ascii="Times New Roman" w:hAnsi="Times New Roman" w:cs="Times New Roman"/>
            <w:sz w:val="20"/>
            <w:szCs w:val="20"/>
          </w:rPr>
          <w:instrText>PAGE   \* MERGEFORMAT</w:instrText>
        </w:r>
        <w:r w:rsidRPr="00A76E97">
          <w:rPr>
            <w:rFonts w:ascii="Times New Roman" w:hAnsi="Times New Roman" w:cs="Times New Roman"/>
            <w:sz w:val="20"/>
            <w:szCs w:val="20"/>
          </w:rPr>
          <w:fldChar w:fldCharType="separate"/>
        </w:r>
        <w:r w:rsidRPr="00A76E97">
          <w:rPr>
            <w:rFonts w:ascii="Times New Roman" w:hAnsi="Times New Roman" w:cs="Times New Roman"/>
            <w:sz w:val="20"/>
            <w:szCs w:val="20"/>
          </w:rPr>
          <w:t>2</w:t>
        </w:r>
        <w:r w:rsidRPr="00A76E97">
          <w:rPr>
            <w:rFonts w:ascii="Times New Roman" w:hAnsi="Times New Roman" w:cs="Times New Roman"/>
            <w:sz w:val="20"/>
            <w:szCs w:val="20"/>
          </w:rPr>
          <w:fldChar w:fldCharType="end"/>
        </w:r>
      </w:p>
    </w:sdtContent>
  </w:sdt>
  <w:p w14:paraId="72967B6E" w14:textId="77777777" w:rsidR="00A76E97" w:rsidRDefault="00A76E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1D77" w14:textId="77777777" w:rsidR="006C24A1" w:rsidRDefault="006C24A1" w:rsidP="00CC5C7D">
      <w:pPr>
        <w:spacing w:after="0" w:line="240" w:lineRule="auto"/>
      </w:pPr>
      <w:r>
        <w:separator/>
      </w:r>
    </w:p>
  </w:footnote>
  <w:footnote w:type="continuationSeparator" w:id="0">
    <w:p w14:paraId="243D74A4" w14:textId="77777777" w:rsidR="006C24A1" w:rsidRDefault="006C24A1" w:rsidP="00CC5C7D">
      <w:pPr>
        <w:spacing w:after="0" w:line="240" w:lineRule="auto"/>
      </w:pPr>
      <w:r>
        <w:continuationSeparator/>
      </w:r>
    </w:p>
  </w:footnote>
  <w:footnote w:id="1">
    <w:p w14:paraId="5B7BB664" w14:textId="0B62A70E" w:rsidR="002D734B" w:rsidRPr="00270F34" w:rsidRDefault="002D734B" w:rsidP="00270F34">
      <w:pPr>
        <w:pStyle w:val="Textonotapie"/>
        <w:spacing w:line="360" w:lineRule="auto"/>
        <w:jc w:val="both"/>
        <w:rPr>
          <w:rFonts w:ascii="Times New Roman" w:hAnsi="Times New Roman" w:cs="Times New Roman"/>
        </w:rPr>
      </w:pPr>
      <w:r w:rsidRPr="00957C69">
        <w:rPr>
          <w:rStyle w:val="Refdenotaalpie"/>
          <w:rFonts w:ascii="Times New Roman" w:hAnsi="Times New Roman" w:cs="Times New Roman"/>
        </w:rPr>
        <w:footnoteRef/>
      </w:r>
      <w:r w:rsidRPr="00957C69">
        <w:rPr>
          <w:rFonts w:ascii="Times New Roman" w:hAnsi="Times New Roman" w:cs="Times New Roman"/>
        </w:rPr>
        <w:t xml:space="preserve"> </w:t>
      </w:r>
      <w:r w:rsidR="00957C69" w:rsidRPr="00957C69">
        <w:rPr>
          <w:rFonts w:ascii="Times New Roman" w:hAnsi="Times New Roman" w:cs="Times New Roman"/>
        </w:rPr>
        <w:t xml:space="preserve">Esta presentación ha sido financiada por la Unión Europea “NextGenerationEU”, por el Plan de Recuperación, </w:t>
      </w:r>
      <w:r w:rsidR="00957C69" w:rsidRPr="00270F34">
        <w:rPr>
          <w:rFonts w:ascii="Times New Roman" w:hAnsi="Times New Roman" w:cs="Times New Roman"/>
        </w:rPr>
        <w:t>Transformación y Resiliencia y por el Ministerio de Universidades, en el marco de las ayudas Margarita Salas</w:t>
      </w:r>
      <w:r w:rsidR="00BA0725" w:rsidRPr="00270F34">
        <w:rPr>
          <w:rFonts w:ascii="Times New Roman" w:hAnsi="Times New Roman" w:cs="Times New Roman"/>
        </w:rPr>
        <w:t xml:space="preserve"> </w:t>
      </w:r>
      <w:r w:rsidR="00957C69" w:rsidRPr="00270F34">
        <w:rPr>
          <w:rFonts w:ascii="Times New Roman" w:hAnsi="Times New Roman" w:cs="Times New Roman"/>
        </w:rPr>
        <w:t>para la Recualificación del sistema universitario español 2021-2023 convocadas por la Universidad Pablo de Olavide, de Sevilla.</w:t>
      </w:r>
    </w:p>
  </w:footnote>
  <w:footnote w:id="2">
    <w:p w14:paraId="16B3C73C" w14:textId="77777777" w:rsidR="00927D3A" w:rsidRPr="00FD3A58" w:rsidRDefault="00927D3A" w:rsidP="00927D3A">
      <w:pPr>
        <w:pStyle w:val="Textonotapie"/>
        <w:spacing w:line="360" w:lineRule="auto"/>
        <w:jc w:val="both"/>
        <w:rPr>
          <w:rFonts w:ascii="Times New Roman" w:hAnsi="Times New Roman" w:cs="Times New Roman"/>
        </w:rPr>
      </w:pPr>
      <w:r w:rsidRPr="00FD3A58">
        <w:rPr>
          <w:rStyle w:val="Refdenotaalpie"/>
          <w:rFonts w:ascii="Times New Roman" w:hAnsi="Times New Roman" w:cs="Times New Roman"/>
        </w:rPr>
        <w:footnoteRef/>
      </w:r>
      <w:r w:rsidRPr="00FD3A58">
        <w:rPr>
          <w:rFonts w:ascii="Times New Roman" w:hAnsi="Times New Roman" w:cs="Times New Roman"/>
        </w:rPr>
        <w:t xml:space="preserve"> En este texto se diferencia entre 15-M (con guion), en alusión a una fecha concreta, y 15M (sin guion), en alusión al Movimiento 15M, tomando como referencia un comentario </w:t>
      </w:r>
      <w:r w:rsidRPr="00606A37">
        <w:rPr>
          <w:rFonts w:ascii="Times New Roman" w:hAnsi="Times New Roman" w:cs="Times New Roman"/>
        </w:rPr>
        <w:t>de Tomás Alberich (2016, p.275).</w:t>
      </w:r>
    </w:p>
  </w:footnote>
  <w:footnote w:id="3">
    <w:p w14:paraId="5564F812" w14:textId="77777777" w:rsidR="00A87294" w:rsidRPr="00F8106C" w:rsidRDefault="00A87294" w:rsidP="00A87294">
      <w:pPr>
        <w:pStyle w:val="Textonotapie"/>
        <w:spacing w:line="360" w:lineRule="auto"/>
        <w:rPr>
          <w:rFonts w:ascii="Times New Roman" w:hAnsi="Times New Roman" w:cs="Times New Roman"/>
        </w:rPr>
      </w:pPr>
      <w:r w:rsidRPr="00F8106C">
        <w:rPr>
          <w:rStyle w:val="Refdenotaalpie"/>
          <w:rFonts w:ascii="Times New Roman" w:hAnsi="Times New Roman" w:cs="Times New Roman"/>
        </w:rPr>
        <w:footnoteRef/>
      </w:r>
      <w:r w:rsidRPr="00F8106C">
        <w:rPr>
          <w:rFonts w:ascii="Times New Roman" w:hAnsi="Times New Roman" w:cs="Times New Roman"/>
        </w:rPr>
        <w:t xml:space="preserve"> La edición española se presentó el 28 de marzo de 2011.</w:t>
      </w:r>
    </w:p>
  </w:footnote>
  <w:footnote w:id="4">
    <w:p w14:paraId="1D8DA8CD" w14:textId="77777777" w:rsidR="00A87294" w:rsidRPr="00030D5A" w:rsidRDefault="00A87294" w:rsidP="00A87294">
      <w:pPr>
        <w:pStyle w:val="Textonotapie"/>
        <w:spacing w:line="360" w:lineRule="auto"/>
        <w:jc w:val="both"/>
        <w:rPr>
          <w:rFonts w:ascii="Times New Roman" w:hAnsi="Times New Roman" w:cs="Times New Roman"/>
        </w:rPr>
      </w:pPr>
      <w:r w:rsidRPr="00F8106C">
        <w:rPr>
          <w:rStyle w:val="Refdenotaalpie"/>
          <w:rFonts w:ascii="Times New Roman" w:hAnsi="Times New Roman" w:cs="Times New Roman"/>
        </w:rPr>
        <w:footnoteRef/>
      </w:r>
      <w:r w:rsidRPr="00F8106C">
        <w:rPr>
          <w:rFonts w:ascii="Times New Roman" w:hAnsi="Times New Roman" w:cs="Times New Roman"/>
        </w:rPr>
        <w:t xml:space="preserve"> Esta movilización se produjo el día 7 de abril de 2011 en Madrid para denunciar la precarización de los grupos sociales más jóvenes y fue tomada como un ensayo de las movilizaciones que se producirían un mes después.</w:t>
      </w:r>
    </w:p>
  </w:footnote>
  <w:footnote w:id="5">
    <w:p w14:paraId="052E8D56" w14:textId="77777777" w:rsidR="00766467" w:rsidRDefault="00766467" w:rsidP="00766467">
      <w:pPr>
        <w:pStyle w:val="Textonotapie"/>
        <w:spacing w:line="360" w:lineRule="auto"/>
        <w:jc w:val="both"/>
        <w:rPr>
          <w:rFonts w:ascii="Times New Roman" w:hAnsi="Times New Roman" w:cs="Times New Roman"/>
        </w:rPr>
      </w:pPr>
      <w:r w:rsidRPr="00030D5A">
        <w:rPr>
          <w:rStyle w:val="Refdenotaalpie"/>
          <w:rFonts w:ascii="Times New Roman" w:hAnsi="Times New Roman" w:cs="Times New Roman"/>
        </w:rPr>
        <w:footnoteRef/>
      </w:r>
      <w:r w:rsidRPr="00030D5A">
        <w:rPr>
          <w:rFonts w:ascii="Times New Roman" w:hAnsi="Times New Roman" w:cs="Times New Roman"/>
        </w:rPr>
        <w:t xml:space="preserve"> En este enlace se puede consultar </w:t>
      </w:r>
      <w:r w:rsidRPr="00030D5A">
        <w:rPr>
          <w:rFonts w:ascii="Times New Roman" w:hAnsi="Times New Roman" w:cs="Times New Roman"/>
          <w:i/>
          <w:iCs/>
        </w:rPr>
        <w:t>Mutaciones, proyecciones, alternativas y confluencias 15M</w:t>
      </w:r>
      <w:r w:rsidRPr="00030D5A">
        <w:rPr>
          <w:rFonts w:ascii="Times New Roman" w:hAnsi="Times New Roman" w:cs="Times New Roman"/>
        </w:rPr>
        <w:t xml:space="preserve"> (2015): </w:t>
      </w:r>
      <w:hyperlink r:id="rId1" w:history="1">
        <w:r w:rsidRPr="00030D5A">
          <w:rPr>
            <w:rStyle w:val="Hipervnculo"/>
            <w:rFonts w:ascii="Times New Roman" w:hAnsi="Times New Roman" w:cs="Times New Roman"/>
          </w:rPr>
          <w:t>https://drive.google.com/file/d/1Op0QsKN8hcISYNjE8QJb1oyyov219WW_/view?usp=sharing</w:t>
        </w:r>
      </w:hyperlink>
      <w:r w:rsidRPr="00030D5A">
        <w:rPr>
          <w:rFonts w:ascii="Times New Roman" w:hAnsi="Times New Roman" w:cs="Times New Roman"/>
        </w:rPr>
        <w:t xml:space="preserve">. </w:t>
      </w:r>
    </w:p>
    <w:p w14:paraId="65F0D6FC" w14:textId="77777777" w:rsidR="00766467" w:rsidRPr="00030D5A" w:rsidRDefault="00766467" w:rsidP="00766467">
      <w:pPr>
        <w:pStyle w:val="Textonotapie"/>
        <w:spacing w:line="360" w:lineRule="auto"/>
        <w:jc w:val="both"/>
        <w:rPr>
          <w:rFonts w:ascii="Times New Roman" w:hAnsi="Times New Roman" w:cs="Times New Roman"/>
        </w:rPr>
      </w:pPr>
      <w:r w:rsidRPr="00030D5A">
        <w:rPr>
          <w:rFonts w:ascii="Times New Roman" w:hAnsi="Times New Roman" w:cs="Times New Roman"/>
        </w:rPr>
        <w:t xml:space="preserve">La fuente original es Autoconsulta.org. Este archivo ha sido utilizado para la elaboración de un listado de actores para la selección de unidades de observación en la fuente de información. </w:t>
      </w:r>
    </w:p>
  </w:footnote>
  <w:footnote w:id="6">
    <w:p w14:paraId="70D1F48E" w14:textId="77777777" w:rsidR="00D5506F" w:rsidRPr="00030D5A" w:rsidRDefault="00D5506F" w:rsidP="00D5506F">
      <w:pPr>
        <w:pStyle w:val="Textonotapie"/>
        <w:spacing w:line="360" w:lineRule="auto"/>
        <w:jc w:val="both"/>
        <w:rPr>
          <w:rFonts w:ascii="Times New Roman" w:hAnsi="Times New Roman" w:cs="Times New Roman"/>
        </w:rPr>
      </w:pPr>
      <w:r w:rsidRPr="00030D5A">
        <w:rPr>
          <w:rStyle w:val="Refdenotaalpie"/>
          <w:rFonts w:ascii="Times New Roman" w:hAnsi="Times New Roman" w:cs="Times New Roman"/>
        </w:rPr>
        <w:footnoteRef/>
      </w:r>
      <w:r w:rsidRPr="00030D5A">
        <w:rPr>
          <w:rFonts w:ascii="Times New Roman" w:hAnsi="Times New Roman" w:cs="Times New Roman"/>
        </w:rPr>
        <w:t xml:space="preserve"> En los criterios de selección se tuvieron en cuenta las secciones (internacional, España, ediciones regionales, sociedad, economía, cultura y especiales temáticos) y los géneros periodísticos, predominando los informativos sobre aquellos de carácter </w:t>
      </w:r>
      <w:r w:rsidRPr="001501FE">
        <w:rPr>
          <w:rFonts w:ascii="Times New Roman" w:hAnsi="Times New Roman" w:cs="Times New Roman"/>
        </w:rPr>
        <w:t>interpretativo u opinativo (Kriesi et al., 1995).</w:t>
      </w:r>
      <w:r w:rsidRPr="00030D5A">
        <w:rPr>
          <w:rFonts w:ascii="Times New Roman" w:hAnsi="Times New Roman" w:cs="Times New Roman"/>
        </w:rPr>
        <w:t xml:space="preserve"> </w:t>
      </w:r>
    </w:p>
  </w:footnote>
  <w:footnote w:id="7">
    <w:p w14:paraId="419FDA8E" w14:textId="77777777" w:rsidR="00D5506F" w:rsidRPr="00030D5A" w:rsidRDefault="00D5506F" w:rsidP="00D5506F">
      <w:pPr>
        <w:pStyle w:val="Textonotapie"/>
        <w:spacing w:line="360" w:lineRule="auto"/>
        <w:jc w:val="both"/>
        <w:rPr>
          <w:rFonts w:ascii="Times New Roman" w:hAnsi="Times New Roman" w:cs="Times New Roman"/>
        </w:rPr>
      </w:pPr>
      <w:r w:rsidRPr="00030D5A">
        <w:rPr>
          <w:rStyle w:val="Refdenotaalpie"/>
          <w:rFonts w:ascii="Times New Roman" w:hAnsi="Times New Roman" w:cs="Times New Roman"/>
        </w:rPr>
        <w:footnoteRef/>
      </w:r>
      <w:r w:rsidRPr="00030D5A">
        <w:rPr>
          <w:rFonts w:ascii="Times New Roman" w:hAnsi="Times New Roman" w:cs="Times New Roman"/>
        </w:rPr>
        <w:t xml:space="preserve"> A través de la aplicación de código abierto Political Watch se ha podido controlar el sesgo ideológico y la confiabilidad de las informaciones a la hora de seleccionar la fuente de información: </w:t>
      </w:r>
      <w:hyperlink r:id="rId2" w:history="1">
        <w:r w:rsidRPr="00030D5A">
          <w:rPr>
            <w:rStyle w:val="Hipervnculo"/>
            <w:rFonts w:ascii="Times New Roman" w:hAnsi="Times New Roman" w:cs="Times New Roman"/>
          </w:rPr>
          <w:t>https://political-watch-oa.d1llfzwprjpx3u.amplifyapp.com/</w:t>
        </w:r>
      </w:hyperlink>
      <w:r w:rsidRPr="00030D5A">
        <w:rPr>
          <w:rFonts w:ascii="Times New Roman" w:hAnsi="Times New Roman" w:cs="Times New Roman"/>
        </w:rPr>
        <w:t xml:space="preserve"> </w:t>
      </w:r>
    </w:p>
  </w:footnote>
  <w:footnote w:id="8">
    <w:p w14:paraId="2C9053E0" w14:textId="77777777" w:rsidR="00D5506F" w:rsidRPr="00030D5A" w:rsidRDefault="00D5506F" w:rsidP="00D5506F">
      <w:pPr>
        <w:pStyle w:val="Textonotapie"/>
        <w:spacing w:line="360" w:lineRule="auto"/>
        <w:jc w:val="both"/>
        <w:rPr>
          <w:rFonts w:ascii="Times New Roman" w:hAnsi="Times New Roman" w:cs="Times New Roman"/>
        </w:rPr>
      </w:pPr>
      <w:r w:rsidRPr="00030D5A">
        <w:rPr>
          <w:rStyle w:val="Refdenotaalpie"/>
          <w:rFonts w:ascii="Times New Roman" w:hAnsi="Times New Roman" w:cs="Times New Roman"/>
        </w:rPr>
        <w:footnoteRef/>
      </w:r>
      <w:r w:rsidRPr="00030D5A">
        <w:rPr>
          <w:rFonts w:ascii="Times New Roman" w:hAnsi="Times New Roman" w:cs="Times New Roman"/>
        </w:rPr>
        <w:t xml:space="preserve"> La codificación se realizó utilizando un software propio: </w:t>
      </w:r>
    </w:p>
    <w:p w14:paraId="37EE8D7F" w14:textId="77777777" w:rsidR="00D5506F" w:rsidRPr="00030D5A" w:rsidRDefault="00000000" w:rsidP="00D5506F">
      <w:pPr>
        <w:pStyle w:val="Textonotapie"/>
        <w:spacing w:line="360" w:lineRule="auto"/>
        <w:jc w:val="both"/>
        <w:rPr>
          <w:rFonts w:ascii="Times New Roman" w:hAnsi="Times New Roman" w:cs="Times New Roman"/>
        </w:rPr>
      </w:pPr>
      <w:hyperlink r:id="rId3" w:history="1">
        <w:r w:rsidR="00D5506F" w:rsidRPr="00030D5A">
          <w:rPr>
            <w:rStyle w:val="Hipervnculo"/>
            <w:rFonts w:ascii="Times New Roman" w:hAnsi="Times New Roman" w:cs="Times New Roman"/>
          </w:rPr>
          <w:t>http://www.en-linea.eu/subdominio/PEA/Formulario/</w:t>
        </w:r>
      </w:hyperlink>
      <w:r w:rsidR="00D5506F" w:rsidRPr="00030D5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901"/>
      <w:gridCol w:w="1014"/>
      <w:gridCol w:w="4373"/>
    </w:tblGrid>
    <w:tr w:rsidR="000C3A96" w14:paraId="46895851" w14:textId="77777777" w:rsidTr="004205AA">
      <w:tc>
        <w:tcPr>
          <w:tcW w:w="2207" w:type="dxa"/>
        </w:tcPr>
        <w:p w14:paraId="4C259B50" w14:textId="77777777" w:rsidR="000C3A96" w:rsidRDefault="000C3A96" w:rsidP="000C3A96">
          <w:pPr>
            <w:pStyle w:val="Encabezado"/>
            <w:rPr>
              <w:rFonts w:asciiTheme="minorHAnsi" w:hAnsiTheme="minorHAnsi" w:cstheme="minorHAnsi"/>
              <w:noProof/>
              <w:lang w:eastAsia="es-ES"/>
            </w:rPr>
          </w:pPr>
          <w:r w:rsidRPr="00EF5122">
            <w:rPr>
              <w:rFonts w:cstheme="minorHAnsi"/>
              <w:noProof/>
              <w:lang w:eastAsia="es-ES"/>
            </w:rPr>
            <w:drawing>
              <wp:inline distT="0" distB="0" distL="0" distR="0" wp14:anchorId="1E0DFB90" wp14:editId="1954FEB1">
                <wp:extent cx="766354" cy="313055"/>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59" cy="319144"/>
                        </a:xfrm>
                        <a:prstGeom prst="rect">
                          <a:avLst/>
                        </a:prstGeom>
                        <a:noFill/>
                      </pic:spPr>
                    </pic:pic>
                  </a:graphicData>
                </a:graphic>
              </wp:inline>
            </w:drawing>
          </w:r>
        </w:p>
        <w:p w14:paraId="59C42D8B" w14:textId="77777777" w:rsidR="000C3A96" w:rsidRDefault="000C3A96" w:rsidP="000C3A96">
          <w:pPr>
            <w:pStyle w:val="Encabezado"/>
          </w:pPr>
        </w:p>
        <w:p w14:paraId="56141366" w14:textId="77777777" w:rsidR="000C3A96" w:rsidRDefault="000C3A96" w:rsidP="000C3A96">
          <w:pPr>
            <w:pStyle w:val="Encabezado"/>
          </w:pPr>
        </w:p>
      </w:tc>
      <w:tc>
        <w:tcPr>
          <w:tcW w:w="2901" w:type="dxa"/>
        </w:tcPr>
        <w:p w14:paraId="5B390B17" w14:textId="1EA379AE" w:rsidR="000C3A96" w:rsidRDefault="005E2137" w:rsidP="000C3A96">
          <w:pPr>
            <w:pStyle w:val="Encabezado"/>
          </w:pPr>
          <w:r>
            <w:rPr>
              <w:noProof/>
              <w:lang w:eastAsia="es-ES"/>
            </w:rPr>
            <w:t xml:space="preserve">                  </w:t>
          </w:r>
          <w:r>
            <w:rPr>
              <w:noProof/>
              <w:lang w:eastAsia="es-ES"/>
            </w:rPr>
            <w:drawing>
              <wp:inline distT="0" distB="0" distL="0" distR="0" wp14:anchorId="4856545A" wp14:editId="5B0F317D">
                <wp:extent cx="1140823" cy="317841"/>
                <wp:effectExtent l="0" t="0" r="2540" b="6350"/>
                <wp:docPr id="13" name="Imagen 13" descr="Pruebas de Concepto 2021 OTRI - El portal web de la transferencia del  conocimiento de la Universidad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s de Concepto 2021 OTRI - El portal web de la transferencia del  conocimiento de la Universidad de Granad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5198" cy="330204"/>
                        </a:xfrm>
                        <a:prstGeom prst="rect">
                          <a:avLst/>
                        </a:prstGeom>
                        <a:noFill/>
                        <a:ln>
                          <a:noFill/>
                        </a:ln>
                      </pic:spPr>
                    </pic:pic>
                  </a:graphicData>
                </a:graphic>
              </wp:inline>
            </w:drawing>
          </w:r>
          <w:r w:rsidR="000C3A96" w:rsidRPr="00EF5122">
            <w:rPr>
              <w:rFonts w:cstheme="minorHAnsi"/>
              <w:noProof/>
              <w:lang w:eastAsia="es-ES"/>
            </w:rPr>
            <w:drawing>
              <wp:anchor distT="0" distB="0" distL="114300" distR="114300" simplePos="0" relativeHeight="251659264" behindDoc="0" locked="0" layoutInCell="1" allowOverlap="1" wp14:anchorId="3DB41215" wp14:editId="28980053">
                <wp:simplePos x="0" y="0"/>
                <wp:positionH relativeFrom="margin">
                  <wp:posOffset>-526143</wp:posOffset>
                </wp:positionH>
                <wp:positionV relativeFrom="paragraph">
                  <wp:posOffset>1905</wp:posOffset>
                </wp:positionV>
                <wp:extent cx="1001486" cy="289884"/>
                <wp:effectExtent l="0" t="0" r="8255" b="0"/>
                <wp:wrapNone/>
                <wp:docPr id="2" name="Imagen 2"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1486" cy="2898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 w:type="dxa"/>
        </w:tcPr>
        <w:p w14:paraId="366B65CC" w14:textId="7BF2D6EF" w:rsidR="000C3A96" w:rsidRDefault="005E2137" w:rsidP="005E2137">
          <w:pPr>
            <w:pStyle w:val="Encabezado"/>
            <w:ind w:left="-533"/>
          </w:pPr>
          <w:r>
            <w:rPr>
              <w:rFonts w:cstheme="minorHAnsi"/>
              <w:noProof/>
              <w:lang w:eastAsia="es-ES"/>
            </w:rPr>
            <w:drawing>
              <wp:inline distT="0" distB="0" distL="0" distR="0" wp14:anchorId="2E2C9AB7" wp14:editId="6F705131">
                <wp:extent cx="844731" cy="562133"/>
                <wp:effectExtent l="0" t="0" r="0" b="9525"/>
                <wp:docPr id="1" name="Imagen 1" descr="C:\Users\eperman\AppData\Local\Microsoft\Windows\INetCache\Content.MSO\401AF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man\AppData\Local\Microsoft\Windows\INetCache\Content.MSO\401AF81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58" cy="589302"/>
                        </a:xfrm>
                        <a:prstGeom prst="rect">
                          <a:avLst/>
                        </a:prstGeom>
                        <a:noFill/>
                        <a:ln>
                          <a:noFill/>
                        </a:ln>
                      </pic:spPr>
                    </pic:pic>
                  </a:graphicData>
                </a:graphic>
              </wp:inline>
            </w:drawing>
          </w:r>
        </w:p>
      </w:tc>
      <w:tc>
        <w:tcPr>
          <w:tcW w:w="4373" w:type="dxa"/>
        </w:tcPr>
        <w:p w14:paraId="51BAD93B" w14:textId="082C8215" w:rsidR="00270051" w:rsidRDefault="004205AA" w:rsidP="004205AA">
          <w:pPr>
            <w:pStyle w:val="Encabezado"/>
            <w:ind w:left="11"/>
            <w:rPr>
              <w:rFonts w:ascii="Times New Roman" w:hAnsi="Times New Roman"/>
              <w:sz w:val="22"/>
              <w:szCs w:val="24"/>
            </w:rPr>
          </w:pPr>
          <w:r w:rsidRPr="004205AA">
            <w:rPr>
              <w:rFonts w:ascii="Times New Roman" w:hAnsi="Times New Roman"/>
              <w:sz w:val="22"/>
              <w:szCs w:val="24"/>
            </w:rPr>
            <w:t xml:space="preserve">XI Jornadas de Jóvenes Investigadorxs Instituto de Investigaciones Gino Germani </w:t>
          </w:r>
        </w:p>
        <w:p w14:paraId="512D00ED" w14:textId="551CECF2" w:rsidR="000C3A96" w:rsidRPr="004205AA" w:rsidRDefault="004205AA" w:rsidP="004205AA">
          <w:pPr>
            <w:pStyle w:val="Encabezado"/>
            <w:ind w:left="11"/>
            <w:rPr>
              <w:rFonts w:ascii="Times New Roman" w:hAnsi="Times New Roman"/>
              <w:sz w:val="22"/>
              <w:szCs w:val="24"/>
            </w:rPr>
          </w:pPr>
          <w:r w:rsidRPr="004205AA">
            <w:rPr>
              <w:rFonts w:ascii="Times New Roman" w:hAnsi="Times New Roman"/>
              <w:sz w:val="22"/>
              <w:szCs w:val="24"/>
            </w:rPr>
            <w:t>26, 27 y 28 de octubre de 2022</w:t>
          </w:r>
        </w:p>
      </w:tc>
    </w:tr>
  </w:tbl>
  <w:p w14:paraId="609225CA" w14:textId="6D62983D" w:rsidR="00644C09" w:rsidRDefault="00644C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260"/>
    <w:multiLevelType w:val="multilevel"/>
    <w:tmpl w:val="9C62C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574C56"/>
    <w:multiLevelType w:val="hybridMultilevel"/>
    <w:tmpl w:val="8D741D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082C4A"/>
    <w:multiLevelType w:val="hybridMultilevel"/>
    <w:tmpl w:val="9F1ECF72"/>
    <w:lvl w:ilvl="0" w:tplc="BC7C99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B77333"/>
    <w:multiLevelType w:val="hybridMultilevel"/>
    <w:tmpl w:val="B57CF5BC"/>
    <w:lvl w:ilvl="0" w:tplc="286C0C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00601D"/>
    <w:multiLevelType w:val="hybridMultilevel"/>
    <w:tmpl w:val="8D741D10"/>
    <w:lvl w:ilvl="0" w:tplc="AE78CFA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036C65"/>
    <w:multiLevelType w:val="hybridMultilevel"/>
    <w:tmpl w:val="6114BD34"/>
    <w:lvl w:ilvl="0" w:tplc="4F88A1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0A6D98"/>
    <w:multiLevelType w:val="multilevel"/>
    <w:tmpl w:val="90802AF6"/>
    <w:lvl w:ilvl="0">
      <w:start w:val="3"/>
      <w:numFmt w:val="decimal"/>
      <w:lvlText w:val="%1."/>
      <w:lvlJc w:val="left"/>
      <w:pPr>
        <w:ind w:left="360" w:hanging="360"/>
      </w:pPr>
      <w:rPr>
        <w:rFonts w:hint="default"/>
        <w:i w:val="0"/>
        <w:iCs/>
      </w:rPr>
    </w:lvl>
    <w:lvl w:ilvl="1">
      <w:start w:val="2"/>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7" w15:restartNumberingAfterBreak="0">
    <w:nsid w:val="4D020092"/>
    <w:multiLevelType w:val="multilevel"/>
    <w:tmpl w:val="41F4B3B2"/>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566D6A3B"/>
    <w:multiLevelType w:val="hybridMultilevel"/>
    <w:tmpl w:val="7F8E0886"/>
    <w:lvl w:ilvl="0" w:tplc="03F2CE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78089E"/>
    <w:multiLevelType w:val="multilevel"/>
    <w:tmpl w:val="0CB60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5520309">
    <w:abstractNumId w:val="9"/>
  </w:num>
  <w:num w:numId="2" w16cid:durableId="1575124507">
    <w:abstractNumId w:val="5"/>
  </w:num>
  <w:num w:numId="3" w16cid:durableId="183709554">
    <w:abstractNumId w:val="4"/>
  </w:num>
  <w:num w:numId="4" w16cid:durableId="1319193765">
    <w:abstractNumId w:val="1"/>
  </w:num>
  <w:num w:numId="5" w16cid:durableId="600407755">
    <w:abstractNumId w:val="0"/>
  </w:num>
  <w:num w:numId="6" w16cid:durableId="370426284">
    <w:abstractNumId w:val="7"/>
  </w:num>
  <w:num w:numId="7" w16cid:durableId="496000350">
    <w:abstractNumId w:val="6"/>
  </w:num>
  <w:num w:numId="8" w16cid:durableId="1899318546">
    <w:abstractNumId w:val="8"/>
  </w:num>
  <w:num w:numId="9" w16cid:durableId="1928492727">
    <w:abstractNumId w:val="3"/>
  </w:num>
  <w:num w:numId="10" w16cid:durableId="69665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7D"/>
    <w:rsid w:val="0000237D"/>
    <w:rsid w:val="00003258"/>
    <w:rsid w:val="00004A57"/>
    <w:rsid w:val="00004FCC"/>
    <w:rsid w:val="00005728"/>
    <w:rsid w:val="00007D42"/>
    <w:rsid w:val="00007D86"/>
    <w:rsid w:val="00012272"/>
    <w:rsid w:val="00012427"/>
    <w:rsid w:val="000137BF"/>
    <w:rsid w:val="000148F5"/>
    <w:rsid w:val="0001522C"/>
    <w:rsid w:val="00015CE1"/>
    <w:rsid w:val="00015F25"/>
    <w:rsid w:val="00016BF4"/>
    <w:rsid w:val="00016F2E"/>
    <w:rsid w:val="00021CBA"/>
    <w:rsid w:val="00022E82"/>
    <w:rsid w:val="000237D5"/>
    <w:rsid w:val="00023AFC"/>
    <w:rsid w:val="00027A17"/>
    <w:rsid w:val="00030D5A"/>
    <w:rsid w:val="0003116B"/>
    <w:rsid w:val="00036009"/>
    <w:rsid w:val="00040941"/>
    <w:rsid w:val="00040B3F"/>
    <w:rsid w:val="00041C30"/>
    <w:rsid w:val="0004317F"/>
    <w:rsid w:val="00045D24"/>
    <w:rsid w:val="000464BD"/>
    <w:rsid w:val="00047152"/>
    <w:rsid w:val="000472E0"/>
    <w:rsid w:val="00050041"/>
    <w:rsid w:val="00050176"/>
    <w:rsid w:val="0005044F"/>
    <w:rsid w:val="00051081"/>
    <w:rsid w:val="00051BA4"/>
    <w:rsid w:val="00052F31"/>
    <w:rsid w:val="000536BB"/>
    <w:rsid w:val="00056DB6"/>
    <w:rsid w:val="00057547"/>
    <w:rsid w:val="00057E7C"/>
    <w:rsid w:val="00057EEA"/>
    <w:rsid w:val="00060583"/>
    <w:rsid w:val="00065445"/>
    <w:rsid w:val="00065FBB"/>
    <w:rsid w:val="00066341"/>
    <w:rsid w:val="000664B6"/>
    <w:rsid w:val="000669CC"/>
    <w:rsid w:val="000714C0"/>
    <w:rsid w:val="00075E45"/>
    <w:rsid w:val="00077A92"/>
    <w:rsid w:val="00080CBB"/>
    <w:rsid w:val="000825F0"/>
    <w:rsid w:val="00083577"/>
    <w:rsid w:val="00084571"/>
    <w:rsid w:val="00086B4B"/>
    <w:rsid w:val="00090708"/>
    <w:rsid w:val="0009253A"/>
    <w:rsid w:val="00093BB7"/>
    <w:rsid w:val="000958D1"/>
    <w:rsid w:val="0009696A"/>
    <w:rsid w:val="000979CE"/>
    <w:rsid w:val="000A0DA1"/>
    <w:rsid w:val="000A17A8"/>
    <w:rsid w:val="000A2357"/>
    <w:rsid w:val="000A3F1F"/>
    <w:rsid w:val="000A491A"/>
    <w:rsid w:val="000B0099"/>
    <w:rsid w:val="000B1266"/>
    <w:rsid w:val="000B34EB"/>
    <w:rsid w:val="000B6EA5"/>
    <w:rsid w:val="000B7624"/>
    <w:rsid w:val="000C0292"/>
    <w:rsid w:val="000C03E4"/>
    <w:rsid w:val="000C1A97"/>
    <w:rsid w:val="000C3A96"/>
    <w:rsid w:val="000C448B"/>
    <w:rsid w:val="000C55DC"/>
    <w:rsid w:val="000C5AC4"/>
    <w:rsid w:val="000C7C42"/>
    <w:rsid w:val="000D23D8"/>
    <w:rsid w:val="000D3221"/>
    <w:rsid w:val="000D5B2F"/>
    <w:rsid w:val="000D6CF5"/>
    <w:rsid w:val="000E3C7D"/>
    <w:rsid w:val="000E42D1"/>
    <w:rsid w:val="000E6D48"/>
    <w:rsid w:val="000E7845"/>
    <w:rsid w:val="000E7BE6"/>
    <w:rsid w:val="000E7C32"/>
    <w:rsid w:val="000F15C8"/>
    <w:rsid w:val="000F1B3D"/>
    <w:rsid w:val="000F2E36"/>
    <w:rsid w:val="000F3AB8"/>
    <w:rsid w:val="000F4404"/>
    <w:rsid w:val="000F4711"/>
    <w:rsid w:val="000F5009"/>
    <w:rsid w:val="000F5A86"/>
    <w:rsid w:val="00101BD1"/>
    <w:rsid w:val="00102BA8"/>
    <w:rsid w:val="001044A1"/>
    <w:rsid w:val="00110650"/>
    <w:rsid w:val="0011234D"/>
    <w:rsid w:val="001130F6"/>
    <w:rsid w:val="00113437"/>
    <w:rsid w:val="001173F5"/>
    <w:rsid w:val="001210AA"/>
    <w:rsid w:val="0012210F"/>
    <w:rsid w:val="00123D9C"/>
    <w:rsid w:val="00124F63"/>
    <w:rsid w:val="00124FB3"/>
    <w:rsid w:val="00126128"/>
    <w:rsid w:val="00126EC6"/>
    <w:rsid w:val="00127381"/>
    <w:rsid w:val="00130694"/>
    <w:rsid w:val="001322C6"/>
    <w:rsid w:val="00133ABF"/>
    <w:rsid w:val="00134A3D"/>
    <w:rsid w:val="00137A87"/>
    <w:rsid w:val="00141830"/>
    <w:rsid w:val="0014278F"/>
    <w:rsid w:val="00142C2F"/>
    <w:rsid w:val="00142E06"/>
    <w:rsid w:val="00144FBB"/>
    <w:rsid w:val="00145C44"/>
    <w:rsid w:val="00146A84"/>
    <w:rsid w:val="00147038"/>
    <w:rsid w:val="001501FE"/>
    <w:rsid w:val="00150E27"/>
    <w:rsid w:val="00150F2D"/>
    <w:rsid w:val="00150F65"/>
    <w:rsid w:val="00151358"/>
    <w:rsid w:val="0015200D"/>
    <w:rsid w:val="00154692"/>
    <w:rsid w:val="001561F9"/>
    <w:rsid w:val="0015627A"/>
    <w:rsid w:val="00162BDE"/>
    <w:rsid w:val="00167CFB"/>
    <w:rsid w:val="00172782"/>
    <w:rsid w:val="00172B13"/>
    <w:rsid w:val="00177980"/>
    <w:rsid w:val="00180FE4"/>
    <w:rsid w:val="001811EE"/>
    <w:rsid w:val="0018389A"/>
    <w:rsid w:val="00184893"/>
    <w:rsid w:val="00185DE5"/>
    <w:rsid w:val="001869AA"/>
    <w:rsid w:val="00186B7E"/>
    <w:rsid w:val="00186D28"/>
    <w:rsid w:val="001901AB"/>
    <w:rsid w:val="00193021"/>
    <w:rsid w:val="001A1728"/>
    <w:rsid w:val="001A1B3B"/>
    <w:rsid w:val="001A1E8D"/>
    <w:rsid w:val="001A31EA"/>
    <w:rsid w:val="001A4E9D"/>
    <w:rsid w:val="001A62DF"/>
    <w:rsid w:val="001B1469"/>
    <w:rsid w:val="001B3102"/>
    <w:rsid w:val="001B63E3"/>
    <w:rsid w:val="001B7BD7"/>
    <w:rsid w:val="001C108B"/>
    <w:rsid w:val="001C3606"/>
    <w:rsid w:val="001C48C4"/>
    <w:rsid w:val="001C4B3C"/>
    <w:rsid w:val="001C4E7E"/>
    <w:rsid w:val="001C7B86"/>
    <w:rsid w:val="001D0AB4"/>
    <w:rsid w:val="001D32DD"/>
    <w:rsid w:val="001D33A1"/>
    <w:rsid w:val="001D4AE5"/>
    <w:rsid w:val="001D72E3"/>
    <w:rsid w:val="001E19C3"/>
    <w:rsid w:val="001E30C7"/>
    <w:rsid w:val="001E4160"/>
    <w:rsid w:val="001E4B94"/>
    <w:rsid w:val="001E51E2"/>
    <w:rsid w:val="001E567F"/>
    <w:rsid w:val="001F0BB5"/>
    <w:rsid w:val="001F0DEB"/>
    <w:rsid w:val="001F493F"/>
    <w:rsid w:val="001F5E6D"/>
    <w:rsid w:val="001F6CEB"/>
    <w:rsid w:val="002002C2"/>
    <w:rsid w:val="002013A2"/>
    <w:rsid w:val="002027BC"/>
    <w:rsid w:val="00202A5F"/>
    <w:rsid w:val="0020304E"/>
    <w:rsid w:val="002047C0"/>
    <w:rsid w:val="00207F8C"/>
    <w:rsid w:val="0021021D"/>
    <w:rsid w:val="00211323"/>
    <w:rsid w:val="00212A97"/>
    <w:rsid w:val="00213AE7"/>
    <w:rsid w:val="00213E7C"/>
    <w:rsid w:val="002140D5"/>
    <w:rsid w:val="0021561F"/>
    <w:rsid w:val="00215A67"/>
    <w:rsid w:val="00216A5F"/>
    <w:rsid w:val="00216BC4"/>
    <w:rsid w:val="00221BE4"/>
    <w:rsid w:val="002225B1"/>
    <w:rsid w:val="00222AAC"/>
    <w:rsid w:val="002236B1"/>
    <w:rsid w:val="00224EF5"/>
    <w:rsid w:val="00224FBC"/>
    <w:rsid w:val="0022746F"/>
    <w:rsid w:val="00230D99"/>
    <w:rsid w:val="00231BE6"/>
    <w:rsid w:val="00236CC6"/>
    <w:rsid w:val="00237251"/>
    <w:rsid w:val="0023768A"/>
    <w:rsid w:val="002408FD"/>
    <w:rsid w:val="002409C2"/>
    <w:rsid w:val="00241F82"/>
    <w:rsid w:val="002423F6"/>
    <w:rsid w:val="00242B8F"/>
    <w:rsid w:val="00243A3B"/>
    <w:rsid w:val="0024488A"/>
    <w:rsid w:val="00245B5A"/>
    <w:rsid w:val="00252A58"/>
    <w:rsid w:val="0025373B"/>
    <w:rsid w:val="00253D3D"/>
    <w:rsid w:val="002543B3"/>
    <w:rsid w:val="0025491D"/>
    <w:rsid w:val="002560D5"/>
    <w:rsid w:val="00257021"/>
    <w:rsid w:val="002573B7"/>
    <w:rsid w:val="00257E15"/>
    <w:rsid w:val="00257F07"/>
    <w:rsid w:val="0026008D"/>
    <w:rsid w:val="0026011E"/>
    <w:rsid w:val="00260293"/>
    <w:rsid w:val="0026035C"/>
    <w:rsid w:val="002621AD"/>
    <w:rsid w:val="00262620"/>
    <w:rsid w:val="002633FE"/>
    <w:rsid w:val="00264B25"/>
    <w:rsid w:val="00265052"/>
    <w:rsid w:val="002663C8"/>
    <w:rsid w:val="00266E3C"/>
    <w:rsid w:val="00270051"/>
    <w:rsid w:val="00270289"/>
    <w:rsid w:val="00270F34"/>
    <w:rsid w:val="002714DD"/>
    <w:rsid w:val="00272E8F"/>
    <w:rsid w:val="00274493"/>
    <w:rsid w:val="00275217"/>
    <w:rsid w:val="002752DA"/>
    <w:rsid w:val="00275497"/>
    <w:rsid w:val="00275B2D"/>
    <w:rsid w:val="002772F4"/>
    <w:rsid w:val="00281A5A"/>
    <w:rsid w:val="00281CAB"/>
    <w:rsid w:val="00282783"/>
    <w:rsid w:val="00282867"/>
    <w:rsid w:val="0028302E"/>
    <w:rsid w:val="002834A0"/>
    <w:rsid w:val="002849C2"/>
    <w:rsid w:val="00284BD1"/>
    <w:rsid w:val="00290AD2"/>
    <w:rsid w:val="002936CF"/>
    <w:rsid w:val="002968D2"/>
    <w:rsid w:val="00297FBE"/>
    <w:rsid w:val="002A08A4"/>
    <w:rsid w:val="002A1ADD"/>
    <w:rsid w:val="002A1FF1"/>
    <w:rsid w:val="002A264C"/>
    <w:rsid w:val="002A2C74"/>
    <w:rsid w:val="002A2C9D"/>
    <w:rsid w:val="002A4DFE"/>
    <w:rsid w:val="002A5122"/>
    <w:rsid w:val="002A572B"/>
    <w:rsid w:val="002A7A04"/>
    <w:rsid w:val="002B0A3C"/>
    <w:rsid w:val="002B1C81"/>
    <w:rsid w:val="002B21D3"/>
    <w:rsid w:val="002B37AC"/>
    <w:rsid w:val="002B465E"/>
    <w:rsid w:val="002B55D6"/>
    <w:rsid w:val="002B5A15"/>
    <w:rsid w:val="002B656E"/>
    <w:rsid w:val="002C5797"/>
    <w:rsid w:val="002C7A44"/>
    <w:rsid w:val="002D1025"/>
    <w:rsid w:val="002D1487"/>
    <w:rsid w:val="002D3275"/>
    <w:rsid w:val="002D3454"/>
    <w:rsid w:val="002D36F3"/>
    <w:rsid w:val="002D3AAA"/>
    <w:rsid w:val="002D5705"/>
    <w:rsid w:val="002D5D75"/>
    <w:rsid w:val="002D734B"/>
    <w:rsid w:val="002D7ED0"/>
    <w:rsid w:val="002E1372"/>
    <w:rsid w:val="002E370C"/>
    <w:rsid w:val="002E3A34"/>
    <w:rsid w:val="002E48A6"/>
    <w:rsid w:val="002E49E0"/>
    <w:rsid w:val="002E5B5A"/>
    <w:rsid w:val="002E5CC4"/>
    <w:rsid w:val="002E6601"/>
    <w:rsid w:val="002E6787"/>
    <w:rsid w:val="002E70B1"/>
    <w:rsid w:val="002E7CE6"/>
    <w:rsid w:val="002F17C6"/>
    <w:rsid w:val="002F1E9B"/>
    <w:rsid w:val="002F2DDC"/>
    <w:rsid w:val="002F5259"/>
    <w:rsid w:val="003003CB"/>
    <w:rsid w:val="003029F8"/>
    <w:rsid w:val="00303649"/>
    <w:rsid w:val="00304AE6"/>
    <w:rsid w:val="003059AD"/>
    <w:rsid w:val="00307591"/>
    <w:rsid w:val="003115D0"/>
    <w:rsid w:val="00314109"/>
    <w:rsid w:val="00314EAF"/>
    <w:rsid w:val="003152AC"/>
    <w:rsid w:val="0031668A"/>
    <w:rsid w:val="0031674B"/>
    <w:rsid w:val="00320FE3"/>
    <w:rsid w:val="00321042"/>
    <w:rsid w:val="00321F1C"/>
    <w:rsid w:val="0032306D"/>
    <w:rsid w:val="00325BAC"/>
    <w:rsid w:val="00326F38"/>
    <w:rsid w:val="00330F96"/>
    <w:rsid w:val="00331F41"/>
    <w:rsid w:val="00333C08"/>
    <w:rsid w:val="003349A6"/>
    <w:rsid w:val="003363F2"/>
    <w:rsid w:val="003412D3"/>
    <w:rsid w:val="0034174C"/>
    <w:rsid w:val="00343B61"/>
    <w:rsid w:val="003440F5"/>
    <w:rsid w:val="00345CDE"/>
    <w:rsid w:val="00345E5C"/>
    <w:rsid w:val="003474FD"/>
    <w:rsid w:val="00351882"/>
    <w:rsid w:val="00351B5D"/>
    <w:rsid w:val="00354726"/>
    <w:rsid w:val="00354F7F"/>
    <w:rsid w:val="00355C94"/>
    <w:rsid w:val="00356696"/>
    <w:rsid w:val="003605DB"/>
    <w:rsid w:val="003636EE"/>
    <w:rsid w:val="00365B17"/>
    <w:rsid w:val="00370BA9"/>
    <w:rsid w:val="00370C99"/>
    <w:rsid w:val="00370DC6"/>
    <w:rsid w:val="00371DE8"/>
    <w:rsid w:val="003723CF"/>
    <w:rsid w:val="003725C9"/>
    <w:rsid w:val="00372D91"/>
    <w:rsid w:val="003738FF"/>
    <w:rsid w:val="00376698"/>
    <w:rsid w:val="0037726E"/>
    <w:rsid w:val="003826A7"/>
    <w:rsid w:val="00382BF5"/>
    <w:rsid w:val="00385EB8"/>
    <w:rsid w:val="00393661"/>
    <w:rsid w:val="00394368"/>
    <w:rsid w:val="0039525F"/>
    <w:rsid w:val="003958B1"/>
    <w:rsid w:val="00395F0B"/>
    <w:rsid w:val="0039729F"/>
    <w:rsid w:val="00397E51"/>
    <w:rsid w:val="003A060B"/>
    <w:rsid w:val="003A0A9F"/>
    <w:rsid w:val="003A120B"/>
    <w:rsid w:val="003A1F6B"/>
    <w:rsid w:val="003A2F1C"/>
    <w:rsid w:val="003A3A45"/>
    <w:rsid w:val="003A46D7"/>
    <w:rsid w:val="003A558B"/>
    <w:rsid w:val="003A62BC"/>
    <w:rsid w:val="003A659A"/>
    <w:rsid w:val="003A77C1"/>
    <w:rsid w:val="003B102B"/>
    <w:rsid w:val="003B1F1F"/>
    <w:rsid w:val="003B2F44"/>
    <w:rsid w:val="003B3739"/>
    <w:rsid w:val="003B4280"/>
    <w:rsid w:val="003B4562"/>
    <w:rsid w:val="003B5F84"/>
    <w:rsid w:val="003B7640"/>
    <w:rsid w:val="003C2675"/>
    <w:rsid w:val="003C3C0B"/>
    <w:rsid w:val="003C47AB"/>
    <w:rsid w:val="003C75B7"/>
    <w:rsid w:val="003D20AA"/>
    <w:rsid w:val="003D2CA1"/>
    <w:rsid w:val="003D3BC5"/>
    <w:rsid w:val="003D3C33"/>
    <w:rsid w:val="003D66A4"/>
    <w:rsid w:val="003E0FFE"/>
    <w:rsid w:val="003E2198"/>
    <w:rsid w:val="003E3180"/>
    <w:rsid w:val="003E34D5"/>
    <w:rsid w:val="003E4D2D"/>
    <w:rsid w:val="003E6375"/>
    <w:rsid w:val="003F151A"/>
    <w:rsid w:val="003F4C95"/>
    <w:rsid w:val="003F59A4"/>
    <w:rsid w:val="003F76ED"/>
    <w:rsid w:val="00400389"/>
    <w:rsid w:val="0040069E"/>
    <w:rsid w:val="0040365E"/>
    <w:rsid w:val="00404209"/>
    <w:rsid w:val="00411CB8"/>
    <w:rsid w:val="0041212C"/>
    <w:rsid w:val="00414856"/>
    <w:rsid w:val="00416CB4"/>
    <w:rsid w:val="004205AA"/>
    <w:rsid w:val="004210FA"/>
    <w:rsid w:val="0042196F"/>
    <w:rsid w:val="00422146"/>
    <w:rsid w:val="0042297C"/>
    <w:rsid w:val="0043240A"/>
    <w:rsid w:val="00433730"/>
    <w:rsid w:val="0043396F"/>
    <w:rsid w:val="00433A0E"/>
    <w:rsid w:val="00434954"/>
    <w:rsid w:val="00436DFE"/>
    <w:rsid w:val="004378FC"/>
    <w:rsid w:val="004401A2"/>
    <w:rsid w:val="004408B1"/>
    <w:rsid w:val="004459F7"/>
    <w:rsid w:val="004507C1"/>
    <w:rsid w:val="004521A6"/>
    <w:rsid w:val="004521A8"/>
    <w:rsid w:val="0046183B"/>
    <w:rsid w:val="00461E3C"/>
    <w:rsid w:val="00462602"/>
    <w:rsid w:val="00462CCE"/>
    <w:rsid w:val="00462D8E"/>
    <w:rsid w:val="0047450F"/>
    <w:rsid w:val="00474EFB"/>
    <w:rsid w:val="0047526C"/>
    <w:rsid w:val="00477CC9"/>
    <w:rsid w:val="0048063E"/>
    <w:rsid w:val="00481304"/>
    <w:rsid w:val="00481F4A"/>
    <w:rsid w:val="00483462"/>
    <w:rsid w:val="0048369C"/>
    <w:rsid w:val="00484102"/>
    <w:rsid w:val="00487AEA"/>
    <w:rsid w:val="00490581"/>
    <w:rsid w:val="004933E0"/>
    <w:rsid w:val="004937E2"/>
    <w:rsid w:val="004958B3"/>
    <w:rsid w:val="00496962"/>
    <w:rsid w:val="00496AC3"/>
    <w:rsid w:val="004973DE"/>
    <w:rsid w:val="00497417"/>
    <w:rsid w:val="004A0925"/>
    <w:rsid w:val="004A0A4D"/>
    <w:rsid w:val="004A48E0"/>
    <w:rsid w:val="004A4AC4"/>
    <w:rsid w:val="004A5220"/>
    <w:rsid w:val="004A5DF6"/>
    <w:rsid w:val="004A6F9C"/>
    <w:rsid w:val="004B101D"/>
    <w:rsid w:val="004B4F85"/>
    <w:rsid w:val="004B7457"/>
    <w:rsid w:val="004B7FF8"/>
    <w:rsid w:val="004C010E"/>
    <w:rsid w:val="004C065E"/>
    <w:rsid w:val="004C167B"/>
    <w:rsid w:val="004C1D6D"/>
    <w:rsid w:val="004C26E3"/>
    <w:rsid w:val="004C4063"/>
    <w:rsid w:val="004C425E"/>
    <w:rsid w:val="004C5AD5"/>
    <w:rsid w:val="004C61D1"/>
    <w:rsid w:val="004C6BD2"/>
    <w:rsid w:val="004D028C"/>
    <w:rsid w:val="004D0904"/>
    <w:rsid w:val="004D19B5"/>
    <w:rsid w:val="004D19D8"/>
    <w:rsid w:val="004D2C6C"/>
    <w:rsid w:val="004D3786"/>
    <w:rsid w:val="004D3931"/>
    <w:rsid w:val="004D5A42"/>
    <w:rsid w:val="004D5EFF"/>
    <w:rsid w:val="004D6530"/>
    <w:rsid w:val="004D7FE8"/>
    <w:rsid w:val="004E13E6"/>
    <w:rsid w:val="004E214C"/>
    <w:rsid w:val="004E29BE"/>
    <w:rsid w:val="004E439B"/>
    <w:rsid w:val="004F0AEE"/>
    <w:rsid w:val="004F3400"/>
    <w:rsid w:val="004F697F"/>
    <w:rsid w:val="004F71BE"/>
    <w:rsid w:val="004F74D8"/>
    <w:rsid w:val="004F7B83"/>
    <w:rsid w:val="004F7CE4"/>
    <w:rsid w:val="00501E5F"/>
    <w:rsid w:val="00502CB1"/>
    <w:rsid w:val="005032D5"/>
    <w:rsid w:val="0050471D"/>
    <w:rsid w:val="005048C1"/>
    <w:rsid w:val="00504D12"/>
    <w:rsid w:val="0050504A"/>
    <w:rsid w:val="00505FB6"/>
    <w:rsid w:val="005060DF"/>
    <w:rsid w:val="0050641F"/>
    <w:rsid w:val="005067A7"/>
    <w:rsid w:val="00507BB8"/>
    <w:rsid w:val="00521A8E"/>
    <w:rsid w:val="00521DEF"/>
    <w:rsid w:val="00522EC1"/>
    <w:rsid w:val="00522F42"/>
    <w:rsid w:val="005242E8"/>
    <w:rsid w:val="0052610B"/>
    <w:rsid w:val="005270DC"/>
    <w:rsid w:val="00527CB7"/>
    <w:rsid w:val="0053062E"/>
    <w:rsid w:val="00530997"/>
    <w:rsid w:val="00531A12"/>
    <w:rsid w:val="00531DE2"/>
    <w:rsid w:val="00532FFE"/>
    <w:rsid w:val="00534448"/>
    <w:rsid w:val="005346F7"/>
    <w:rsid w:val="00536A62"/>
    <w:rsid w:val="00537AA5"/>
    <w:rsid w:val="00537D52"/>
    <w:rsid w:val="005437DB"/>
    <w:rsid w:val="005442E8"/>
    <w:rsid w:val="00544F75"/>
    <w:rsid w:val="005507B9"/>
    <w:rsid w:val="00550F39"/>
    <w:rsid w:val="00551383"/>
    <w:rsid w:val="00552E09"/>
    <w:rsid w:val="0055336E"/>
    <w:rsid w:val="00553D72"/>
    <w:rsid w:val="00555593"/>
    <w:rsid w:val="00555DE1"/>
    <w:rsid w:val="005564D0"/>
    <w:rsid w:val="00556EB4"/>
    <w:rsid w:val="00557CD4"/>
    <w:rsid w:val="00560FEB"/>
    <w:rsid w:val="005615A2"/>
    <w:rsid w:val="00565AC2"/>
    <w:rsid w:val="00565F9B"/>
    <w:rsid w:val="0056650B"/>
    <w:rsid w:val="005678A3"/>
    <w:rsid w:val="0057338E"/>
    <w:rsid w:val="00575406"/>
    <w:rsid w:val="00575C13"/>
    <w:rsid w:val="00577DC6"/>
    <w:rsid w:val="00580849"/>
    <w:rsid w:val="00580C16"/>
    <w:rsid w:val="005871AE"/>
    <w:rsid w:val="005907BC"/>
    <w:rsid w:val="00592E4E"/>
    <w:rsid w:val="00593AA2"/>
    <w:rsid w:val="00593CEF"/>
    <w:rsid w:val="005941F3"/>
    <w:rsid w:val="005964BD"/>
    <w:rsid w:val="00597BF8"/>
    <w:rsid w:val="005A07B4"/>
    <w:rsid w:val="005A104F"/>
    <w:rsid w:val="005A190C"/>
    <w:rsid w:val="005A2958"/>
    <w:rsid w:val="005A3ACC"/>
    <w:rsid w:val="005A42E2"/>
    <w:rsid w:val="005A6706"/>
    <w:rsid w:val="005A705D"/>
    <w:rsid w:val="005B04D0"/>
    <w:rsid w:val="005B289D"/>
    <w:rsid w:val="005B4EFE"/>
    <w:rsid w:val="005C0A1E"/>
    <w:rsid w:val="005C105B"/>
    <w:rsid w:val="005C1D81"/>
    <w:rsid w:val="005C446E"/>
    <w:rsid w:val="005C5B07"/>
    <w:rsid w:val="005D0AA5"/>
    <w:rsid w:val="005D24D5"/>
    <w:rsid w:val="005D3867"/>
    <w:rsid w:val="005D5FEB"/>
    <w:rsid w:val="005E2137"/>
    <w:rsid w:val="005E2BAC"/>
    <w:rsid w:val="005E2BD5"/>
    <w:rsid w:val="005E394C"/>
    <w:rsid w:val="005E3BFC"/>
    <w:rsid w:val="005E41B7"/>
    <w:rsid w:val="005E6263"/>
    <w:rsid w:val="005E630A"/>
    <w:rsid w:val="005E6649"/>
    <w:rsid w:val="005E7D5A"/>
    <w:rsid w:val="005F0C79"/>
    <w:rsid w:val="005F2562"/>
    <w:rsid w:val="005F35F0"/>
    <w:rsid w:val="005F39F9"/>
    <w:rsid w:val="005F4704"/>
    <w:rsid w:val="005F7BC7"/>
    <w:rsid w:val="005F7C0C"/>
    <w:rsid w:val="005F7CB0"/>
    <w:rsid w:val="0060094A"/>
    <w:rsid w:val="0060253B"/>
    <w:rsid w:val="00603DE8"/>
    <w:rsid w:val="006055F7"/>
    <w:rsid w:val="006057F6"/>
    <w:rsid w:val="0060649E"/>
    <w:rsid w:val="00606A37"/>
    <w:rsid w:val="0060780F"/>
    <w:rsid w:val="00607F30"/>
    <w:rsid w:val="00611170"/>
    <w:rsid w:val="00612E91"/>
    <w:rsid w:val="00614058"/>
    <w:rsid w:val="006151E8"/>
    <w:rsid w:val="006170DD"/>
    <w:rsid w:val="00620313"/>
    <w:rsid w:val="0062089D"/>
    <w:rsid w:val="00620D8D"/>
    <w:rsid w:val="00621FC9"/>
    <w:rsid w:val="006243CE"/>
    <w:rsid w:val="00630BC1"/>
    <w:rsid w:val="00640816"/>
    <w:rsid w:val="0064176D"/>
    <w:rsid w:val="006426AC"/>
    <w:rsid w:val="006434CE"/>
    <w:rsid w:val="00643D8A"/>
    <w:rsid w:val="006448C3"/>
    <w:rsid w:val="00644C09"/>
    <w:rsid w:val="0064539B"/>
    <w:rsid w:val="00645EB2"/>
    <w:rsid w:val="00646110"/>
    <w:rsid w:val="00646BB9"/>
    <w:rsid w:val="00647C12"/>
    <w:rsid w:val="00653A47"/>
    <w:rsid w:val="00654AA9"/>
    <w:rsid w:val="00657220"/>
    <w:rsid w:val="006624FF"/>
    <w:rsid w:val="006625A1"/>
    <w:rsid w:val="006631AF"/>
    <w:rsid w:val="006633E0"/>
    <w:rsid w:val="00666541"/>
    <w:rsid w:val="00667F30"/>
    <w:rsid w:val="00670474"/>
    <w:rsid w:val="00671351"/>
    <w:rsid w:val="006715C5"/>
    <w:rsid w:val="006734E4"/>
    <w:rsid w:val="006755AB"/>
    <w:rsid w:val="00675621"/>
    <w:rsid w:val="00677979"/>
    <w:rsid w:val="00680D08"/>
    <w:rsid w:val="00680FB3"/>
    <w:rsid w:val="0068108A"/>
    <w:rsid w:val="00681FFA"/>
    <w:rsid w:val="0068746D"/>
    <w:rsid w:val="006929A8"/>
    <w:rsid w:val="00692A9B"/>
    <w:rsid w:val="0069476F"/>
    <w:rsid w:val="0069487F"/>
    <w:rsid w:val="00697DB0"/>
    <w:rsid w:val="006A0C71"/>
    <w:rsid w:val="006A0E72"/>
    <w:rsid w:val="006A1ACC"/>
    <w:rsid w:val="006A3E75"/>
    <w:rsid w:val="006A5030"/>
    <w:rsid w:val="006A595E"/>
    <w:rsid w:val="006A6611"/>
    <w:rsid w:val="006B0AC3"/>
    <w:rsid w:val="006B143A"/>
    <w:rsid w:val="006B1604"/>
    <w:rsid w:val="006B185F"/>
    <w:rsid w:val="006B1BF1"/>
    <w:rsid w:val="006B41F5"/>
    <w:rsid w:val="006B5409"/>
    <w:rsid w:val="006B5B48"/>
    <w:rsid w:val="006B66A8"/>
    <w:rsid w:val="006B7345"/>
    <w:rsid w:val="006C0A3B"/>
    <w:rsid w:val="006C0B07"/>
    <w:rsid w:val="006C13FC"/>
    <w:rsid w:val="006C1840"/>
    <w:rsid w:val="006C19C6"/>
    <w:rsid w:val="006C24A1"/>
    <w:rsid w:val="006C37D6"/>
    <w:rsid w:val="006C6A96"/>
    <w:rsid w:val="006D202C"/>
    <w:rsid w:val="006D38B2"/>
    <w:rsid w:val="006D63FC"/>
    <w:rsid w:val="006D6586"/>
    <w:rsid w:val="006D73DA"/>
    <w:rsid w:val="006D7891"/>
    <w:rsid w:val="006E19CE"/>
    <w:rsid w:val="006E2055"/>
    <w:rsid w:val="006E404B"/>
    <w:rsid w:val="006E54D6"/>
    <w:rsid w:val="006E6526"/>
    <w:rsid w:val="006E7633"/>
    <w:rsid w:val="006F0851"/>
    <w:rsid w:val="006F1D2C"/>
    <w:rsid w:val="006F250A"/>
    <w:rsid w:val="006F37F3"/>
    <w:rsid w:val="006F3BE2"/>
    <w:rsid w:val="006F5630"/>
    <w:rsid w:val="006F5CCD"/>
    <w:rsid w:val="00700339"/>
    <w:rsid w:val="0070373C"/>
    <w:rsid w:val="00703EC4"/>
    <w:rsid w:val="0070582B"/>
    <w:rsid w:val="007075D4"/>
    <w:rsid w:val="00707812"/>
    <w:rsid w:val="00710C89"/>
    <w:rsid w:val="007169D3"/>
    <w:rsid w:val="0071743B"/>
    <w:rsid w:val="00720635"/>
    <w:rsid w:val="00721B24"/>
    <w:rsid w:val="0072215B"/>
    <w:rsid w:val="0072272C"/>
    <w:rsid w:val="007227A4"/>
    <w:rsid w:val="007227EE"/>
    <w:rsid w:val="0072291D"/>
    <w:rsid w:val="007234AF"/>
    <w:rsid w:val="00724FC9"/>
    <w:rsid w:val="00725E29"/>
    <w:rsid w:val="00727262"/>
    <w:rsid w:val="007279E6"/>
    <w:rsid w:val="007302B4"/>
    <w:rsid w:val="007334BF"/>
    <w:rsid w:val="00733E68"/>
    <w:rsid w:val="00735EAA"/>
    <w:rsid w:val="00736773"/>
    <w:rsid w:val="00737210"/>
    <w:rsid w:val="00740280"/>
    <w:rsid w:val="00741446"/>
    <w:rsid w:val="00742D39"/>
    <w:rsid w:val="007436B2"/>
    <w:rsid w:val="00745806"/>
    <w:rsid w:val="00750324"/>
    <w:rsid w:val="00754F1E"/>
    <w:rsid w:val="007613F7"/>
    <w:rsid w:val="00761F7A"/>
    <w:rsid w:val="007630CF"/>
    <w:rsid w:val="00763BAB"/>
    <w:rsid w:val="00764026"/>
    <w:rsid w:val="007645A1"/>
    <w:rsid w:val="00766467"/>
    <w:rsid w:val="00767249"/>
    <w:rsid w:val="007700C5"/>
    <w:rsid w:val="00771734"/>
    <w:rsid w:val="0077265F"/>
    <w:rsid w:val="007732DC"/>
    <w:rsid w:val="00774FF1"/>
    <w:rsid w:val="00775A7A"/>
    <w:rsid w:val="00776BF3"/>
    <w:rsid w:val="00780A1B"/>
    <w:rsid w:val="00781027"/>
    <w:rsid w:val="007830BF"/>
    <w:rsid w:val="00783BF4"/>
    <w:rsid w:val="00785CFC"/>
    <w:rsid w:val="00786034"/>
    <w:rsid w:val="00786443"/>
    <w:rsid w:val="0078648B"/>
    <w:rsid w:val="007921AE"/>
    <w:rsid w:val="0079257E"/>
    <w:rsid w:val="00793364"/>
    <w:rsid w:val="00794161"/>
    <w:rsid w:val="00794A79"/>
    <w:rsid w:val="00795AC5"/>
    <w:rsid w:val="007A18A1"/>
    <w:rsid w:val="007A1ED7"/>
    <w:rsid w:val="007A2DB1"/>
    <w:rsid w:val="007A3849"/>
    <w:rsid w:val="007A591A"/>
    <w:rsid w:val="007A670C"/>
    <w:rsid w:val="007A758D"/>
    <w:rsid w:val="007A76C3"/>
    <w:rsid w:val="007B0948"/>
    <w:rsid w:val="007B3F44"/>
    <w:rsid w:val="007B5F15"/>
    <w:rsid w:val="007B6BD9"/>
    <w:rsid w:val="007C5201"/>
    <w:rsid w:val="007C57F5"/>
    <w:rsid w:val="007C5CEC"/>
    <w:rsid w:val="007C7776"/>
    <w:rsid w:val="007D1078"/>
    <w:rsid w:val="007D3314"/>
    <w:rsid w:val="007D4B06"/>
    <w:rsid w:val="007D5F8C"/>
    <w:rsid w:val="007D6414"/>
    <w:rsid w:val="007E0191"/>
    <w:rsid w:val="007E0C12"/>
    <w:rsid w:val="007E1078"/>
    <w:rsid w:val="007E23F4"/>
    <w:rsid w:val="007E357C"/>
    <w:rsid w:val="007E461E"/>
    <w:rsid w:val="007E4E14"/>
    <w:rsid w:val="007E5532"/>
    <w:rsid w:val="007F1A43"/>
    <w:rsid w:val="007F3CDA"/>
    <w:rsid w:val="007F4A73"/>
    <w:rsid w:val="007F5DA6"/>
    <w:rsid w:val="007F6970"/>
    <w:rsid w:val="007F77BA"/>
    <w:rsid w:val="00800B45"/>
    <w:rsid w:val="008010A5"/>
    <w:rsid w:val="00801C1E"/>
    <w:rsid w:val="00802C0F"/>
    <w:rsid w:val="00803CAC"/>
    <w:rsid w:val="00805A05"/>
    <w:rsid w:val="008111F3"/>
    <w:rsid w:val="008118FA"/>
    <w:rsid w:val="00812EA0"/>
    <w:rsid w:val="00813711"/>
    <w:rsid w:val="008146C7"/>
    <w:rsid w:val="00815ACB"/>
    <w:rsid w:val="00816220"/>
    <w:rsid w:val="00816613"/>
    <w:rsid w:val="008167AA"/>
    <w:rsid w:val="008173B8"/>
    <w:rsid w:val="0082105D"/>
    <w:rsid w:val="00822B06"/>
    <w:rsid w:val="00824132"/>
    <w:rsid w:val="008251B1"/>
    <w:rsid w:val="00825CD8"/>
    <w:rsid w:val="00830F2C"/>
    <w:rsid w:val="00831570"/>
    <w:rsid w:val="00831624"/>
    <w:rsid w:val="00831A58"/>
    <w:rsid w:val="00832581"/>
    <w:rsid w:val="00832D77"/>
    <w:rsid w:val="00834DEA"/>
    <w:rsid w:val="008353A6"/>
    <w:rsid w:val="00840763"/>
    <w:rsid w:val="0084122E"/>
    <w:rsid w:val="00842635"/>
    <w:rsid w:val="00842636"/>
    <w:rsid w:val="00843BB0"/>
    <w:rsid w:val="00844016"/>
    <w:rsid w:val="00845A86"/>
    <w:rsid w:val="008461B0"/>
    <w:rsid w:val="00847453"/>
    <w:rsid w:val="00850DBA"/>
    <w:rsid w:val="0085141A"/>
    <w:rsid w:val="00851A6E"/>
    <w:rsid w:val="0085370E"/>
    <w:rsid w:val="00854B17"/>
    <w:rsid w:val="00854EA8"/>
    <w:rsid w:val="00854FCA"/>
    <w:rsid w:val="00856B7C"/>
    <w:rsid w:val="00857DC4"/>
    <w:rsid w:val="008600EE"/>
    <w:rsid w:val="00860E3E"/>
    <w:rsid w:val="00861273"/>
    <w:rsid w:val="00861FAA"/>
    <w:rsid w:val="00862239"/>
    <w:rsid w:val="0086254F"/>
    <w:rsid w:val="00862E8F"/>
    <w:rsid w:val="00863CCC"/>
    <w:rsid w:val="008648CF"/>
    <w:rsid w:val="0086534D"/>
    <w:rsid w:val="008654D2"/>
    <w:rsid w:val="00865B6E"/>
    <w:rsid w:val="008701F6"/>
    <w:rsid w:val="00872227"/>
    <w:rsid w:val="008729A5"/>
    <w:rsid w:val="008750ED"/>
    <w:rsid w:val="00875900"/>
    <w:rsid w:val="00877D0A"/>
    <w:rsid w:val="0088038F"/>
    <w:rsid w:val="00880BF3"/>
    <w:rsid w:val="00881930"/>
    <w:rsid w:val="00881EE1"/>
    <w:rsid w:val="0088279D"/>
    <w:rsid w:val="00882802"/>
    <w:rsid w:val="008835ED"/>
    <w:rsid w:val="0088364D"/>
    <w:rsid w:val="008848F5"/>
    <w:rsid w:val="00885011"/>
    <w:rsid w:val="00885155"/>
    <w:rsid w:val="00885579"/>
    <w:rsid w:val="00887ABE"/>
    <w:rsid w:val="008900D2"/>
    <w:rsid w:val="00891301"/>
    <w:rsid w:val="00892793"/>
    <w:rsid w:val="00894A84"/>
    <w:rsid w:val="00894ED2"/>
    <w:rsid w:val="0089637B"/>
    <w:rsid w:val="00897A2B"/>
    <w:rsid w:val="008A0875"/>
    <w:rsid w:val="008A1859"/>
    <w:rsid w:val="008A2516"/>
    <w:rsid w:val="008A30BC"/>
    <w:rsid w:val="008A378F"/>
    <w:rsid w:val="008A40A6"/>
    <w:rsid w:val="008A5355"/>
    <w:rsid w:val="008A5E13"/>
    <w:rsid w:val="008A6331"/>
    <w:rsid w:val="008B0232"/>
    <w:rsid w:val="008B0CAA"/>
    <w:rsid w:val="008B151C"/>
    <w:rsid w:val="008B731E"/>
    <w:rsid w:val="008C07B9"/>
    <w:rsid w:val="008C0C3A"/>
    <w:rsid w:val="008C1246"/>
    <w:rsid w:val="008C25A6"/>
    <w:rsid w:val="008C3C97"/>
    <w:rsid w:val="008C4635"/>
    <w:rsid w:val="008C5376"/>
    <w:rsid w:val="008C5514"/>
    <w:rsid w:val="008C60F2"/>
    <w:rsid w:val="008C61ED"/>
    <w:rsid w:val="008C6E18"/>
    <w:rsid w:val="008D16B9"/>
    <w:rsid w:val="008D3C22"/>
    <w:rsid w:val="008D4F53"/>
    <w:rsid w:val="008D5A34"/>
    <w:rsid w:val="008D7AC7"/>
    <w:rsid w:val="008E0C2D"/>
    <w:rsid w:val="008E0C43"/>
    <w:rsid w:val="008E22F2"/>
    <w:rsid w:val="008E460A"/>
    <w:rsid w:val="008E4964"/>
    <w:rsid w:val="008E4BAA"/>
    <w:rsid w:val="008E5025"/>
    <w:rsid w:val="008E7B8B"/>
    <w:rsid w:val="008F0711"/>
    <w:rsid w:val="008F13A8"/>
    <w:rsid w:val="008F1896"/>
    <w:rsid w:val="008F1AC5"/>
    <w:rsid w:val="008F1AF2"/>
    <w:rsid w:val="008F1F5E"/>
    <w:rsid w:val="008F21E5"/>
    <w:rsid w:val="008F2FE6"/>
    <w:rsid w:val="008F3BF1"/>
    <w:rsid w:val="008F4063"/>
    <w:rsid w:val="008F4D2B"/>
    <w:rsid w:val="008F5C4E"/>
    <w:rsid w:val="008F79D6"/>
    <w:rsid w:val="008F7A07"/>
    <w:rsid w:val="008F7AA8"/>
    <w:rsid w:val="00900011"/>
    <w:rsid w:val="00901905"/>
    <w:rsid w:val="00901A79"/>
    <w:rsid w:val="00901FF8"/>
    <w:rsid w:val="00902689"/>
    <w:rsid w:val="009043CF"/>
    <w:rsid w:val="009044DA"/>
    <w:rsid w:val="00905BA6"/>
    <w:rsid w:val="00911133"/>
    <w:rsid w:val="009119C2"/>
    <w:rsid w:val="00912F20"/>
    <w:rsid w:val="00914456"/>
    <w:rsid w:val="00915FB4"/>
    <w:rsid w:val="009161A4"/>
    <w:rsid w:val="009166CF"/>
    <w:rsid w:val="0091777D"/>
    <w:rsid w:val="009233DA"/>
    <w:rsid w:val="00924692"/>
    <w:rsid w:val="00925424"/>
    <w:rsid w:val="00926D6E"/>
    <w:rsid w:val="00927D3A"/>
    <w:rsid w:val="0093039A"/>
    <w:rsid w:val="00932D44"/>
    <w:rsid w:val="00932ED3"/>
    <w:rsid w:val="00934297"/>
    <w:rsid w:val="00934BD5"/>
    <w:rsid w:val="00934C60"/>
    <w:rsid w:val="009434C3"/>
    <w:rsid w:val="00943E26"/>
    <w:rsid w:val="00945161"/>
    <w:rsid w:val="00945D96"/>
    <w:rsid w:val="00946945"/>
    <w:rsid w:val="00947687"/>
    <w:rsid w:val="009477BF"/>
    <w:rsid w:val="009503D5"/>
    <w:rsid w:val="00952591"/>
    <w:rsid w:val="00953F25"/>
    <w:rsid w:val="0095443D"/>
    <w:rsid w:val="0095658B"/>
    <w:rsid w:val="00957447"/>
    <w:rsid w:val="00957C69"/>
    <w:rsid w:val="00957CCE"/>
    <w:rsid w:val="00960795"/>
    <w:rsid w:val="00960B37"/>
    <w:rsid w:val="0096219D"/>
    <w:rsid w:val="009629E1"/>
    <w:rsid w:val="00963684"/>
    <w:rsid w:val="00963F5A"/>
    <w:rsid w:val="009659EB"/>
    <w:rsid w:val="0097196B"/>
    <w:rsid w:val="009739E9"/>
    <w:rsid w:val="00973CAB"/>
    <w:rsid w:val="0097525A"/>
    <w:rsid w:val="0097628D"/>
    <w:rsid w:val="00976A06"/>
    <w:rsid w:val="009770CB"/>
    <w:rsid w:val="009771D9"/>
    <w:rsid w:val="00977CBD"/>
    <w:rsid w:val="0098040B"/>
    <w:rsid w:val="0098172E"/>
    <w:rsid w:val="00981760"/>
    <w:rsid w:val="009824DD"/>
    <w:rsid w:val="00983352"/>
    <w:rsid w:val="0098394D"/>
    <w:rsid w:val="00984CBC"/>
    <w:rsid w:val="00985C17"/>
    <w:rsid w:val="009909CD"/>
    <w:rsid w:val="00994DB7"/>
    <w:rsid w:val="00995324"/>
    <w:rsid w:val="0099542A"/>
    <w:rsid w:val="009960A7"/>
    <w:rsid w:val="0099633C"/>
    <w:rsid w:val="009A09D4"/>
    <w:rsid w:val="009A0C43"/>
    <w:rsid w:val="009A354F"/>
    <w:rsid w:val="009A3791"/>
    <w:rsid w:val="009A39DF"/>
    <w:rsid w:val="009A6681"/>
    <w:rsid w:val="009B045F"/>
    <w:rsid w:val="009B0F08"/>
    <w:rsid w:val="009B15EB"/>
    <w:rsid w:val="009B1BC1"/>
    <w:rsid w:val="009B1C80"/>
    <w:rsid w:val="009B2F73"/>
    <w:rsid w:val="009B5261"/>
    <w:rsid w:val="009B68E5"/>
    <w:rsid w:val="009C1901"/>
    <w:rsid w:val="009C2764"/>
    <w:rsid w:val="009C283F"/>
    <w:rsid w:val="009C331F"/>
    <w:rsid w:val="009C34B0"/>
    <w:rsid w:val="009C4451"/>
    <w:rsid w:val="009C4E32"/>
    <w:rsid w:val="009D0957"/>
    <w:rsid w:val="009D0F79"/>
    <w:rsid w:val="009D1C98"/>
    <w:rsid w:val="009D1EEF"/>
    <w:rsid w:val="009D5A87"/>
    <w:rsid w:val="009D7132"/>
    <w:rsid w:val="009D73FD"/>
    <w:rsid w:val="009E101E"/>
    <w:rsid w:val="009E1B45"/>
    <w:rsid w:val="009E2FE0"/>
    <w:rsid w:val="009E40F6"/>
    <w:rsid w:val="009E4AD4"/>
    <w:rsid w:val="009E544B"/>
    <w:rsid w:val="009E6023"/>
    <w:rsid w:val="009F210B"/>
    <w:rsid w:val="009F5493"/>
    <w:rsid w:val="009F6CD3"/>
    <w:rsid w:val="009F7370"/>
    <w:rsid w:val="009F7C93"/>
    <w:rsid w:val="00A01EB5"/>
    <w:rsid w:val="00A0229D"/>
    <w:rsid w:val="00A02EDE"/>
    <w:rsid w:val="00A0432B"/>
    <w:rsid w:val="00A046A4"/>
    <w:rsid w:val="00A05D50"/>
    <w:rsid w:val="00A07E1D"/>
    <w:rsid w:val="00A10E6F"/>
    <w:rsid w:val="00A10FC9"/>
    <w:rsid w:val="00A11577"/>
    <w:rsid w:val="00A12E02"/>
    <w:rsid w:val="00A132F5"/>
    <w:rsid w:val="00A13E96"/>
    <w:rsid w:val="00A16CFE"/>
    <w:rsid w:val="00A21A65"/>
    <w:rsid w:val="00A22353"/>
    <w:rsid w:val="00A22480"/>
    <w:rsid w:val="00A22B8A"/>
    <w:rsid w:val="00A22DAD"/>
    <w:rsid w:val="00A239A8"/>
    <w:rsid w:val="00A24613"/>
    <w:rsid w:val="00A270D8"/>
    <w:rsid w:val="00A274B9"/>
    <w:rsid w:val="00A27CB4"/>
    <w:rsid w:val="00A304A4"/>
    <w:rsid w:val="00A31F7A"/>
    <w:rsid w:val="00A32D9E"/>
    <w:rsid w:val="00A332CE"/>
    <w:rsid w:val="00A352C9"/>
    <w:rsid w:val="00A36D45"/>
    <w:rsid w:val="00A409E4"/>
    <w:rsid w:val="00A41A59"/>
    <w:rsid w:val="00A42352"/>
    <w:rsid w:val="00A46332"/>
    <w:rsid w:val="00A471F2"/>
    <w:rsid w:val="00A50027"/>
    <w:rsid w:val="00A51132"/>
    <w:rsid w:val="00A5328B"/>
    <w:rsid w:val="00A5436A"/>
    <w:rsid w:val="00A545E9"/>
    <w:rsid w:val="00A56972"/>
    <w:rsid w:val="00A576F2"/>
    <w:rsid w:val="00A60A9C"/>
    <w:rsid w:val="00A633A4"/>
    <w:rsid w:val="00A65795"/>
    <w:rsid w:val="00A657EF"/>
    <w:rsid w:val="00A669F9"/>
    <w:rsid w:val="00A66BEB"/>
    <w:rsid w:val="00A67115"/>
    <w:rsid w:val="00A7056B"/>
    <w:rsid w:val="00A73ABD"/>
    <w:rsid w:val="00A7412C"/>
    <w:rsid w:val="00A75379"/>
    <w:rsid w:val="00A76525"/>
    <w:rsid w:val="00A76D13"/>
    <w:rsid w:val="00A76E97"/>
    <w:rsid w:val="00A770F8"/>
    <w:rsid w:val="00A77FD4"/>
    <w:rsid w:val="00A81C83"/>
    <w:rsid w:val="00A82502"/>
    <w:rsid w:val="00A82DE4"/>
    <w:rsid w:val="00A84BAA"/>
    <w:rsid w:val="00A85081"/>
    <w:rsid w:val="00A87294"/>
    <w:rsid w:val="00A87C72"/>
    <w:rsid w:val="00A902E8"/>
    <w:rsid w:val="00A90635"/>
    <w:rsid w:val="00A909EA"/>
    <w:rsid w:val="00A9165D"/>
    <w:rsid w:val="00A91E63"/>
    <w:rsid w:val="00A926BF"/>
    <w:rsid w:val="00A93736"/>
    <w:rsid w:val="00A93C45"/>
    <w:rsid w:val="00A947FA"/>
    <w:rsid w:val="00A955DF"/>
    <w:rsid w:val="00A97A55"/>
    <w:rsid w:val="00A97BFA"/>
    <w:rsid w:val="00A97CFA"/>
    <w:rsid w:val="00AA0417"/>
    <w:rsid w:val="00AA0482"/>
    <w:rsid w:val="00AA2705"/>
    <w:rsid w:val="00AA7342"/>
    <w:rsid w:val="00AA74EC"/>
    <w:rsid w:val="00AA7D7D"/>
    <w:rsid w:val="00AB20E4"/>
    <w:rsid w:val="00AB416A"/>
    <w:rsid w:val="00AB66F7"/>
    <w:rsid w:val="00AB6A7A"/>
    <w:rsid w:val="00AB6BA4"/>
    <w:rsid w:val="00AC0339"/>
    <w:rsid w:val="00AC10A5"/>
    <w:rsid w:val="00AC35B7"/>
    <w:rsid w:val="00AC45F9"/>
    <w:rsid w:val="00AC4DE0"/>
    <w:rsid w:val="00AC4EC2"/>
    <w:rsid w:val="00AC7429"/>
    <w:rsid w:val="00AC7EB0"/>
    <w:rsid w:val="00AD04A1"/>
    <w:rsid w:val="00AD14B8"/>
    <w:rsid w:val="00AD28E0"/>
    <w:rsid w:val="00AD42A8"/>
    <w:rsid w:val="00AD43C2"/>
    <w:rsid w:val="00AD777B"/>
    <w:rsid w:val="00AE11CF"/>
    <w:rsid w:val="00AE21FC"/>
    <w:rsid w:val="00AE2773"/>
    <w:rsid w:val="00AE538D"/>
    <w:rsid w:val="00AE756D"/>
    <w:rsid w:val="00AF033F"/>
    <w:rsid w:val="00AF1478"/>
    <w:rsid w:val="00AF2A75"/>
    <w:rsid w:val="00AF43F3"/>
    <w:rsid w:val="00AF536B"/>
    <w:rsid w:val="00AF56A8"/>
    <w:rsid w:val="00AF6608"/>
    <w:rsid w:val="00AF76F8"/>
    <w:rsid w:val="00B00465"/>
    <w:rsid w:val="00B01A5F"/>
    <w:rsid w:val="00B01F2D"/>
    <w:rsid w:val="00B027BD"/>
    <w:rsid w:val="00B05406"/>
    <w:rsid w:val="00B058DE"/>
    <w:rsid w:val="00B0611C"/>
    <w:rsid w:val="00B07D59"/>
    <w:rsid w:val="00B10F2D"/>
    <w:rsid w:val="00B12B73"/>
    <w:rsid w:val="00B12C77"/>
    <w:rsid w:val="00B12E35"/>
    <w:rsid w:val="00B13686"/>
    <w:rsid w:val="00B16A7C"/>
    <w:rsid w:val="00B16D58"/>
    <w:rsid w:val="00B17892"/>
    <w:rsid w:val="00B2240F"/>
    <w:rsid w:val="00B237F0"/>
    <w:rsid w:val="00B25049"/>
    <w:rsid w:val="00B25360"/>
    <w:rsid w:val="00B25AF2"/>
    <w:rsid w:val="00B26270"/>
    <w:rsid w:val="00B276FA"/>
    <w:rsid w:val="00B31083"/>
    <w:rsid w:val="00B318F8"/>
    <w:rsid w:val="00B31AC7"/>
    <w:rsid w:val="00B32F21"/>
    <w:rsid w:val="00B337F3"/>
    <w:rsid w:val="00B362F6"/>
    <w:rsid w:val="00B36D38"/>
    <w:rsid w:val="00B36D64"/>
    <w:rsid w:val="00B3706C"/>
    <w:rsid w:val="00B42002"/>
    <w:rsid w:val="00B4344B"/>
    <w:rsid w:val="00B44B3F"/>
    <w:rsid w:val="00B46ED6"/>
    <w:rsid w:val="00B476CB"/>
    <w:rsid w:val="00B5136E"/>
    <w:rsid w:val="00B524DE"/>
    <w:rsid w:val="00B65711"/>
    <w:rsid w:val="00B65F21"/>
    <w:rsid w:val="00B66B9B"/>
    <w:rsid w:val="00B6788B"/>
    <w:rsid w:val="00B714BC"/>
    <w:rsid w:val="00B715D2"/>
    <w:rsid w:val="00B74842"/>
    <w:rsid w:val="00B74A51"/>
    <w:rsid w:val="00B75DD1"/>
    <w:rsid w:val="00B761BD"/>
    <w:rsid w:val="00B77C10"/>
    <w:rsid w:val="00B805E4"/>
    <w:rsid w:val="00B81839"/>
    <w:rsid w:val="00B818E0"/>
    <w:rsid w:val="00B83792"/>
    <w:rsid w:val="00B84275"/>
    <w:rsid w:val="00B84413"/>
    <w:rsid w:val="00B87D45"/>
    <w:rsid w:val="00B87ED7"/>
    <w:rsid w:val="00B90CCA"/>
    <w:rsid w:val="00B91803"/>
    <w:rsid w:val="00B91E80"/>
    <w:rsid w:val="00B92EEA"/>
    <w:rsid w:val="00B93909"/>
    <w:rsid w:val="00B96DB3"/>
    <w:rsid w:val="00BA0725"/>
    <w:rsid w:val="00BA0B6E"/>
    <w:rsid w:val="00BA5672"/>
    <w:rsid w:val="00BA5930"/>
    <w:rsid w:val="00BA6CBE"/>
    <w:rsid w:val="00BB000B"/>
    <w:rsid w:val="00BB0319"/>
    <w:rsid w:val="00BB1011"/>
    <w:rsid w:val="00BB14F1"/>
    <w:rsid w:val="00BB1E1C"/>
    <w:rsid w:val="00BB20D2"/>
    <w:rsid w:val="00BB55F9"/>
    <w:rsid w:val="00BB5D0C"/>
    <w:rsid w:val="00BB6358"/>
    <w:rsid w:val="00BB6979"/>
    <w:rsid w:val="00BB74E5"/>
    <w:rsid w:val="00BB760C"/>
    <w:rsid w:val="00BB79EA"/>
    <w:rsid w:val="00BC2B3E"/>
    <w:rsid w:val="00BC63F4"/>
    <w:rsid w:val="00BC7176"/>
    <w:rsid w:val="00BD00DF"/>
    <w:rsid w:val="00BD3818"/>
    <w:rsid w:val="00BD3895"/>
    <w:rsid w:val="00BD4200"/>
    <w:rsid w:val="00BD5662"/>
    <w:rsid w:val="00BD5E38"/>
    <w:rsid w:val="00BE1A2D"/>
    <w:rsid w:val="00BE3DF6"/>
    <w:rsid w:val="00BE5721"/>
    <w:rsid w:val="00BE5E4E"/>
    <w:rsid w:val="00BF05D5"/>
    <w:rsid w:val="00BF0E4F"/>
    <w:rsid w:val="00BF1715"/>
    <w:rsid w:val="00BF23C4"/>
    <w:rsid w:val="00BF73D2"/>
    <w:rsid w:val="00C0135A"/>
    <w:rsid w:val="00C01B70"/>
    <w:rsid w:val="00C02016"/>
    <w:rsid w:val="00C025D4"/>
    <w:rsid w:val="00C025DC"/>
    <w:rsid w:val="00C02707"/>
    <w:rsid w:val="00C04EAC"/>
    <w:rsid w:val="00C068F4"/>
    <w:rsid w:val="00C06B28"/>
    <w:rsid w:val="00C076B0"/>
    <w:rsid w:val="00C10092"/>
    <w:rsid w:val="00C11312"/>
    <w:rsid w:val="00C1237A"/>
    <w:rsid w:val="00C14DBC"/>
    <w:rsid w:val="00C15506"/>
    <w:rsid w:val="00C17DFE"/>
    <w:rsid w:val="00C207E5"/>
    <w:rsid w:val="00C225D9"/>
    <w:rsid w:val="00C23A9F"/>
    <w:rsid w:val="00C248EF"/>
    <w:rsid w:val="00C25948"/>
    <w:rsid w:val="00C274DB"/>
    <w:rsid w:val="00C27B6A"/>
    <w:rsid w:val="00C27F47"/>
    <w:rsid w:val="00C30152"/>
    <w:rsid w:val="00C30F58"/>
    <w:rsid w:val="00C31497"/>
    <w:rsid w:val="00C31B57"/>
    <w:rsid w:val="00C3236E"/>
    <w:rsid w:val="00C32962"/>
    <w:rsid w:val="00C338B2"/>
    <w:rsid w:val="00C33C46"/>
    <w:rsid w:val="00C341EA"/>
    <w:rsid w:val="00C34406"/>
    <w:rsid w:val="00C34ADE"/>
    <w:rsid w:val="00C3566D"/>
    <w:rsid w:val="00C35BCD"/>
    <w:rsid w:val="00C37EC4"/>
    <w:rsid w:val="00C40B03"/>
    <w:rsid w:val="00C44449"/>
    <w:rsid w:val="00C44A0B"/>
    <w:rsid w:val="00C45330"/>
    <w:rsid w:val="00C475E8"/>
    <w:rsid w:val="00C50CDE"/>
    <w:rsid w:val="00C52497"/>
    <w:rsid w:val="00C52503"/>
    <w:rsid w:val="00C539B6"/>
    <w:rsid w:val="00C53F4A"/>
    <w:rsid w:val="00C56938"/>
    <w:rsid w:val="00C617B0"/>
    <w:rsid w:val="00C6658F"/>
    <w:rsid w:val="00C668DB"/>
    <w:rsid w:val="00C675C0"/>
    <w:rsid w:val="00C677A3"/>
    <w:rsid w:val="00C71E0C"/>
    <w:rsid w:val="00C74461"/>
    <w:rsid w:val="00C808E5"/>
    <w:rsid w:val="00C80D19"/>
    <w:rsid w:val="00C82186"/>
    <w:rsid w:val="00C847E6"/>
    <w:rsid w:val="00C857BA"/>
    <w:rsid w:val="00C90B04"/>
    <w:rsid w:val="00C90E24"/>
    <w:rsid w:val="00C90E94"/>
    <w:rsid w:val="00C927A5"/>
    <w:rsid w:val="00C95569"/>
    <w:rsid w:val="00C96276"/>
    <w:rsid w:val="00C962F5"/>
    <w:rsid w:val="00C96974"/>
    <w:rsid w:val="00CA2B77"/>
    <w:rsid w:val="00CA370B"/>
    <w:rsid w:val="00CA4B35"/>
    <w:rsid w:val="00CA4B7E"/>
    <w:rsid w:val="00CA6BF5"/>
    <w:rsid w:val="00CA6C55"/>
    <w:rsid w:val="00CB232D"/>
    <w:rsid w:val="00CB3686"/>
    <w:rsid w:val="00CB3D61"/>
    <w:rsid w:val="00CB45C5"/>
    <w:rsid w:val="00CB65EA"/>
    <w:rsid w:val="00CB6812"/>
    <w:rsid w:val="00CB7B16"/>
    <w:rsid w:val="00CC1A79"/>
    <w:rsid w:val="00CC1DB7"/>
    <w:rsid w:val="00CC1E76"/>
    <w:rsid w:val="00CC4213"/>
    <w:rsid w:val="00CC5C7D"/>
    <w:rsid w:val="00CC7DFC"/>
    <w:rsid w:val="00CD12F6"/>
    <w:rsid w:val="00CD28B9"/>
    <w:rsid w:val="00CE13AE"/>
    <w:rsid w:val="00CE18C4"/>
    <w:rsid w:val="00CE2099"/>
    <w:rsid w:val="00CE2823"/>
    <w:rsid w:val="00CE2CE6"/>
    <w:rsid w:val="00CE2DB1"/>
    <w:rsid w:val="00CE35EA"/>
    <w:rsid w:val="00CE4FEA"/>
    <w:rsid w:val="00CE5E52"/>
    <w:rsid w:val="00CE67A0"/>
    <w:rsid w:val="00CF16A6"/>
    <w:rsid w:val="00CF1C1D"/>
    <w:rsid w:val="00CF4437"/>
    <w:rsid w:val="00CF4934"/>
    <w:rsid w:val="00CF5235"/>
    <w:rsid w:val="00CF5DB7"/>
    <w:rsid w:val="00CF7F5C"/>
    <w:rsid w:val="00D0100E"/>
    <w:rsid w:val="00D01B76"/>
    <w:rsid w:val="00D0217A"/>
    <w:rsid w:val="00D04AE4"/>
    <w:rsid w:val="00D054EC"/>
    <w:rsid w:val="00D05C2E"/>
    <w:rsid w:val="00D06E32"/>
    <w:rsid w:val="00D07966"/>
    <w:rsid w:val="00D07F59"/>
    <w:rsid w:val="00D112A0"/>
    <w:rsid w:val="00D11AD3"/>
    <w:rsid w:val="00D12743"/>
    <w:rsid w:val="00D12BD0"/>
    <w:rsid w:val="00D134CE"/>
    <w:rsid w:val="00D1670D"/>
    <w:rsid w:val="00D16FD6"/>
    <w:rsid w:val="00D17350"/>
    <w:rsid w:val="00D2057B"/>
    <w:rsid w:val="00D23278"/>
    <w:rsid w:val="00D23835"/>
    <w:rsid w:val="00D267FD"/>
    <w:rsid w:val="00D30360"/>
    <w:rsid w:val="00D304E5"/>
    <w:rsid w:val="00D30F65"/>
    <w:rsid w:val="00D314AD"/>
    <w:rsid w:val="00D3294A"/>
    <w:rsid w:val="00D32FA5"/>
    <w:rsid w:val="00D33549"/>
    <w:rsid w:val="00D342F9"/>
    <w:rsid w:val="00D34B89"/>
    <w:rsid w:val="00D370AE"/>
    <w:rsid w:val="00D37CB2"/>
    <w:rsid w:val="00D37FA2"/>
    <w:rsid w:val="00D40059"/>
    <w:rsid w:val="00D40B2A"/>
    <w:rsid w:val="00D411FC"/>
    <w:rsid w:val="00D4125C"/>
    <w:rsid w:val="00D42C91"/>
    <w:rsid w:val="00D43857"/>
    <w:rsid w:val="00D45926"/>
    <w:rsid w:val="00D5506F"/>
    <w:rsid w:val="00D55659"/>
    <w:rsid w:val="00D569F9"/>
    <w:rsid w:val="00D56B73"/>
    <w:rsid w:val="00D57C78"/>
    <w:rsid w:val="00D6105A"/>
    <w:rsid w:val="00D61143"/>
    <w:rsid w:val="00D63564"/>
    <w:rsid w:val="00D63FD6"/>
    <w:rsid w:val="00D64F25"/>
    <w:rsid w:val="00D652F4"/>
    <w:rsid w:val="00D654CA"/>
    <w:rsid w:val="00D65F64"/>
    <w:rsid w:val="00D7083E"/>
    <w:rsid w:val="00D7185E"/>
    <w:rsid w:val="00D720DD"/>
    <w:rsid w:val="00D72BE6"/>
    <w:rsid w:val="00D72FAE"/>
    <w:rsid w:val="00D73231"/>
    <w:rsid w:val="00D74BA8"/>
    <w:rsid w:val="00D74F1A"/>
    <w:rsid w:val="00D80443"/>
    <w:rsid w:val="00D8085F"/>
    <w:rsid w:val="00D81A68"/>
    <w:rsid w:val="00D82115"/>
    <w:rsid w:val="00D83D56"/>
    <w:rsid w:val="00D84BB4"/>
    <w:rsid w:val="00D87F63"/>
    <w:rsid w:val="00D91842"/>
    <w:rsid w:val="00D927FD"/>
    <w:rsid w:val="00D92ED5"/>
    <w:rsid w:val="00D9337B"/>
    <w:rsid w:val="00D93CD5"/>
    <w:rsid w:val="00D94E85"/>
    <w:rsid w:val="00DA2FFF"/>
    <w:rsid w:val="00DA3016"/>
    <w:rsid w:val="00DA5A12"/>
    <w:rsid w:val="00DA6BCB"/>
    <w:rsid w:val="00DB157B"/>
    <w:rsid w:val="00DB1B01"/>
    <w:rsid w:val="00DB1ECD"/>
    <w:rsid w:val="00DB2ACC"/>
    <w:rsid w:val="00DB44C8"/>
    <w:rsid w:val="00DB617C"/>
    <w:rsid w:val="00DB74BE"/>
    <w:rsid w:val="00DB793A"/>
    <w:rsid w:val="00DC25E2"/>
    <w:rsid w:val="00DC2B47"/>
    <w:rsid w:val="00DC34D2"/>
    <w:rsid w:val="00DC51AF"/>
    <w:rsid w:val="00DC51F1"/>
    <w:rsid w:val="00DC56DE"/>
    <w:rsid w:val="00DC6962"/>
    <w:rsid w:val="00DC6FD0"/>
    <w:rsid w:val="00DC7882"/>
    <w:rsid w:val="00DC7BC7"/>
    <w:rsid w:val="00DD3DA3"/>
    <w:rsid w:val="00DD4625"/>
    <w:rsid w:val="00DD6A6A"/>
    <w:rsid w:val="00DD6DCE"/>
    <w:rsid w:val="00DD74B5"/>
    <w:rsid w:val="00DE0673"/>
    <w:rsid w:val="00DE161F"/>
    <w:rsid w:val="00DE1BC2"/>
    <w:rsid w:val="00DE5A85"/>
    <w:rsid w:val="00DE6C6F"/>
    <w:rsid w:val="00DE786A"/>
    <w:rsid w:val="00DF128B"/>
    <w:rsid w:val="00DF17F0"/>
    <w:rsid w:val="00DF2464"/>
    <w:rsid w:val="00DF30AD"/>
    <w:rsid w:val="00DF4EB9"/>
    <w:rsid w:val="00DF5896"/>
    <w:rsid w:val="00DF6085"/>
    <w:rsid w:val="00DF610C"/>
    <w:rsid w:val="00DF6232"/>
    <w:rsid w:val="00E00450"/>
    <w:rsid w:val="00E01308"/>
    <w:rsid w:val="00E03B48"/>
    <w:rsid w:val="00E03D10"/>
    <w:rsid w:val="00E05657"/>
    <w:rsid w:val="00E10378"/>
    <w:rsid w:val="00E10EA2"/>
    <w:rsid w:val="00E132FC"/>
    <w:rsid w:val="00E134BA"/>
    <w:rsid w:val="00E136EA"/>
    <w:rsid w:val="00E13CBC"/>
    <w:rsid w:val="00E13E4D"/>
    <w:rsid w:val="00E15133"/>
    <w:rsid w:val="00E1523F"/>
    <w:rsid w:val="00E160C8"/>
    <w:rsid w:val="00E209D3"/>
    <w:rsid w:val="00E21BDD"/>
    <w:rsid w:val="00E23825"/>
    <w:rsid w:val="00E3041F"/>
    <w:rsid w:val="00E33828"/>
    <w:rsid w:val="00E338F5"/>
    <w:rsid w:val="00E34F9C"/>
    <w:rsid w:val="00E353BC"/>
    <w:rsid w:val="00E358E3"/>
    <w:rsid w:val="00E36579"/>
    <w:rsid w:val="00E368D1"/>
    <w:rsid w:val="00E36FA8"/>
    <w:rsid w:val="00E40F82"/>
    <w:rsid w:val="00E41985"/>
    <w:rsid w:val="00E41D89"/>
    <w:rsid w:val="00E41F58"/>
    <w:rsid w:val="00E424A2"/>
    <w:rsid w:val="00E4251D"/>
    <w:rsid w:val="00E42AC6"/>
    <w:rsid w:val="00E42CE0"/>
    <w:rsid w:val="00E434F3"/>
    <w:rsid w:val="00E43500"/>
    <w:rsid w:val="00E45E00"/>
    <w:rsid w:val="00E45E27"/>
    <w:rsid w:val="00E466A1"/>
    <w:rsid w:val="00E47211"/>
    <w:rsid w:val="00E47994"/>
    <w:rsid w:val="00E53635"/>
    <w:rsid w:val="00E55784"/>
    <w:rsid w:val="00E55DE9"/>
    <w:rsid w:val="00E57438"/>
    <w:rsid w:val="00E57B94"/>
    <w:rsid w:val="00E57D7E"/>
    <w:rsid w:val="00E60980"/>
    <w:rsid w:val="00E622C4"/>
    <w:rsid w:val="00E643B3"/>
    <w:rsid w:val="00E650D6"/>
    <w:rsid w:val="00E6521D"/>
    <w:rsid w:val="00E6531E"/>
    <w:rsid w:val="00E669E0"/>
    <w:rsid w:val="00E742BE"/>
    <w:rsid w:val="00E743BD"/>
    <w:rsid w:val="00E7490D"/>
    <w:rsid w:val="00E74A85"/>
    <w:rsid w:val="00E74DFE"/>
    <w:rsid w:val="00E752BC"/>
    <w:rsid w:val="00E81084"/>
    <w:rsid w:val="00E81222"/>
    <w:rsid w:val="00E84912"/>
    <w:rsid w:val="00E84E28"/>
    <w:rsid w:val="00E85527"/>
    <w:rsid w:val="00E85895"/>
    <w:rsid w:val="00E861C0"/>
    <w:rsid w:val="00E86FA0"/>
    <w:rsid w:val="00E87305"/>
    <w:rsid w:val="00E906AD"/>
    <w:rsid w:val="00E92730"/>
    <w:rsid w:val="00E94080"/>
    <w:rsid w:val="00E945F8"/>
    <w:rsid w:val="00E951F5"/>
    <w:rsid w:val="00E9521A"/>
    <w:rsid w:val="00E95E53"/>
    <w:rsid w:val="00EA28C5"/>
    <w:rsid w:val="00EA2A56"/>
    <w:rsid w:val="00EA39ED"/>
    <w:rsid w:val="00EA3BBB"/>
    <w:rsid w:val="00EA3E17"/>
    <w:rsid w:val="00EA53DE"/>
    <w:rsid w:val="00EA6392"/>
    <w:rsid w:val="00EA6C86"/>
    <w:rsid w:val="00EB1787"/>
    <w:rsid w:val="00EB2ADE"/>
    <w:rsid w:val="00EB303A"/>
    <w:rsid w:val="00EB3642"/>
    <w:rsid w:val="00EB43C0"/>
    <w:rsid w:val="00EB4C23"/>
    <w:rsid w:val="00EB5084"/>
    <w:rsid w:val="00EB5C50"/>
    <w:rsid w:val="00EB6344"/>
    <w:rsid w:val="00EB6751"/>
    <w:rsid w:val="00EC05F1"/>
    <w:rsid w:val="00EC08D9"/>
    <w:rsid w:val="00EC093E"/>
    <w:rsid w:val="00EC0D08"/>
    <w:rsid w:val="00EC0F45"/>
    <w:rsid w:val="00EC2953"/>
    <w:rsid w:val="00EC7113"/>
    <w:rsid w:val="00EC7FBB"/>
    <w:rsid w:val="00ED2EE9"/>
    <w:rsid w:val="00ED41B3"/>
    <w:rsid w:val="00ED45BE"/>
    <w:rsid w:val="00ED4D40"/>
    <w:rsid w:val="00ED642B"/>
    <w:rsid w:val="00ED669B"/>
    <w:rsid w:val="00ED748E"/>
    <w:rsid w:val="00ED7575"/>
    <w:rsid w:val="00ED7DAA"/>
    <w:rsid w:val="00EE1CDC"/>
    <w:rsid w:val="00EE1EFF"/>
    <w:rsid w:val="00EE362C"/>
    <w:rsid w:val="00EE4F4D"/>
    <w:rsid w:val="00EE681A"/>
    <w:rsid w:val="00EF37A5"/>
    <w:rsid w:val="00EF3934"/>
    <w:rsid w:val="00EF3BC1"/>
    <w:rsid w:val="00EF3DBB"/>
    <w:rsid w:val="00EF4C60"/>
    <w:rsid w:val="00EF6E9D"/>
    <w:rsid w:val="00EF7A1E"/>
    <w:rsid w:val="00EF7F5E"/>
    <w:rsid w:val="00EF7FBA"/>
    <w:rsid w:val="00F0141F"/>
    <w:rsid w:val="00F02AC3"/>
    <w:rsid w:val="00F034BB"/>
    <w:rsid w:val="00F03832"/>
    <w:rsid w:val="00F03B7D"/>
    <w:rsid w:val="00F06443"/>
    <w:rsid w:val="00F0709E"/>
    <w:rsid w:val="00F100E4"/>
    <w:rsid w:val="00F12016"/>
    <w:rsid w:val="00F122A4"/>
    <w:rsid w:val="00F13AE4"/>
    <w:rsid w:val="00F15AAB"/>
    <w:rsid w:val="00F16638"/>
    <w:rsid w:val="00F16A7F"/>
    <w:rsid w:val="00F2054D"/>
    <w:rsid w:val="00F20EFF"/>
    <w:rsid w:val="00F21D0D"/>
    <w:rsid w:val="00F22118"/>
    <w:rsid w:val="00F224E9"/>
    <w:rsid w:val="00F2299F"/>
    <w:rsid w:val="00F22C9B"/>
    <w:rsid w:val="00F23E9F"/>
    <w:rsid w:val="00F24757"/>
    <w:rsid w:val="00F26684"/>
    <w:rsid w:val="00F26FB6"/>
    <w:rsid w:val="00F336C1"/>
    <w:rsid w:val="00F33AED"/>
    <w:rsid w:val="00F37078"/>
    <w:rsid w:val="00F414D5"/>
    <w:rsid w:val="00F41AC0"/>
    <w:rsid w:val="00F45C1E"/>
    <w:rsid w:val="00F47A06"/>
    <w:rsid w:val="00F51657"/>
    <w:rsid w:val="00F537B6"/>
    <w:rsid w:val="00F546BA"/>
    <w:rsid w:val="00F548F6"/>
    <w:rsid w:val="00F5774B"/>
    <w:rsid w:val="00F60B8D"/>
    <w:rsid w:val="00F60E4C"/>
    <w:rsid w:val="00F63111"/>
    <w:rsid w:val="00F634EA"/>
    <w:rsid w:val="00F674A2"/>
    <w:rsid w:val="00F67B6D"/>
    <w:rsid w:val="00F71719"/>
    <w:rsid w:val="00F73169"/>
    <w:rsid w:val="00F73F83"/>
    <w:rsid w:val="00F75784"/>
    <w:rsid w:val="00F8106C"/>
    <w:rsid w:val="00F811BC"/>
    <w:rsid w:val="00F821E2"/>
    <w:rsid w:val="00F83CAA"/>
    <w:rsid w:val="00F8599A"/>
    <w:rsid w:val="00F865BE"/>
    <w:rsid w:val="00F878EC"/>
    <w:rsid w:val="00F90554"/>
    <w:rsid w:val="00F91322"/>
    <w:rsid w:val="00F925D4"/>
    <w:rsid w:val="00F929EA"/>
    <w:rsid w:val="00F9461E"/>
    <w:rsid w:val="00F9476C"/>
    <w:rsid w:val="00F95FC4"/>
    <w:rsid w:val="00F9649A"/>
    <w:rsid w:val="00FA1B7D"/>
    <w:rsid w:val="00FA1FC2"/>
    <w:rsid w:val="00FA26CF"/>
    <w:rsid w:val="00FA2732"/>
    <w:rsid w:val="00FA2F7C"/>
    <w:rsid w:val="00FA3288"/>
    <w:rsid w:val="00FB0062"/>
    <w:rsid w:val="00FB0225"/>
    <w:rsid w:val="00FB0F49"/>
    <w:rsid w:val="00FB1742"/>
    <w:rsid w:val="00FB33B8"/>
    <w:rsid w:val="00FB45AC"/>
    <w:rsid w:val="00FB4EF1"/>
    <w:rsid w:val="00FB5FBE"/>
    <w:rsid w:val="00FB668A"/>
    <w:rsid w:val="00FB6690"/>
    <w:rsid w:val="00FB6CBD"/>
    <w:rsid w:val="00FC065A"/>
    <w:rsid w:val="00FC2627"/>
    <w:rsid w:val="00FC4077"/>
    <w:rsid w:val="00FC4239"/>
    <w:rsid w:val="00FC4440"/>
    <w:rsid w:val="00FC5598"/>
    <w:rsid w:val="00FC5A65"/>
    <w:rsid w:val="00FC6603"/>
    <w:rsid w:val="00FC6828"/>
    <w:rsid w:val="00FD0B75"/>
    <w:rsid w:val="00FD23E3"/>
    <w:rsid w:val="00FD2FE8"/>
    <w:rsid w:val="00FD354A"/>
    <w:rsid w:val="00FD3A58"/>
    <w:rsid w:val="00FD6838"/>
    <w:rsid w:val="00FD7E91"/>
    <w:rsid w:val="00FE12C5"/>
    <w:rsid w:val="00FE162B"/>
    <w:rsid w:val="00FE3051"/>
    <w:rsid w:val="00FE3B9D"/>
    <w:rsid w:val="00FE5FA6"/>
    <w:rsid w:val="00FE6275"/>
    <w:rsid w:val="00FE7DA8"/>
    <w:rsid w:val="00FF030B"/>
    <w:rsid w:val="00FF34BD"/>
    <w:rsid w:val="00FF539E"/>
    <w:rsid w:val="00FF7E1A"/>
    <w:rsid w:val="00FF7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CC78C"/>
  <w15:chartTrackingRefBased/>
  <w15:docId w15:val="{28583EF5-233C-43B9-8418-EDBDC9E0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C7D"/>
    <w:pPr>
      <w:ind w:left="720"/>
      <w:contextualSpacing/>
    </w:pPr>
  </w:style>
  <w:style w:type="paragraph" w:styleId="Textonotapie">
    <w:name w:val="footnote text"/>
    <w:basedOn w:val="Normal"/>
    <w:link w:val="TextonotapieCar"/>
    <w:uiPriority w:val="99"/>
    <w:semiHidden/>
    <w:unhideWhenUsed/>
    <w:rsid w:val="00CC5C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5C7D"/>
    <w:rPr>
      <w:sz w:val="20"/>
      <w:szCs w:val="20"/>
    </w:rPr>
  </w:style>
  <w:style w:type="character" w:styleId="Refdenotaalpie">
    <w:name w:val="footnote reference"/>
    <w:basedOn w:val="Fuentedeprrafopredeter"/>
    <w:uiPriority w:val="99"/>
    <w:semiHidden/>
    <w:unhideWhenUsed/>
    <w:rsid w:val="00CC5C7D"/>
    <w:rPr>
      <w:vertAlign w:val="superscript"/>
    </w:rPr>
  </w:style>
  <w:style w:type="character" w:styleId="Hipervnculo">
    <w:name w:val="Hyperlink"/>
    <w:basedOn w:val="Fuentedeprrafopredeter"/>
    <w:uiPriority w:val="99"/>
    <w:unhideWhenUsed/>
    <w:rsid w:val="00CC5C7D"/>
    <w:rPr>
      <w:color w:val="0563C1" w:themeColor="hyperlink"/>
      <w:u w:val="single"/>
    </w:rPr>
  </w:style>
  <w:style w:type="character" w:styleId="Mencinsinresolver">
    <w:name w:val="Unresolved Mention"/>
    <w:basedOn w:val="Fuentedeprrafopredeter"/>
    <w:uiPriority w:val="99"/>
    <w:semiHidden/>
    <w:unhideWhenUsed/>
    <w:rsid w:val="00A22353"/>
    <w:rPr>
      <w:color w:val="605E5C"/>
      <w:shd w:val="clear" w:color="auto" w:fill="E1DFDD"/>
    </w:rPr>
  </w:style>
  <w:style w:type="paragraph" w:customStyle="1" w:styleId="Default">
    <w:name w:val="Default"/>
    <w:rsid w:val="00123D9C"/>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qFormat/>
    <w:rsid w:val="00644C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644C09"/>
  </w:style>
  <w:style w:type="paragraph" w:styleId="Piedepgina">
    <w:name w:val="footer"/>
    <w:basedOn w:val="Normal"/>
    <w:link w:val="PiedepginaCar"/>
    <w:uiPriority w:val="99"/>
    <w:unhideWhenUsed/>
    <w:rsid w:val="00644C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C09"/>
  </w:style>
  <w:style w:type="table" w:styleId="Tablaconcuadrcula">
    <w:name w:val="Table Grid"/>
    <w:basedOn w:val="Tablanormal"/>
    <w:uiPriority w:val="39"/>
    <w:rsid w:val="000C3A96"/>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44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9844">
      <w:bodyDiv w:val="1"/>
      <w:marLeft w:val="0"/>
      <w:marRight w:val="0"/>
      <w:marTop w:val="0"/>
      <w:marBottom w:val="0"/>
      <w:divBdr>
        <w:top w:val="none" w:sz="0" w:space="0" w:color="auto"/>
        <w:left w:val="none" w:sz="0" w:space="0" w:color="auto"/>
        <w:bottom w:val="none" w:sz="0" w:space="0" w:color="auto"/>
        <w:right w:val="none" w:sz="0" w:space="0" w:color="auto"/>
      </w:divBdr>
    </w:div>
    <w:div w:id="1377467438">
      <w:bodyDiv w:val="1"/>
      <w:marLeft w:val="0"/>
      <w:marRight w:val="0"/>
      <w:marTop w:val="0"/>
      <w:marBottom w:val="0"/>
      <w:divBdr>
        <w:top w:val="none" w:sz="0" w:space="0" w:color="auto"/>
        <w:left w:val="none" w:sz="0" w:space="0" w:color="auto"/>
        <w:bottom w:val="none" w:sz="0" w:space="0" w:color="auto"/>
        <w:right w:val="none" w:sz="0" w:space="0" w:color="auto"/>
      </w:divBdr>
    </w:div>
    <w:div w:id="1451512263">
      <w:bodyDiv w:val="1"/>
      <w:marLeft w:val="0"/>
      <w:marRight w:val="0"/>
      <w:marTop w:val="0"/>
      <w:marBottom w:val="0"/>
      <w:divBdr>
        <w:top w:val="none" w:sz="0" w:space="0" w:color="auto"/>
        <w:left w:val="none" w:sz="0" w:space="0" w:color="auto"/>
        <w:bottom w:val="none" w:sz="0" w:space="0" w:color="auto"/>
        <w:right w:val="none" w:sz="0" w:space="0" w:color="auto"/>
      </w:divBdr>
      <w:divsChild>
        <w:div w:id="2019651449">
          <w:marLeft w:val="0"/>
          <w:marRight w:val="0"/>
          <w:marTop w:val="0"/>
          <w:marBottom w:val="0"/>
          <w:divBdr>
            <w:top w:val="none" w:sz="0" w:space="0" w:color="auto"/>
            <w:left w:val="none" w:sz="0" w:space="0" w:color="auto"/>
            <w:bottom w:val="none" w:sz="0" w:space="0" w:color="auto"/>
            <w:right w:val="none" w:sz="0" w:space="0" w:color="auto"/>
          </w:divBdr>
        </w:div>
        <w:div w:id="490490414">
          <w:marLeft w:val="0"/>
          <w:marRight w:val="0"/>
          <w:marTop w:val="0"/>
          <w:marBottom w:val="0"/>
          <w:divBdr>
            <w:top w:val="none" w:sz="0" w:space="0" w:color="auto"/>
            <w:left w:val="none" w:sz="0" w:space="0" w:color="auto"/>
            <w:bottom w:val="none" w:sz="0" w:space="0" w:color="auto"/>
            <w:right w:val="none" w:sz="0" w:space="0" w:color="auto"/>
          </w:divBdr>
        </w:div>
        <w:div w:id="1529752528">
          <w:marLeft w:val="0"/>
          <w:marRight w:val="0"/>
          <w:marTop w:val="0"/>
          <w:marBottom w:val="0"/>
          <w:divBdr>
            <w:top w:val="none" w:sz="0" w:space="0" w:color="auto"/>
            <w:left w:val="none" w:sz="0" w:space="0" w:color="auto"/>
            <w:bottom w:val="none" w:sz="0" w:space="0" w:color="auto"/>
            <w:right w:val="none" w:sz="0" w:space="0" w:color="auto"/>
          </w:divBdr>
        </w:div>
        <w:div w:id="1693796649">
          <w:marLeft w:val="0"/>
          <w:marRight w:val="0"/>
          <w:marTop w:val="0"/>
          <w:marBottom w:val="0"/>
          <w:divBdr>
            <w:top w:val="none" w:sz="0" w:space="0" w:color="auto"/>
            <w:left w:val="none" w:sz="0" w:space="0" w:color="auto"/>
            <w:bottom w:val="none" w:sz="0" w:space="0" w:color="auto"/>
            <w:right w:val="none" w:sz="0" w:space="0" w:color="auto"/>
          </w:divBdr>
        </w:div>
        <w:div w:id="1237517336">
          <w:marLeft w:val="0"/>
          <w:marRight w:val="0"/>
          <w:marTop w:val="0"/>
          <w:marBottom w:val="0"/>
          <w:divBdr>
            <w:top w:val="none" w:sz="0" w:space="0" w:color="auto"/>
            <w:left w:val="none" w:sz="0" w:space="0" w:color="auto"/>
            <w:bottom w:val="none" w:sz="0" w:space="0" w:color="auto"/>
            <w:right w:val="none" w:sz="0" w:space="0" w:color="auto"/>
          </w:divBdr>
        </w:div>
        <w:div w:id="275908192">
          <w:marLeft w:val="0"/>
          <w:marRight w:val="0"/>
          <w:marTop w:val="0"/>
          <w:marBottom w:val="0"/>
          <w:divBdr>
            <w:top w:val="none" w:sz="0" w:space="0" w:color="auto"/>
            <w:left w:val="none" w:sz="0" w:space="0" w:color="auto"/>
            <w:bottom w:val="none" w:sz="0" w:space="0" w:color="auto"/>
            <w:right w:val="none" w:sz="0" w:space="0" w:color="auto"/>
          </w:divBdr>
        </w:div>
        <w:div w:id="666135162">
          <w:marLeft w:val="0"/>
          <w:marRight w:val="0"/>
          <w:marTop w:val="0"/>
          <w:marBottom w:val="0"/>
          <w:divBdr>
            <w:top w:val="none" w:sz="0" w:space="0" w:color="auto"/>
            <w:left w:val="none" w:sz="0" w:space="0" w:color="auto"/>
            <w:bottom w:val="none" w:sz="0" w:space="0" w:color="auto"/>
            <w:right w:val="none" w:sz="0" w:space="0" w:color="auto"/>
          </w:divBdr>
        </w:div>
        <w:div w:id="1605841879">
          <w:marLeft w:val="0"/>
          <w:marRight w:val="0"/>
          <w:marTop w:val="0"/>
          <w:marBottom w:val="0"/>
          <w:divBdr>
            <w:top w:val="none" w:sz="0" w:space="0" w:color="auto"/>
            <w:left w:val="none" w:sz="0" w:space="0" w:color="auto"/>
            <w:bottom w:val="none" w:sz="0" w:space="0" w:color="auto"/>
            <w:right w:val="none" w:sz="0" w:space="0" w:color="auto"/>
          </w:divBdr>
        </w:div>
        <w:div w:id="1590117238">
          <w:marLeft w:val="0"/>
          <w:marRight w:val="0"/>
          <w:marTop w:val="0"/>
          <w:marBottom w:val="0"/>
          <w:divBdr>
            <w:top w:val="none" w:sz="0" w:space="0" w:color="auto"/>
            <w:left w:val="none" w:sz="0" w:space="0" w:color="auto"/>
            <w:bottom w:val="none" w:sz="0" w:space="0" w:color="auto"/>
            <w:right w:val="none" w:sz="0" w:space="0" w:color="auto"/>
          </w:divBdr>
        </w:div>
        <w:div w:id="855076551">
          <w:marLeft w:val="0"/>
          <w:marRight w:val="0"/>
          <w:marTop w:val="0"/>
          <w:marBottom w:val="0"/>
          <w:divBdr>
            <w:top w:val="none" w:sz="0" w:space="0" w:color="auto"/>
            <w:left w:val="none" w:sz="0" w:space="0" w:color="auto"/>
            <w:bottom w:val="none" w:sz="0" w:space="0" w:color="auto"/>
            <w:right w:val="none" w:sz="0" w:space="0" w:color="auto"/>
          </w:divBdr>
        </w:div>
        <w:div w:id="194334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utmar@up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diario.es/zona-critica/metodo-sistema-operativo-nueva-parti-dos_6_26568346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n-linea.eu/subdominio/PEA/Formulario/" TargetMode="External"/><Relationship Id="rId2" Type="http://schemas.openxmlformats.org/officeDocument/2006/relationships/hyperlink" Target="https://political-watch-oa.d1llfzwprjpx3u.amplifyapp.com/" TargetMode="External"/><Relationship Id="rId1" Type="http://schemas.openxmlformats.org/officeDocument/2006/relationships/hyperlink" Target="https://drive.google.com/file/d/1Op0QsKN8hcISYNjE8QJb1oyyov219WW_/view?usp=sha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6d7dac84eb58d501/Desktop/Investigacion/Tesis/secuencia%202006-2014.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18979849096594E-2"/>
          <c:y val="8.5880109284585046E-2"/>
          <c:w val="0.69051708248547583"/>
          <c:h val="0.80717774278215226"/>
        </c:manualLayout>
      </c:layout>
      <c:lineChart>
        <c:grouping val="standard"/>
        <c:varyColors val="0"/>
        <c:ser>
          <c:idx val="0"/>
          <c:order val="0"/>
          <c:tx>
            <c:strRef>
              <c:f>'[secuencia 2006-2014.xlsx]Hoja2'!$C$2</c:f>
              <c:strCache>
                <c:ptCount val="1"/>
                <c:pt idx="0">
                  <c:v>Frecuencia de la protesta</c:v>
                </c:pt>
              </c:strCache>
            </c:strRef>
          </c:tx>
          <c:marker>
            <c:symbol val="none"/>
          </c:marker>
          <c:cat>
            <c:numLit>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Lit>
          </c:cat>
          <c:val>
            <c:numRef>
              <c:f>'[secuencia 2006-2014.xlsx]Hoja2'!$C$3:$C$14</c:f>
              <c:numCache>
                <c:formatCode>0</c:formatCode>
                <c:ptCount val="12"/>
                <c:pt idx="0">
                  <c:v>8233</c:v>
                </c:pt>
                <c:pt idx="1">
                  <c:v>9143</c:v>
                </c:pt>
                <c:pt idx="2">
                  <c:v>15365</c:v>
                </c:pt>
                <c:pt idx="3">
                  <c:v>24320</c:v>
                </c:pt>
                <c:pt idx="4">
                  <c:v>22214</c:v>
                </c:pt>
                <c:pt idx="5">
                  <c:v>21668</c:v>
                </c:pt>
                <c:pt idx="6">
                  <c:v>44527</c:v>
                </c:pt>
                <c:pt idx="7">
                  <c:v>44852</c:v>
                </c:pt>
                <c:pt idx="8">
                  <c:v>38161</c:v>
                </c:pt>
                <c:pt idx="9">
                  <c:v>34083</c:v>
                </c:pt>
                <c:pt idx="10">
                  <c:v>28890</c:v>
                </c:pt>
                <c:pt idx="11" formatCode="General">
                  <c:v>29751</c:v>
                </c:pt>
              </c:numCache>
            </c:numRef>
          </c:val>
          <c:smooth val="0"/>
          <c:extLst>
            <c:ext xmlns:c16="http://schemas.microsoft.com/office/drawing/2014/chart" uri="{C3380CC4-5D6E-409C-BE32-E72D297353CC}">
              <c16:uniqueId val="{00000000-AD9A-4D17-A92D-506A9322AEFD}"/>
            </c:ext>
          </c:extLst>
        </c:ser>
        <c:dLbls>
          <c:showLegendKey val="0"/>
          <c:showVal val="0"/>
          <c:showCatName val="0"/>
          <c:showSerName val="0"/>
          <c:showPercent val="0"/>
          <c:showBubbleSize val="0"/>
        </c:dLbls>
        <c:smooth val="0"/>
        <c:axId val="160489856"/>
        <c:axId val="160491392"/>
      </c:lineChart>
      <c:catAx>
        <c:axId val="160489856"/>
        <c:scaling>
          <c:orientation val="minMax"/>
        </c:scaling>
        <c:delete val="0"/>
        <c:axPos val="b"/>
        <c:majorGridlines/>
        <c:numFmt formatCode="General" sourceLinked="1"/>
        <c:majorTickMark val="none"/>
        <c:minorTickMark val="none"/>
        <c:tickLblPos val="nextTo"/>
        <c:txPr>
          <a:bodyPr/>
          <a:lstStyle/>
          <a:p>
            <a:pPr>
              <a:defRPr baseline="0">
                <a:latin typeface="Arial Narrow" panose="020B0606020202030204" pitchFamily="34" charset="0"/>
              </a:defRPr>
            </a:pPr>
            <a:endParaRPr lang="es-ES"/>
          </a:p>
        </c:txPr>
        <c:crossAx val="160491392"/>
        <c:crosses val="autoZero"/>
        <c:auto val="1"/>
        <c:lblAlgn val="ctr"/>
        <c:lblOffset val="100"/>
        <c:noMultiLvlLbl val="0"/>
      </c:catAx>
      <c:valAx>
        <c:axId val="160491392"/>
        <c:scaling>
          <c:orientation val="minMax"/>
        </c:scaling>
        <c:delete val="0"/>
        <c:axPos val="l"/>
        <c:numFmt formatCode="0" sourceLinked="1"/>
        <c:majorTickMark val="out"/>
        <c:minorTickMark val="none"/>
        <c:tickLblPos val="nextTo"/>
        <c:txPr>
          <a:bodyPr/>
          <a:lstStyle/>
          <a:p>
            <a:pPr>
              <a:defRPr baseline="0">
                <a:latin typeface="Arial Narrow" panose="020B0606020202030204" pitchFamily="34" charset="0"/>
              </a:defRPr>
            </a:pPr>
            <a:endParaRPr lang="es-ES"/>
          </a:p>
        </c:txPr>
        <c:crossAx val="160489856"/>
        <c:crosses val="autoZero"/>
        <c:crossBetween val="between"/>
      </c:valAx>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Hoja4!$D$7:$D$24</c:f>
              <c:strCache>
                <c:ptCount val="18"/>
                <c:pt idx="0">
                  <c:v>201101</c:v>
                </c:pt>
                <c:pt idx="1">
                  <c:v>201102</c:v>
                </c:pt>
                <c:pt idx="2">
                  <c:v>201103</c:v>
                </c:pt>
                <c:pt idx="3">
                  <c:v>201104</c:v>
                </c:pt>
                <c:pt idx="4">
                  <c:v>201201</c:v>
                </c:pt>
                <c:pt idx="5">
                  <c:v>201202</c:v>
                </c:pt>
                <c:pt idx="6">
                  <c:v>201203</c:v>
                </c:pt>
                <c:pt idx="7">
                  <c:v>201204</c:v>
                </c:pt>
                <c:pt idx="8">
                  <c:v>201301</c:v>
                </c:pt>
                <c:pt idx="9">
                  <c:v>201302</c:v>
                </c:pt>
                <c:pt idx="10">
                  <c:v>201303</c:v>
                </c:pt>
                <c:pt idx="11">
                  <c:v>201304</c:v>
                </c:pt>
                <c:pt idx="12">
                  <c:v>201401</c:v>
                </c:pt>
                <c:pt idx="13">
                  <c:v>201402</c:v>
                </c:pt>
                <c:pt idx="14">
                  <c:v>201403</c:v>
                </c:pt>
                <c:pt idx="15">
                  <c:v>201404</c:v>
                </c:pt>
                <c:pt idx="16">
                  <c:v>201501</c:v>
                </c:pt>
                <c:pt idx="17">
                  <c:v>201502</c:v>
                </c:pt>
              </c:strCache>
            </c:strRef>
          </c:cat>
          <c:val>
            <c:numRef>
              <c:f>Hoja4!$E$7:$E$24</c:f>
              <c:numCache>
                <c:formatCode>###0</c:formatCode>
                <c:ptCount val="18"/>
                <c:pt idx="0">
                  <c:v>1</c:v>
                </c:pt>
                <c:pt idx="1">
                  <c:v>203</c:v>
                </c:pt>
                <c:pt idx="2">
                  <c:v>145</c:v>
                </c:pt>
                <c:pt idx="3">
                  <c:v>75</c:v>
                </c:pt>
                <c:pt idx="4">
                  <c:v>67</c:v>
                </c:pt>
                <c:pt idx="5">
                  <c:v>65</c:v>
                </c:pt>
                <c:pt idx="6">
                  <c:v>20</c:v>
                </c:pt>
                <c:pt idx="7">
                  <c:v>48</c:v>
                </c:pt>
                <c:pt idx="8">
                  <c:v>34</c:v>
                </c:pt>
                <c:pt idx="9">
                  <c:v>16</c:v>
                </c:pt>
                <c:pt idx="10">
                  <c:v>1</c:v>
                </c:pt>
                <c:pt idx="11">
                  <c:v>3</c:v>
                </c:pt>
                <c:pt idx="12">
                  <c:v>18</c:v>
                </c:pt>
                <c:pt idx="13">
                  <c:v>9</c:v>
                </c:pt>
                <c:pt idx="14">
                  <c:v>13</c:v>
                </c:pt>
                <c:pt idx="15">
                  <c:v>18</c:v>
                </c:pt>
                <c:pt idx="16">
                  <c:v>16</c:v>
                </c:pt>
                <c:pt idx="17">
                  <c:v>9</c:v>
                </c:pt>
              </c:numCache>
            </c:numRef>
          </c:val>
          <c:smooth val="0"/>
          <c:extLst>
            <c:ext xmlns:c16="http://schemas.microsoft.com/office/drawing/2014/chart" uri="{C3380CC4-5D6E-409C-BE32-E72D297353CC}">
              <c16:uniqueId val="{00000000-3B34-4839-9BFD-D378ECCF9DCF}"/>
            </c:ext>
          </c:extLst>
        </c:ser>
        <c:dLbls>
          <c:showLegendKey val="0"/>
          <c:showVal val="0"/>
          <c:showCatName val="0"/>
          <c:showSerName val="0"/>
          <c:showPercent val="0"/>
          <c:showBubbleSize val="0"/>
        </c:dLbls>
        <c:smooth val="0"/>
        <c:axId val="449561104"/>
        <c:axId val="449564016"/>
      </c:lineChart>
      <c:catAx>
        <c:axId val="44956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9564016"/>
        <c:crosses val="autoZero"/>
        <c:auto val="1"/>
        <c:lblAlgn val="ctr"/>
        <c:lblOffset val="100"/>
        <c:noMultiLvlLbl val="0"/>
      </c:catAx>
      <c:valAx>
        <c:axId val="449564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9561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Hoja3!$E$11</c:f>
              <c:strCache>
                <c:ptCount val="1"/>
                <c:pt idx="0">
                  <c:v>Político-Institucional</c:v>
                </c:pt>
              </c:strCache>
            </c:strRef>
          </c:tx>
          <c:spPr>
            <a:ln w="28575" cap="rnd">
              <a:solidFill>
                <a:schemeClr val="accent1"/>
              </a:solidFill>
              <a:round/>
            </a:ln>
            <a:effectLst/>
          </c:spPr>
          <c:marker>
            <c:symbol val="none"/>
          </c:marker>
          <c:cat>
            <c:strRef>
              <c:f>Hoja3!$F$10:$J$10</c:f>
              <c:strCache>
                <c:ptCount val="5"/>
                <c:pt idx="0">
                  <c:v>2011</c:v>
                </c:pt>
                <c:pt idx="1">
                  <c:v>2012</c:v>
                </c:pt>
                <c:pt idx="2">
                  <c:v>2013</c:v>
                </c:pt>
                <c:pt idx="3">
                  <c:v>2014</c:v>
                </c:pt>
                <c:pt idx="4">
                  <c:v>2015</c:v>
                </c:pt>
              </c:strCache>
            </c:strRef>
          </c:cat>
          <c:val>
            <c:numRef>
              <c:f>Hoja3!$F$11:$J$11</c:f>
              <c:numCache>
                <c:formatCode>###0.0%</c:formatCode>
                <c:ptCount val="5"/>
                <c:pt idx="0">
                  <c:v>0.49882352941176472</c:v>
                </c:pt>
                <c:pt idx="1">
                  <c:v>0.15</c:v>
                </c:pt>
                <c:pt idx="2">
                  <c:v>0.25925925925925924</c:v>
                </c:pt>
                <c:pt idx="3">
                  <c:v>0.12068965517241378</c:v>
                </c:pt>
                <c:pt idx="4" formatCode="General">
                  <c:v>0</c:v>
                </c:pt>
              </c:numCache>
            </c:numRef>
          </c:val>
          <c:smooth val="0"/>
          <c:extLst>
            <c:ext xmlns:c16="http://schemas.microsoft.com/office/drawing/2014/chart" uri="{C3380CC4-5D6E-409C-BE32-E72D297353CC}">
              <c16:uniqueId val="{00000000-7A62-4B05-9106-8385AF92E5A0}"/>
            </c:ext>
          </c:extLst>
        </c:ser>
        <c:ser>
          <c:idx val="1"/>
          <c:order val="1"/>
          <c:tx>
            <c:strRef>
              <c:f>Hoja3!$E$12</c:f>
              <c:strCache>
                <c:ptCount val="1"/>
                <c:pt idx="0">
                  <c:v>Socio-económica</c:v>
                </c:pt>
              </c:strCache>
            </c:strRef>
          </c:tx>
          <c:spPr>
            <a:ln w="28575" cap="rnd">
              <a:solidFill>
                <a:schemeClr val="accent2"/>
              </a:solidFill>
              <a:round/>
            </a:ln>
            <a:effectLst/>
          </c:spPr>
          <c:marker>
            <c:symbol val="none"/>
          </c:marker>
          <c:cat>
            <c:strRef>
              <c:f>Hoja3!$F$10:$J$10</c:f>
              <c:strCache>
                <c:ptCount val="5"/>
                <c:pt idx="0">
                  <c:v>2011</c:v>
                </c:pt>
                <c:pt idx="1">
                  <c:v>2012</c:v>
                </c:pt>
                <c:pt idx="2">
                  <c:v>2013</c:v>
                </c:pt>
                <c:pt idx="3">
                  <c:v>2014</c:v>
                </c:pt>
                <c:pt idx="4">
                  <c:v>2015</c:v>
                </c:pt>
              </c:strCache>
            </c:strRef>
          </c:cat>
          <c:val>
            <c:numRef>
              <c:f>Hoja3!$F$12:$J$12</c:f>
              <c:numCache>
                <c:formatCode>###0.0%</c:formatCode>
                <c:ptCount val="5"/>
                <c:pt idx="0">
                  <c:v>0.20941176470588235</c:v>
                </c:pt>
                <c:pt idx="1">
                  <c:v>0.48</c:v>
                </c:pt>
                <c:pt idx="2">
                  <c:v>9.2592592592592601E-2</c:v>
                </c:pt>
                <c:pt idx="3">
                  <c:v>0.10344827586206896</c:v>
                </c:pt>
                <c:pt idx="4">
                  <c:v>0.12</c:v>
                </c:pt>
              </c:numCache>
            </c:numRef>
          </c:val>
          <c:smooth val="0"/>
          <c:extLst>
            <c:ext xmlns:c16="http://schemas.microsoft.com/office/drawing/2014/chart" uri="{C3380CC4-5D6E-409C-BE32-E72D297353CC}">
              <c16:uniqueId val="{00000001-7A62-4B05-9106-8385AF92E5A0}"/>
            </c:ext>
          </c:extLst>
        </c:ser>
        <c:ser>
          <c:idx val="2"/>
          <c:order val="2"/>
          <c:tx>
            <c:strRef>
              <c:f>Hoja3!$E$13</c:f>
              <c:strCache>
                <c:ptCount val="1"/>
                <c:pt idx="0">
                  <c:v>Bienestar</c:v>
                </c:pt>
              </c:strCache>
            </c:strRef>
          </c:tx>
          <c:spPr>
            <a:ln w="28575" cap="rnd">
              <a:solidFill>
                <a:schemeClr val="accent3"/>
              </a:solidFill>
              <a:round/>
            </a:ln>
            <a:effectLst/>
          </c:spPr>
          <c:marker>
            <c:symbol val="none"/>
          </c:marker>
          <c:cat>
            <c:strRef>
              <c:f>Hoja3!$F$10:$J$10</c:f>
              <c:strCache>
                <c:ptCount val="5"/>
                <c:pt idx="0">
                  <c:v>2011</c:v>
                </c:pt>
                <c:pt idx="1">
                  <c:v>2012</c:v>
                </c:pt>
                <c:pt idx="2">
                  <c:v>2013</c:v>
                </c:pt>
                <c:pt idx="3">
                  <c:v>2014</c:v>
                </c:pt>
                <c:pt idx="4">
                  <c:v>2015</c:v>
                </c:pt>
              </c:strCache>
            </c:strRef>
          </c:cat>
          <c:val>
            <c:numRef>
              <c:f>Hoja3!$F$13:$J$13</c:f>
              <c:numCache>
                <c:formatCode>###0.0%</c:formatCode>
                <c:ptCount val="5"/>
                <c:pt idx="0">
                  <c:v>0.17411764705882352</c:v>
                </c:pt>
                <c:pt idx="1">
                  <c:v>0.28000000000000003</c:v>
                </c:pt>
                <c:pt idx="2">
                  <c:v>0.64814814814814814</c:v>
                </c:pt>
                <c:pt idx="3">
                  <c:v>0.53448275862068961</c:v>
                </c:pt>
                <c:pt idx="4">
                  <c:v>0.68</c:v>
                </c:pt>
              </c:numCache>
            </c:numRef>
          </c:val>
          <c:smooth val="0"/>
          <c:extLst>
            <c:ext xmlns:c16="http://schemas.microsoft.com/office/drawing/2014/chart" uri="{C3380CC4-5D6E-409C-BE32-E72D297353CC}">
              <c16:uniqueId val="{00000002-7A62-4B05-9106-8385AF92E5A0}"/>
            </c:ext>
          </c:extLst>
        </c:ser>
        <c:ser>
          <c:idx val="3"/>
          <c:order val="3"/>
          <c:tx>
            <c:strRef>
              <c:f>Hoja3!$E$14</c:f>
              <c:strCache>
                <c:ptCount val="1"/>
                <c:pt idx="0">
                  <c:v>Estilos de vida</c:v>
                </c:pt>
              </c:strCache>
            </c:strRef>
          </c:tx>
          <c:spPr>
            <a:ln w="28575" cap="rnd">
              <a:solidFill>
                <a:schemeClr val="accent4"/>
              </a:solidFill>
              <a:round/>
            </a:ln>
            <a:effectLst/>
          </c:spPr>
          <c:marker>
            <c:symbol val="none"/>
          </c:marker>
          <c:cat>
            <c:strRef>
              <c:f>Hoja3!$F$10:$J$10</c:f>
              <c:strCache>
                <c:ptCount val="5"/>
                <c:pt idx="0">
                  <c:v>2011</c:v>
                </c:pt>
                <c:pt idx="1">
                  <c:v>2012</c:v>
                </c:pt>
                <c:pt idx="2">
                  <c:v>2013</c:v>
                </c:pt>
                <c:pt idx="3">
                  <c:v>2014</c:v>
                </c:pt>
                <c:pt idx="4">
                  <c:v>2015</c:v>
                </c:pt>
              </c:strCache>
            </c:strRef>
          </c:cat>
          <c:val>
            <c:numRef>
              <c:f>Hoja3!$F$14:$J$14</c:f>
              <c:numCache>
                <c:formatCode>###0.0%</c:formatCode>
                <c:ptCount val="5"/>
                <c:pt idx="0">
                  <c:v>0.1176470588235294</c:v>
                </c:pt>
                <c:pt idx="1">
                  <c:v>0.09</c:v>
                </c:pt>
                <c:pt idx="2" formatCode="General">
                  <c:v>0</c:v>
                </c:pt>
                <c:pt idx="3">
                  <c:v>0.24137931034482757</c:v>
                </c:pt>
                <c:pt idx="4">
                  <c:v>0.2</c:v>
                </c:pt>
              </c:numCache>
            </c:numRef>
          </c:val>
          <c:smooth val="0"/>
          <c:extLst>
            <c:ext xmlns:c16="http://schemas.microsoft.com/office/drawing/2014/chart" uri="{C3380CC4-5D6E-409C-BE32-E72D297353CC}">
              <c16:uniqueId val="{00000003-7A62-4B05-9106-8385AF92E5A0}"/>
            </c:ext>
          </c:extLst>
        </c:ser>
        <c:dLbls>
          <c:showLegendKey val="0"/>
          <c:showVal val="0"/>
          <c:showCatName val="0"/>
          <c:showSerName val="0"/>
          <c:showPercent val="0"/>
          <c:showBubbleSize val="0"/>
        </c:dLbls>
        <c:smooth val="0"/>
        <c:axId val="446799520"/>
        <c:axId val="446800768"/>
      </c:lineChart>
      <c:catAx>
        <c:axId val="44679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6800768"/>
        <c:crosses val="autoZero"/>
        <c:auto val="1"/>
        <c:lblAlgn val="ctr"/>
        <c:lblOffset val="100"/>
        <c:noMultiLvlLbl val="0"/>
      </c:catAx>
      <c:valAx>
        <c:axId val="4468007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679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D84F-E414-47D8-93D9-AEBBA3F0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5688</TotalTime>
  <Pages>15</Pages>
  <Words>4610</Words>
  <Characters>25355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Gutiérrez Marín</dc:creator>
  <cp:keywords/>
  <dc:description/>
  <cp:lastModifiedBy>Dani Gutiérrez Marín</cp:lastModifiedBy>
  <cp:revision>1717</cp:revision>
  <dcterms:created xsi:type="dcterms:W3CDTF">2022-08-24T17:29:00Z</dcterms:created>
  <dcterms:modified xsi:type="dcterms:W3CDTF">2022-09-20T04:11:00Z</dcterms:modified>
</cp:coreProperties>
</file>