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6E0" w:rsidRDefault="00D361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Cuidados comunitarios y personas LGTBIQNB+ de la comunidad </w:t>
      </w:r>
      <w:r>
        <w:rPr>
          <w:rFonts w:ascii="Times New Roman" w:eastAsia="Times New Roman" w:hAnsi="Times New Roman" w:cs="Times New Roman"/>
          <w:b/>
          <w:i/>
          <w:sz w:val="24"/>
          <w:szCs w:val="24"/>
        </w:rPr>
        <w:t>ballroom</w:t>
      </w:r>
      <w:r>
        <w:rPr>
          <w:rFonts w:ascii="Times New Roman" w:eastAsia="Times New Roman" w:hAnsi="Times New Roman" w:cs="Times New Roman"/>
          <w:b/>
          <w:sz w:val="24"/>
          <w:szCs w:val="24"/>
        </w:rPr>
        <w:t xml:space="preserve"> de CABA, una primera deriva analítica.</w:t>
      </w:r>
      <w:r>
        <w:rPr>
          <w:rFonts w:ascii="Times New Roman" w:eastAsia="Times New Roman" w:hAnsi="Times New Roman" w:cs="Times New Roman"/>
          <w:sz w:val="24"/>
          <w:szCs w:val="24"/>
        </w:rPr>
        <w:t xml:space="preserve"> </w:t>
      </w:r>
    </w:p>
    <w:p w:rsidR="00DA56E0" w:rsidRDefault="00DA56E0">
      <w:pPr>
        <w:spacing w:line="360" w:lineRule="auto"/>
        <w:jc w:val="center"/>
        <w:rPr>
          <w:rFonts w:ascii="Times New Roman" w:eastAsia="Times New Roman" w:hAnsi="Times New Roman" w:cs="Times New Roman"/>
          <w:sz w:val="24"/>
          <w:szCs w:val="24"/>
        </w:rPr>
      </w:pPr>
    </w:p>
    <w:p w:rsidR="00DA56E0" w:rsidRDefault="00D361C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Almendra Lareo</w:t>
      </w:r>
    </w:p>
    <w:p w:rsidR="00DA56E0" w:rsidRDefault="00D361C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Ciencias Sociales de la UBA</w:t>
      </w:r>
    </w:p>
    <w:p w:rsidR="00DA56E0" w:rsidRDefault="00D361C0">
      <w:pPr>
        <w:spacing w:line="360" w:lineRule="auto"/>
        <w:jc w:val="right"/>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almendra.lareo@gmail.com</w:t>
        </w:r>
      </w:hyperlink>
    </w:p>
    <w:p w:rsidR="00DA56E0" w:rsidRDefault="00D361C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Maestranda en Estudios y Políticas de Género en UNTREF</w:t>
      </w:r>
    </w:p>
    <w:p w:rsidR="00DA56E0" w:rsidRDefault="00D361C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Eje 7: Transfeminismos, estudios de género y sexualidades</w:t>
      </w:r>
    </w:p>
    <w:p w:rsidR="00DA56E0" w:rsidRDefault="00DA56E0">
      <w:pPr>
        <w:spacing w:line="360" w:lineRule="auto"/>
        <w:jc w:val="both"/>
        <w:rPr>
          <w:rFonts w:ascii="Times New Roman" w:eastAsia="Times New Roman" w:hAnsi="Times New Roman" w:cs="Times New Roman"/>
          <w:sz w:val="24"/>
          <w:szCs w:val="24"/>
        </w:rPr>
      </w:pPr>
    </w:p>
    <w:p w:rsidR="00DA56E0" w:rsidRDefault="00D361C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Introducción</w:t>
      </w: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presente ponencia se enmarca en una incipiente investigación que comenzó con la elaboración del plan de trabajo para solicitar</w:t>
      </w:r>
      <w:r>
        <w:rPr>
          <w:rFonts w:ascii="Times New Roman" w:eastAsia="Times New Roman" w:hAnsi="Times New Roman" w:cs="Times New Roman"/>
          <w:sz w:val="24"/>
          <w:szCs w:val="24"/>
        </w:rPr>
        <w:t xml:space="preserve"> beca interna doctoral CONICET en el Instituto de Investigaciones Gino Germani (IIGG), en 2022. Nos proponemos analizar el vínculo entre cuidados y población LGBTIQNB+</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adulta joven, atendiendo a los cuidados comunitarios que autogestiona esta población en</w:t>
      </w:r>
      <w:r>
        <w:rPr>
          <w:rFonts w:ascii="Times New Roman" w:eastAsia="Times New Roman" w:hAnsi="Times New Roman" w:cs="Times New Roman"/>
          <w:sz w:val="24"/>
          <w:szCs w:val="24"/>
        </w:rPr>
        <w:t xml:space="preserve"> distintas comunidades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de Ciudad Autónoma de Buenos Aires. Para eso, en primer lugar, vamos a caracterizar a la población LGTBIQNB+ perteneciente a dos casas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a partir de su condición sexo genérica, de clase y experiencia migrante. Esto no</w:t>
      </w:r>
      <w:r>
        <w:rPr>
          <w:rFonts w:ascii="Times New Roman" w:eastAsia="Times New Roman" w:hAnsi="Times New Roman" w:cs="Times New Roman"/>
          <w:sz w:val="24"/>
          <w:szCs w:val="24"/>
        </w:rPr>
        <w:t xml:space="preserve">s permite conocer el sujeto de estudio y describir la situación de vulnerabilidades que atraviesa sus trayectorias vitales, de la cual parten para organizar sus cuidados. En segundo lugar, se van a identificar los cuidados comunitarios que movilizan estas </w:t>
      </w:r>
      <w:r>
        <w:rPr>
          <w:rFonts w:ascii="Times New Roman" w:eastAsia="Times New Roman" w:hAnsi="Times New Roman" w:cs="Times New Roman"/>
          <w:sz w:val="24"/>
          <w:szCs w:val="24"/>
        </w:rPr>
        <w:t xml:space="preserve">comunidades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para garantizar su subsistencia y bienestar cotidiano a partir de: a) dimensiones materiales (gestión del cuidado), b) dimensiones simbólicas (pertenencia a una comunidad) y c) dimensiones afectivas (lazos comunitarios). Finalmente, y </w:t>
      </w:r>
      <w:r>
        <w:rPr>
          <w:rFonts w:ascii="Times New Roman" w:eastAsia="Times New Roman" w:hAnsi="Times New Roman" w:cs="Times New Roman"/>
          <w:sz w:val="24"/>
          <w:szCs w:val="24"/>
        </w:rPr>
        <w:t>a partir de una lectura retrospectiva, se va a presentar una primera deriva analítica que entiende estas formas de organización comunitaria como un saldo político del activismo de la diversidad sexual en Argentina. La metodología es cualitativa y se va a a</w:t>
      </w:r>
      <w:r>
        <w:rPr>
          <w:rFonts w:ascii="Times New Roman" w:eastAsia="Times New Roman" w:hAnsi="Times New Roman" w:cs="Times New Roman"/>
          <w:sz w:val="24"/>
          <w:szCs w:val="24"/>
        </w:rPr>
        <w:t xml:space="preserve">poyar en el relevamiento de fuentes secundarias tales como notas periodísticas, memorias institucionales, archivos audiovisuales y entrevistas realizadas por otras personas a integrantes de las comunidades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w:t>
      </w: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modo de hipótesis, interesa indagar la</w:t>
      </w:r>
      <w:r>
        <w:rPr>
          <w:rFonts w:ascii="Times New Roman" w:eastAsia="Times New Roman" w:hAnsi="Times New Roman" w:cs="Times New Roman"/>
          <w:sz w:val="24"/>
          <w:szCs w:val="24"/>
        </w:rPr>
        <w:t xml:space="preserve">s casas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de Ciudad Autónoma de Buenos Aires porque funcionan como espacios no estatales en los que la población LGBTIQNB+ adulta joven organiza sus cuidados de manera comunitaria. En esta línea, el presente trabajo constituye un aporte al campo tem</w:t>
      </w:r>
      <w:r>
        <w:rPr>
          <w:rFonts w:ascii="Times New Roman" w:eastAsia="Times New Roman" w:hAnsi="Times New Roman" w:cs="Times New Roman"/>
          <w:sz w:val="24"/>
          <w:szCs w:val="24"/>
        </w:rPr>
        <w:t>ático de los cuidados porque analiza un tipo particular de organización de cuidados escasamente abordado: el de los cuidados comunitarios entre personas adultas jóvenes en situación de vulnerabilidades por su condición sexo genérica, de clase y experiencia</w:t>
      </w:r>
      <w:r>
        <w:rPr>
          <w:rFonts w:ascii="Times New Roman" w:eastAsia="Times New Roman" w:hAnsi="Times New Roman" w:cs="Times New Roman"/>
          <w:sz w:val="24"/>
          <w:szCs w:val="24"/>
        </w:rPr>
        <w:t xml:space="preserve"> migrante.</w:t>
      </w: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estudios sobre cuidados abarcan una multiplicidad de disciplinas (sociología, antropología, economía, derecho, ciencias de la salud, trabajo social) y contemplan una variedad de perspectivas: aquellas que se centran en los trabajos de cuidad</w:t>
      </w:r>
      <w:r>
        <w:rPr>
          <w:rFonts w:ascii="Times New Roman" w:eastAsia="Times New Roman" w:hAnsi="Times New Roman" w:cs="Times New Roman"/>
          <w:sz w:val="24"/>
          <w:szCs w:val="24"/>
        </w:rPr>
        <w:t>o como parte fundamental de la economía feminista (Rodríguez Enríquez, 2015; Calero, Dellavalle y Zaniño, 2015); las que puntualizan en el carácter feminizado de la distribución desigual de las tareas domésticas (Aguilar, 2014;</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Trombetta, Micha y Pereyra, 2019); las que ponen el foco en el vínculo entre provisión de cuidados y políticas públicas desde un enfoque de derechos (Pautassi, Arcidiacono y Straschnoy, 2014); y aquellas que analizan la organización social de los cuidados </w:t>
      </w:r>
      <w:r>
        <w:rPr>
          <w:rFonts w:ascii="Times New Roman" w:eastAsia="Times New Roman" w:hAnsi="Times New Roman" w:cs="Times New Roman"/>
          <w:sz w:val="24"/>
          <w:szCs w:val="24"/>
        </w:rPr>
        <w:t>a partir de la presencia de cuatro actores intervinientes: familias, mercado, Estado y organizaciones comunitarias (Esquivel, Faur y Jelin, 2012). Aunque varios estudios advierten sobre la distribución desigual entre estos actores (Venturiello, 2012; Rodrí</w:t>
      </w:r>
      <w:r>
        <w:rPr>
          <w:rFonts w:ascii="Times New Roman" w:eastAsia="Times New Roman" w:hAnsi="Times New Roman" w:cs="Times New Roman"/>
          <w:sz w:val="24"/>
          <w:szCs w:val="24"/>
        </w:rPr>
        <w:t xml:space="preserve">guez Enríquez y Marzonetto, 2016), incluso acerca de la poca relevancia que tienen los trabajos comunitarios como prestación de cuidados en la producción académica local (Venturiello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ninguno de ellos señala la especificidad de los cuidados en</w:t>
      </w:r>
      <w:r>
        <w:rPr>
          <w:rFonts w:ascii="Times New Roman" w:eastAsia="Times New Roman" w:hAnsi="Times New Roman" w:cs="Times New Roman"/>
          <w:sz w:val="24"/>
          <w:szCs w:val="24"/>
        </w:rPr>
        <w:t xml:space="preserve">tre personas LGTBIQNB+ adultas jóvenes como interés en sí mismo. </w:t>
      </w: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fenómeno del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tal como hoy lo conocemos surge a mediados de la década de 1960 en el barrio de Harlem, Estados Unidos, cuando un grupo de </w:t>
      </w:r>
      <w:r>
        <w:rPr>
          <w:rFonts w:ascii="Times New Roman" w:eastAsia="Times New Roman" w:hAnsi="Times New Roman" w:cs="Times New Roman"/>
          <w:i/>
          <w:sz w:val="24"/>
          <w:szCs w:val="24"/>
        </w:rPr>
        <w:t>drag queens</w:t>
      </w:r>
      <w:r>
        <w:rPr>
          <w:rFonts w:ascii="Times New Roman" w:eastAsia="Times New Roman" w:hAnsi="Times New Roman" w:cs="Times New Roman"/>
          <w:sz w:val="24"/>
          <w:szCs w:val="24"/>
        </w:rPr>
        <w:t xml:space="preserve"> afroamericanas y transgénero d</w:t>
      </w:r>
      <w:r>
        <w:rPr>
          <w:rFonts w:ascii="Times New Roman" w:eastAsia="Times New Roman" w:hAnsi="Times New Roman" w:cs="Times New Roman"/>
          <w:sz w:val="24"/>
          <w:szCs w:val="24"/>
        </w:rPr>
        <w:t xml:space="preserve">eciden transformar los tradicionales concursos de belleza en competencias de un tipo particular de baile, el </w:t>
      </w:r>
      <w:r>
        <w:rPr>
          <w:rFonts w:ascii="Times New Roman" w:eastAsia="Times New Roman" w:hAnsi="Times New Roman" w:cs="Times New Roman"/>
          <w:i/>
          <w:sz w:val="24"/>
          <w:szCs w:val="24"/>
        </w:rPr>
        <w:t>voguing</w:t>
      </w:r>
      <w:r>
        <w:rPr>
          <w:rFonts w:ascii="Times New Roman" w:eastAsia="Times New Roman" w:hAnsi="Times New Roman" w:cs="Times New Roman"/>
          <w:sz w:val="24"/>
          <w:szCs w:val="24"/>
        </w:rPr>
        <w:t xml:space="preserve">. Hasta ese momento, las competencias estaban organizadas por </w:t>
      </w:r>
      <w:r>
        <w:rPr>
          <w:rFonts w:ascii="Times New Roman" w:eastAsia="Times New Roman" w:hAnsi="Times New Roman" w:cs="Times New Roman"/>
          <w:i/>
          <w:sz w:val="24"/>
          <w:szCs w:val="24"/>
        </w:rPr>
        <w:t>drag queens</w:t>
      </w:r>
      <w:r>
        <w:rPr>
          <w:rFonts w:ascii="Times New Roman" w:eastAsia="Times New Roman" w:hAnsi="Times New Roman" w:cs="Times New Roman"/>
          <w:sz w:val="24"/>
          <w:szCs w:val="24"/>
        </w:rPr>
        <w:t xml:space="preserve"> blancas y tanto los requisitos de participación como las categoría</w:t>
      </w:r>
      <w:r>
        <w:rPr>
          <w:rFonts w:ascii="Times New Roman" w:eastAsia="Times New Roman" w:hAnsi="Times New Roman" w:cs="Times New Roman"/>
          <w:sz w:val="24"/>
          <w:szCs w:val="24"/>
        </w:rPr>
        <w:t>s de baile respondían a esos parámetros raciales. Los últimos años de esta década estuvieron marcados por la intensificación del movimiento por los derechos civiles y las llamadas “revueltas de Stonewall” (Lawrence, 2013), un momento que propició la organi</w:t>
      </w:r>
      <w:r>
        <w:rPr>
          <w:rFonts w:ascii="Times New Roman" w:eastAsia="Times New Roman" w:hAnsi="Times New Roman" w:cs="Times New Roman"/>
          <w:sz w:val="24"/>
          <w:szCs w:val="24"/>
        </w:rPr>
        <w:t xml:space="preserve">zación del primer ballroom por y para </w:t>
      </w:r>
      <w:r>
        <w:rPr>
          <w:rFonts w:ascii="Times New Roman" w:eastAsia="Times New Roman" w:hAnsi="Times New Roman" w:cs="Times New Roman"/>
          <w:i/>
          <w:sz w:val="24"/>
          <w:szCs w:val="24"/>
        </w:rPr>
        <w:t>drag queens</w:t>
      </w:r>
      <w:r>
        <w:rPr>
          <w:rFonts w:ascii="Times New Roman" w:eastAsia="Times New Roman" w:hAnsi="Times New Roman" w:cs="Times New Roman"/>
          <w:sz w:val="24"/>
          <w:szCs w:val="24"/>
        </w:rPr>
        <w:t xml:space="preserve"> negras en 1972 en Nueva York. Su desarrollo contribuyó, en ese mismo acto, a la creación de la primera casa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House of LaBeija, para llegar a un total de 28 </w:t>
      </w:r>
      <w:r>
        <w:rPr>
          <w:rFonts w:ascii="Times New Roman" w:eastAsia="Times New Roman" w:hAnsi="Times New Roman" w:cs="Times New Roman"/>
          <w:sz w:val="24"/>
          <w:szCs w:val="24"/>
        </w:rPr>
        <w:lastRenderedPageBreak/>
        <w:t>casas en 1989.</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En resumidas cuentas, las</w:t>
      </w:r>
      <w:r>
        <w:rPr>
          <w:rFonts w:ascii="Times New Roman" w:eastAsia="Times New Roman" w:hAnsi="Times New Roman" w:cs="Times New Roman"/>
          <w:sz w:val="24"/>
          <w:szCs w:val="24"/>
        </w:rPr>
        <w:t xml:space="preserve"> principales contribuciones que las </w:t>
      </w:r>
      <w:r>
        <w:rPr>
          <w:rFonts w:ascii="Times New Roman" w:eastAsia="Times New Roman" w:hAnsi="Times New Roman" w:cs="Times New Roman"/>
          <w:i/>
          <w:sz w:val="24"/>
          <w:szCs w:val="24"/>
        </w:rPr>
        <w:t>drag queens</w:t>
      </w:r>
      <w:r>
        <w:rPr>
          <w:rFonts w:ascii="Times New Roman" w:eastAsia="Times New Roman" w:hAnsi="Times New Roman" w:cs="Times New Roman"/>
          <w:sz w:val="24"/>
          <w:szCs w:val="24"/>
        </w:rPr>
        <w:t xml:space="preserve"> transgénero negras y latinas realizaron a la escena ballroom local fueron: la introducción del voguing como “una lucha, una politización contra la discriminación sufrida en la época a través del cuerpo” (Sola</w:t>
      </w:r>
      <w:r>
        <w:rPr>
          <w:rFonts w:ascii="Times New Roman" w:eastAsia="Times New Roman" w:hAnsi="Times New Roman" w:cs="Times New Roman"/>
          <w:sz w:val="24"/>
          <w:szCs w:val="24"/>
        </w:rPr>
        <w:t xml:space="preserve">na Tirado, 2021: 15) y la creación de un sistema de casas o houses que, particularmente en Argentina, funcionan como familias de elección (Donoso, 2002). Estos dos elementos caracterizan la cultura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que proliferó en Latinoamérica gracias a las tecn</w:t>
      </w:r>
      <w:r>
        <w:rPr>
          <w:rFonts w:ascii="Times New Roman" w:eastAsia="Times New Roman" w:hAnsi="Times New Roman" w:cs="Times New Roman"/>
          <w:sz w:val="24"/>
          <w:szCs w:val="24"/>
        </w:rPr>
        <w:t>ologías digitales; promoviendo su desarrollo en países como Brasil, Colombia, México, Perú, Chile y Argentina durante los últimos diez años, y redes de intercambio entre sus comunidades.</w:t>
      </w: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Imagen 1:</w:t>
      </w:r>
    </w:p>
    <w:p w:rsidR="00DA56E0" w:rsidRDefault="00D361C0">
      <w:pPr>
        <w:spacing w:after="200" w:line="240" w:lineRule="auto"/>
        <w:jc w:val="center"/>
      </w:pPr>
      <w:r>
        <w:rPr>
          <w:noProof/>
          <w:lang w:val="es-AR"/>
        </w:rPr>
        <w:drawing>
          <wp:inline distT="114300" distB="114300" distL="114300" distR="114300">
            <wp:extent cx="5380200" cy="33147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380200" cy="3314700"/>
                    </a:xfrm>
                    <a:prstGeom prst="rect">
                      <a:avLst/>
                    </a:prstGeom>
                    <a:ln/>
                  </pic:spPr>
                </pic:pic>
              </a:graphicData>
            </a:graphic>
          </wp:inline>
        </w:drawing>
      </w:r>
    </w:p>
    <w:p w:rsidR="00DA56E0" w:rsidRDefault="00D361C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Integrantes de House of LaBeija en un baile. </w:t>
      </w:r>
    </w:p>
    <w:p w:rsidR="00DA56E0" w:rsidRDefault="00D361C0">
      <w:pPr>
        <w:spacing w:after="200"/>
        <w:jc w:val="both"/>
        <w:rPr>
          <w:rFonts w:ascii="Times New Roman" w:eastAsia="Times New Roman" w:hAnsi="Times New Roman" w:cs="Times New Roman"/>
        </w:rPr>
      </w:pPr>
      <w:r>
        <w:rPr>
          <w:rFonts w:ascii="Times New Roman" w:eastAsia="Times New Roman" w:hAnsi="Times New Roman" w:cs="Times New Roman"/>
          <w:sz w:val="20"/>
          <w:szCs w:val="20"/>
        </w:rPr>
        <w:t>Fuente: arc</w:t>
      </w:r>
      <w:r>
        <w:rPr>
          <w:rFonts w:ascii="Times New Roman" w:eastAsia="Times New Roman" w:hAnsi="Times New Roman" w:cs="Times New Roman"/>
          <w:sz w:val="20"/>
          <w:szCs w:val="20"/>
        </w:rPr>
        <w:t>hivo del proyecto “A History of  Ballroom: Documenting the Era of Ballroom (1972-1990)”.</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desarrollo de la cultura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en Argentina comenzó en 2017, cuando un grupo de activistas de la diversidad sexual y productores de fiestas </w:t>
      </w:r>
      <w:r>
        <w:rPr>
          <w:rFonts w:ascii="Times New Roman" w:eastAsia="Times New Roman" w:hAnsi="Times New Roman" w:cs="Times New Roman"/>
          <w:i/>
          <w:sz w:val="24"/>
          <w:szCs w:val="24"/>
        </w:rPr>
        <w:t>queer</w:t>
      </w:r>
      <w:r>
        <w:rPr>
          <w:rFonts w:ascii="Times New Roman" w:eastAsia="Times New Roman" w:hAnsi="Times New Roman" w:cs="Times New Roman"/>
          <w:sz w:val="24"/>
          <w:szCs w:val="24"/>
        </w:rPr>
        <w:t xml:space="preserve"> de la comunidad</w:t>
      </w:r>
      <w:r>
        <w:rPr>
          <w:rFonts w:ascii="Times New Roman" w:eastAsia="Times New Roman" w:hAnsi="Times New Roman" w:cs="Times New Roman"/>
          <w:sz w:val="24"/>
          <w:szCs w:val="24"/>
        </w:rPr>
        <w:t xml:space="preserve"> LGTBIQNB+ local decidieron visibilizar el estilo del </w:t>
      </w:r>
      <w:r>
        <w:rPr>
          <w:rFonts w:ascii="Times New Roman" w:eastAsia="Times New Roman" w:hAnsi="Times New Roman" w:cs="Times New Roman"/>
          <w:i/>
          <w:sz w:val="24"/>
          <w:szCs w:val="24"/>
        </w:rPr>
        <w:t>voguing</w:t>
      </w:r>
      <w:r>
        <w:rPr>
          <w:rFonts w:ascii="Times New Roman" w:eastAsia="Times New Roman" w:hAnsi="Times New Roman" w:cs="Times New Roman"/>
          <w:sz w:val="24"/>
          <w:szCs w:val="24"/>
        </w:rPr>
        <w:t xml:space="preserve"> como “práctica disidente y liberadora” (Monique, 2021). Las fiestas Turbo fueron el primer punto de encuentro y visibilidad para </w:t>
      </w:r>
      <w:r>
        <w:rPr>
          <w:rFonts w:ascii="Times New Roman" w:eastAsia="Times New Roman" w:hAnsi="Times New Roman" w:cs="Times New Roman"/>
          <w:sz w:val="24"/>
          <w:szCs w:val="24"/>
        </w:rPr>
        <w:lastRenderedPageBreak/>
        <w:t xml:space="preserve">quienes ya venían, o apenas comenzaban a caminar y/o bailar el </w:t>
      </w:r>
      <w:r>
        <w:rPr>
          <w:rFonts w:ascii="Times New Roman" w:eastAsia="Times New Roman" w:hAnsi="Times New Roman" w:cs="Times New Roman"/>
          <w:i/>
          <w:sz w:val="24"/>
          <w:szCs w:val="24"/>
        </w:rPr>
        <w:t>vo</w:t>
      </w:r>
      <w:r>
        <w:rPr>
          <w:rFonts w:ascii="Times New Roman" w:eastAsia="Times New Roman" w:hAnsi="Times New Roman" w:cs="Times New Roman"/>
          <w:i/>
          <w:sz w:val="24"/>
          <w:szCs w:val="24"/>
        </w:rPr>
        <w:t>guing</w:t>
      </w:r>
      <w:r>
        <w:rPr>
          <w:rFonts w:ascii="Times New Roman" w:eastAsia="Times New Roman" w:hAnsi="Times New Roman" w:cs="Times New Roman"/>
          <w:sz w:val="24"/>
          <w:szCs w:val="24"/>
        </w:rPr>
        <w:t xml:space="preserve">. En los últimos cinco años, se crearon distintas </w:t>
      </w:r>
      <w:r>
        <w:rPr>
          <w:rFonts w:ascii="Times New Roman" w:eastAsia="Times New Roman" w:hAnsi="Times New Roman" w:cs="Times New Roman"/>
          <w:i/>
          <w:sz w:val="24"/>
          <w:szCs w:val="24"/>
        </w:rPr>
        <w:t>houses</w:t>
      </w:r>
      <w:r>
        <w:rPr>
          <w:rFonts w:ascii="Times New Roman" w:eastAsia="Times New Roman" w:hAnsi="Times New Roman" w:cs="Times New Roman"/>
          <w:sz w:val="24"/>
          <w:szCs w:val="24"/>
        </w:rPr>
        <w:t xml:space="preserve"> que actualmente comienzan a caracterizar la escena ballroom de Ciudad Autónoma de Buenos Aires, como House of Tropikalia (2019), House of Atheris (2020), Socio Ballroom (2021), Comunidad </w:t>
      </w:r>
      <w:r>
        <w:rPr>
          <w:rFonts w:ascii="Times New Roman" w:eastAsia="Times New Roman" w:hAnsi="Times New Roman" w:cs="Times New Roman"/>
          <w:i/>
          <w:sz w:val="24"/>
          <w:szCs w:val="24"/>
        </w:rPr>
        <w:t>kiki ba</w:t>
      </w:r>
      <w:r>
        <w:rPr>
          <w:rFonts w:ascii="Times New Roman" w:eastAsia="Times New Roman" w:hAnsi="Times New Roman" w:cs="Times New Roman"/>
          <w:i/>
          <w:sz w:val="24"/>
          <w:szCs w:val="24"/>
        </w:rPr>
        <w:t>llroom</w:t>
      </w:r>
      <w:r>
        <w:rPr>
          <w:rFonts w:ascii="Times New Roman" w:eastAsia="Times New Roman" w:hAnsi="Times New Roman" w:cs="Times New Roman"/>
          <w:sz w:val="24"/>
          <w:szCs w:val="24"/>
        </w:rPr>
        <w:t xml:space="preserve"> La Plata (2021), House of Berkins (2022); y otras que traen consigo historias de larga data a nivel regional e internacional como House of Glorieta, House of Vemanei, House of Milan y House of Titania, entre otras. A su vez,  podemos caracterizar de</w:t>
      </w:r>
      <w:r>
        <w:rPr>
          <w:rFonts w:ascii="Times New Roman" w:eastAsia="Times New Roman" w:hAnsi="Times New Roman" w:cs="Times New Roman"/>
          <w:sz w:val="24"/>
          <w:szCs w:val="24"/>
        </w:rPr>
        <w:t xml:space="preserve"> manera incipiente el despliegue de sus acciones en función de sus objetivos y condiciones de surgimiento. Algunas denominadas </w:t>
      </w:r>
      <w:r>
        <w:rPr>
          <w:rFonts w:ascii="Times New Roman" w:eastAsia="Times New Roman" w:hAnsi="Times New Roman" w:cs="Times New Roman"/>
          <w:i/>
          <w:sz w:val="24"/>
          <w:szCs w:val="24"/>
        </w:rPr>
        <w:t>kiki house’s</w:t>
      </w:r>
      <w:r>
        <w:rPr>
          <w:rFonts w:ascii="Times New Roman" w:eastAsia="Times New Roman" w:hAnsi="Times New Roman" w:cs="Times New Roman"/>
          <w:sz w:val="24"/>
          <w:szCs w:val="24"/>
        </w:rPr>
        <w:t xml:space="preserve"> surgen con el objetivo de contener y acercar a jóvenes de la comunidad LGTBIQNB+</w:t>
      </w:r>
      <w:r>
        <w:rPr>
          <w:rFonts w:ascii="Times New Roman" w:eastAsia="Times New Roman" w:hAnsi="Times New Roman" w:cs="Times New Roman"/>
          <w:sz w:val="24"/>
          <w:szCs w:val="24"/>
        </w:rPr>
        <w:t xml:space="preserve"> a las batallas de voguing y se vinculan con mayor intensidad a distintos activismos políticos y culturales. Mientras que otras referenciadas en la escena como </w:t>
      </w:r>
      <w:r>
        <w:rPr>
          <w:rFonts w:ascii="Times New Roman" w:eastAsia="Times New Roman" w:hAnsi="Times New Roman" w:cs="Times New Roman"/>
          <w:i/>
          <w:sz w:val="24"/>
          <w:szCs w:val="24"/>
        </w:rPr>
        <w:t>legendary houses</w:t>
      </w:r>
      <w:r>
        <w:rPr>
          <w:rFonts w:ascii="Times New Roman" w:eastAsia="Times New Roman" w:hAnsi="Times New Roman" w:cs="Times New Roman"/>
          <w:sz w:val="24"/>
          <w:szCs w:val="24"/>
        </w:rPr>
        <w:t xml:space="preserve">, sostienen una historia y una representatividad al interior de la cultura </w:t>
      </w:r>
      <w:r>
        <w:rPr>
          <w:rFonts w:ascii="Times New Roman" w:eastAsia="Times New Roman" w:hAnsi="Times New Roman" w:cs="Times New Roman"/>
          <w:i/>
          <w:sz w:val="24"/>
          <w:szCs w:val="24"/>
        </w:rPr>
        <w:t>ballr</w:t>
      </w:r>
      <w:r>
        <w:rPr>
          <w:rFonts w:ascii="Times New Roman" w:eastAsia="Times New Roman" w:hAnsi="Times New Roman" w:cs="Times New Roman"/>
          <w:i/>
          <w:sz w:val="24"/>
          <w:szCs w:val="24"/>
        </w:rPr>
        <w:t>oom</w:t>
      </w:r>
      <w:r>
        <w:rPr>
          <w:rFonts w:ascii="Times New Roman" w:eastAsia="Times New Roman" w:hAnsi="Times New Roman" w:cs="Times New Roman"/>
          <w:sz w:val="24"/>
          <w:szCs w:val="24"/>
        </w:rPr>
        <w:t xml:space="preserve"> más icónica relacionada a la performatividad de alta costura del </w:t>
      </w:r>
      <w:r>
        <w:rPr>
          <w:rFonts w:ascii="Times New Roman" w:eastAsia="Times New Roman" w:hAnsi="Times New Roman" w:cs="Times New Roman"/>
          <w:i/>
          <w:sz w:val="24"/>
          <w:szCs w:val="24"/>
        </w:rPr>
        <w:t>voguing</w:t>
      </w:r>
      <w:r>
        <w:rPr>
          <w:rFonts w:ascii="Times New Roman" w:eastAsia="Times New Roman" w:hAnsi="Times New Roman" w:cs="Times New Roman"/>
          <w:sz w:val="24"/>
          <w:szCs w:val="24"/>
        </w:rPr>
        <w:t xml:space="preserve">. </w:t>
      </w:r>
    </w:p>
    <w:p w:rsidR="00DA56E0" w:rsidRDefault="00DA56E0">
      <w:pPr>
        <w:spacing w:line="360" w:lineRule="auto"/>
        <w:jc w:val="both"/>
        <w:rPr>
          <w:rFonts w:ascii="Times New Roman" w:eastAsia="Times New Roman" w:hAnsi="Times New Roman" w:cs="Times New Roman"/>
          <w:sz w:val="24"/>
          <w:szCs w:val="24"/>
        </w:rPr>
      </w:pPr>
    </w:p>
    <w:p w:rsidR="00DA56E0" w:rsidRDefault="00D361C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Desarrollo</w:t>
      </w:r>
    </w:p>
    <w:p w:rsidR="00DA56E0" w:rsidRDefault="00DA56E0">
      <w:pPr>
        <w:spacing w:line="360" w:lineRule="auto"/>
        <w:jc w:val="both"/>
        <w:rPr>
          <w:rFonts w:ascii="Times New Roman" w:eastAsia="Times New Roman" w:hAnsi="Times New Roman" w:cs="Times New Roman"/>
          <w:b/>
          <w:sz w:val="24"/>
          <w:szCs w:val="24"/>
        </w:rPr>
      </w:pP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 como indica el surgimiento y desarrollo de la cultura</w:t>
      </w:r>
      <w:r>
        <w:rPr>
          <w:rFonts w:ascii="Times New Roman" w:eastAsia="Times New Roman" w:hAnsi="Times New Roman" w:cs="Times New Roman"/>
          <w:i/>
          <w:sz w:val="24"/>
          <w:szCs w:val="24"/>
        </w:rPr>
        <w:t xml:space="preserve"> ballroom</w:t>
      </w:r>
      <w:r>
        <w:rPr>
          <w:rFonts w:ascii="Times New Roman" w:eastAsia="Times New Roman" w:hAnsi="Times New Roman" w:cs="Times New Roman"/>
          <w:sz w:val="24"/>
          <w:szCs w:val="24"/>
        </w:rPr>
        <w:t xml:space="preserve"> en Estados Unidos, fueron personas LGTBIQNB+ quienes comenzaron a organizar las distintas batalla</w:t>
      </w:r>
      <w:r>
        <w:rPr>
          <w:rFonts w:ascii="Times New Roman" w:eastAsia="Times New Roman" w:hAnsi="Times New Roman" w:cs="Times New Roman"/>
          <w:sz w:val="24"/>
          <w:szCs w:val="24"/>
        </w:rPr>
        <w:t xml:space="preserve">s de </w:t>
      </w:r>
      <w:r>
        <w:rPr>
          <w:rFonts w:ascii="Times New Roman" w:eastAsia="Times New Roman" w:hAnsi="Times New Roman" w:cs="Times New Roman"/>
          <w:i/>
          <w:sz w:val="24"/>
          <w:szCs w:val="24"/>
        </w:rPr>
        <w:t>voguing</w:t>
      </w:r>
      <w:r>
        <w:rPr>
          <w:rFonts w:ascii="Times New Roman" w:eastAsia="Times New Roman" w:hAnsi="Times New Roman" w:cs="Times New Roman"/>
          <w:sz w:val="24"/>
          <w:szCs w:val="24"/>
        </w:rPr>
        <w:t xml:space="preserve"> y crearon un sistema de casas, como forma de contención entre sus integrantes. En este país, el surgimiento de la cultura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tal como hoy la conocemos fue de la mano de mujeres transgénero negras y latinas. En el caso de Argentina, parti</w:t>
      </w:r>
      <w:r>
        <w:rPr>
          <w:rFonts w:ascii="Times New Roman" w:eastAsia="Times New Roman" w:hAnsi="Times New Roman" w:cs="Times New Roman"/>
          <w:sz w:val="24"/>
          <w:szCs w:val="24"/>
        </w:rPr>
        <w:t>cularmente del Área Metropolitana de Buenos Aires, su desarrollo en años más recientes provino de personas trans y travestis y posteriormente de maricas y personas no binarias. Varias de ellas atravesadas por experiencias de migración tanto de países limít</w:t>
      </w:r>
      <w:r>
        <w:rPr>
          <w:rFonts w:ascii="Times New Roman" w:eastAsia="Times New Roman" w:hAnsi="Times New Roman" w:cs="Times New Roman"/>
          <w:sz w:val="24"/>
          <w:szCs w:val="24"/>
        </w:rPr>
        <w:t>rofes como de ciudades y pueblos de otras provincias del país. Algunos informes estadísticos (Berkins y Fernández, 2005; Jones, Libson y Hiller, 2006) vienen advirtiendo que la pertenencia de clase de las personas LGBT es marcante a la hora de sufrir agres</w:t>
      </w:r>
      <w:r>
        <w:rPr>
          <w:rFonts w:ascii="Times New Roman" w:eastAsia="Times New Roman" w:hAnsi="Times New Roman" w:cs="Times New Roman"/>
          <w:sz w:val="24"/>
          <w:szCs w:val="24"/>
        </w:rPr>
        <w:t xml:space="preserve">iones y discriminación, mientras que la población travesti trans y no binaria es la que vive mayores dificultades para acceder al sistema de salud (Farji Neer y Newton, 2022). </w:t>
      </w: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los estudios sobre sexualidades (Pecheny, Figari y Jones, 2008), se carac</w:t>
      </w:r>
      <w:r>
        <w:rPr>
          <w:rFonts w:ascii="Times New Roman" w:eastAsia="Times New Roman" w:hAnsi="Times New Roman" w:cs="Times New Roman"/>
          <w:sz w:val="24"/>
          <w:szCs w:val="24"/>
        </w:rPr>
        <w:t>teriza a la vulnerabilidad como el conjunto de aspectos individuales y colectivos que hacen a ciertos sujetos más susceptibles de sufrir padecimientos y que, a su vez, cuentan con menos recursos para su protección. En relación a esto, una integrante de Hou</w:t>
      </w:r>
      <w:r>
        <w:rPr>
          <w:rFonts w:ascii="Times New Roman" w:eastAsia="Times New Roman" w:hAnsi="Times New Roman" w:cs="Times New Roman"/>
          <w:sz w:val="24"/>
          <w:szCs w:val="24"/>
        </w:rPr>
        <w:t xml:space="preserve">se of LaBeija destaca que aunque </w:t>
      </w:r>
      <w:r>
        <w:rPr>
          <w:rFonts w:ascii="Times New Roman" w:eastAsia="Times New Roman" w:hAnsi="Times New Roman" w:cs="Times New Roman"/>
          <w:sz w:val="24"/>
          <w:szCs w:val="24"/>
        </w:rPr>
        <w:lastRenderedPageBreak/>
        <w:t xml:space="preserve">“la cultura ballroom sea mucho más que eso, también es un síntoma de la cadena de exclusiones homolesbobitrans-odiantes de nuestra sociedad” (Gutiérrez, 2021). Es que el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es, entre otras cosas, tomar el poder, la vi</w:t>
      </w:r>
      <w:r>
        <w:rPr>
          <w:rFonts w:ascii="Times New Roman" w:eastAsia="Times New Roman" w:hAnsi="Times New Roman" w:cs="Times New Roman"/>
          <w:sz w:val="24"/>
          <w:szCs w:val="24"/>
        </w:rPr>
        <w:t xml:space="preserve">sibilidad y los espacios de idolatría que le negaron a la comunidad LGTBIQNB+ y hacerlos propios. </w:t>
      </w: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House of Tropikalia y Socio Ballroom son dos espacios recientemente creados por personas no binarias y migrantes y confieren un dinamismo considerable a la escena ballroom de Ciudad Autónoma de Buenos Aires. Ambos surgen de la necesidad de visibilizar el t</w:t>
      </w:r>
      <w:r>
        <w:rPr>
          <w:rFonts w:ascii="Times New Roman" w:eastAsia="Times New Roman" w:hAnsi="Times New Roman" w:cs="Times New Roman"/>
          <w:sz w:val="24"/>
          <w:szCs w:val="24"/>
        </w:rPr>
        <w:t xml:space="preserve">rasfondo político de la caminata y la danza del </w:t>
      </w:r>
      <w:r>
        <w:rPr>
          <w:rFonts w:ascii="Times New Roman" w:eastAsia="Times New Roman" w:hAnsi="Times New Roman" w:cs="Times New Roman"/>
          <w:i/>
          <w:sz w:val="24"/>
          <w:szCs w:val="24"/>
        </w:rPr>
        <w:t>voguing</w:t>
      </w:r>
      <w:r>
        <w:rPr>
          <w:rFonts w:ascii="Times New Roman" w:eastAsia="Times New Roman" w:hAnsi="Times New Roman" w:cs="Times New Roman"/>
          <w:sz w:val="24"/>
          <w:szCs w:val="24"/>
        </w:rPr>
        <w:t xml:space="preserve"> existente hace varios años en nuestro país. Si bien sus denominaciones son distintas, ambos cumplen el rol de contención afectiva, económica y moral que le otorgaban las </w:t>
      </w:r>
      <w:r>
        <w:rPr>
          <w:rFonts w:ascii="Times New Roman" w:eastAsia="Times New Roman" w:hAnsi="Times New Roman" w:cs="Times New Roman"/>
          <w:i/>
          <w:sz w:val="24"/>
          <w:szCs w:val="24"/>
        </w:rPr>
        <w:t>drag queens</w:t>
      </w:r>
      <w:r>
        <w:rPr>
          <w:rFonts w:ascii="Times New Roman" w:eastAsia="Times New Roman" w:hAnsi="Times New Roman" w:cs="Times New Roman"/>
          <w:sz w:val="24"/>
          <w:szCs w:val="24"/>
        </w:rPr>
        <w:t xml:space="preserve"> neoyorkinas de Har</w:t>
      </w:r>
      <w:r>
        <w:rPr>
          <w:rFonts w:ascii="Times New Roman" w:eastAsia="Times New Roman" w:hAnsi="Times New Roman" w:cs="Times New Roman"/>
          <w:sz w:val="24"/>
          <w:szCs w:val="24"/>
        </w:rPr>
        <w:t>lem desde los setenta. Según los estudios sobre parentalidades entre personas LGBT (Pecheny, 2002; Schwarz, 2006), en ocasiones estas son expulsadas tempranamente de sus hogares por su orientación sexual e identidad de género, por lo que deben recurrir a o</w:t>
      </w:r>
      <w:r>
        <w:rPr>
          <w:rFonts w:ascii="Times New Roman" w:eastAsia="Times New Roman" w:hAnsi="Times New Roman" w:cs="Times New Roman"/>
          <w:sz w:val="24"/>
          <w:szCs w:val="24"/>
        </w:rPr>
        <w:t>tros actores y redes para procurar su supervivencia y bienestar cotidiano. Esto explicaría la importancia que reviste para las personas LGTBIQNB+ la construcción de familias de elección (Donoso, 2002), guiadas por sentimientos de copertenencia y la delimit</w:t>
      </w:r>
      <w:r>
        <w:rPr>
          <w:rFonts w:ascii="Times New Roman" w:eastAsia="Times New Roman" w:hAnsi="Times New Roman" w:cs="Times New Roman"/>
          <w:sz w:val="24"/>
          <w:szCs w:val="24"/>
        </w:rPr>
        <w:t>ación de una identidad común.</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casas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en AMBA son espacios no estatales en los que se agrupan personas LGTBIQNB+ de distintas edades y trayectorias vitales, muchas de ellas expulsadas de sus hogares de origen; interesadas en alentar y participar</w:t>
      </w:r>
      <w:r>
        <w:rPr>
          <w:rFonts w:ascii="Times New Roman" w:eastAsia="Times New Roman" w:hAnsi="Times New Roman" w:cs="Times New Roman"/>
          <w:sz w:val="24"/>
          <w:szCs w:val="24"/>
        </w:rPr>
        <w:t xml:space="preserve"> de las competencias de </w:t>
      </w:r>
      <w:r>
        <w:rPr>
          <w:rFonts w:ascii="Times New Roman" w:eastAsia="Times New Roman" w:hAnsi="Times New Roman" w:cs="Times New Roman"/>
          <w:i/>
          <w:sz w:val="24"/>
          <w:szCs w:val="24"/>
        </w:rPr>
        <w:t>voguing</w:t>
      </w:r>
      <w:r>
        <w:rPr>
          <w:rFonts w:ascii="Times New Roman" w:eastAsia="Times New Roman" w:hAnsi="Times New Roman" w:cs="Times New Roman"/>
          <w:sz w:val="24"/>
          <w:szCs w:val="24"/>
        </w:rPr>
        <w:t>. Su estructura apuesta por vínculos que van más allá de aquellos roles de género determinados por códigos de consanguinidad (biológicos). En estas casas los roles familiares están configurados por lazos de reciprocidad alred</w:t>
      </w:r>
      <w:r>
        <w:rPr>
          <w:rFonts w:ascii="Times New Roman" w:eastAsia="Times New Roman" w:hAnsi="Times New Roman" w:cs="Times New Roman"/>
          <w:sz w:val="24"/>
          <w:szCs w:val="24"/>
        </w:rPr>
        <w:t>edor de un crecimiento comunitario más amplio (Lotus, 2022). El rol de madre, usualmente ocupado por personas no binarias, maricas y personas trans, posee una referencialidad central en la estructura familiar ya que asiste afectiva y moralmente a sus integ</w:t>
      </w:r>
      <w:r>
        <w:rPr>
          <w:rFonts w:ascii="Times New Roman" w:eastAsia="Times New Roman" w:hAnsi="Times New Roman" w:cs="Times New Roman"/>
          <w:sz w:val="24"/>
          <w:szCs w:val="24"/>
        </w:rPr>
        <w:t>rantes (hijes), organiza las batallas de voguing que convoca cada casa, y asume la responsabilidad de pensar en conjunto los objetivos de cada grupalidad (Lotus, 2022).</w:t>
      </w:r>
    </w:p>
    <w:p w:rsidR="00DA56E0" w:rsidRDefault="00DA56E0">
      <w:pPr>
        <w:spacing w:line="360" w:lineRule="auto"/>
        <w:jc w:val="both"/>
        <w:rPr>
          <w:rFonts w:ascii="Times New Roman" w:eastAsia="Times New Roman" w:hAnsi="Times New Roman" w:cs="Times New Roman"/>
          <w:sz w:val="24"/>
          <w:szCs w:val="24"/>
        </w:rPr>
      </w:pP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diferencia de aquellas radicadas en Estados Unidos, la espacialidad de estas houses </w:t>
      </w:r>
      <w:r>
        <w:rPr>
          <w:rFonts w:ascii="Times New Roman" w:eastAsia="Times New Roman" w:hAnsi="Times New Roman" w:cs="Times New Roman"/>
          <w:sz w:val="24"/>
          <w:szCs w:val="24"/>
        </w:rPr>
        <w:t>no está necesariamente determinada por la convivencia bajo un mismo techo pero sí por la construcción de lazos y redes que configuran al día de hoy más de diez casas en AMBA (Mendieta, 2021)</w:t>
      </w:r>
      <w:r>
        <w:rPr>
          <w:rFonts w:ascii="Times New Roman" w:eastAsia="Times New Roman" w:hAnsi="Times New Roman" w:cs="Times New Roman"/>
          <w:sz w:val="24"/>
          <w:szCs w:val="24"/>
          <w:highlight w:val="black"/>
        </w:rPr>
        <w:t>.</w:t>
      </w:r>
      <w:r>
        <w:rPr>
          <w:rFonts w:ascii="Times New Roman" w:eastAsia="Times New Roman" w:hAnsi="Times New Roman" w:cs="Times New Roman"/>
          <w:sz w:val="24"/>
          <w:szCs w:val="24"/>
        </w:rPr>
        <w:t xml:space="preserve"> A su vez, funcionan como espacios de sociabilidad en las que tie</w:t>
      </w:r>
      <w:r>
        <w:rPr>
          <w:rFonts w:ascii="Times New Roman" w:eastAsia="Times New Roman" w:hAnsi="Times New Roman" w:cs="Times New Roman"/>
          <w:sz w:val="24"/>
          <w:szCs w:val="24"/>
        </w:rPr>
        <w:t xml:space="preserve">nen lugar acciones comunitarias de apoyo afectivo y armado de alianzas activistas para responder a las </w:t>
      </w:r>
      <w:r>
        <w:rPr>
          <w:rFonts w:ascii="Times New Roman" w:eastAsia="Times New Roman" w:hAnsi="Times New Roman" w:cs="Times New Roman"/>
          <w:sz w:val="24"/>
          <w:szCs w:val="24"/>
        </w:rPr>
        <w:lastRenderedPageBreak/>
        <w:t>urgencias que atraviesan estas personas LGTBIQNB+ en sus trayectorias vitales (Presentes, 2022). Puntualizamos en el carácter comunitario de los lazos qu</w:t>
      </w:r>
      <w:r>
        <w:rPr>
          <w:rFonts w:ascii="Times New Roman" w:eastAsia="Times New Roman" w:hAnsi="Times New Roman" w:cs="Times New Roman"/>
          <w:sz w:val="24"/>
          <w:szCs w:val="24"/>
        </w:rPr>
        <w:t xml:space="preserve">e construyen estas comunidades al interior de cada </w:t>
      </w:r>
      <w:r>
        <w:rPr>
          <w:rFonts w:ascii="Times New Roman" w:eastAsia="Times New Roman" w:hAnsi="Times New Roman" w:cs="Times New Roman"/>
          <w:i/>
          <w:sz w:val="24"/>
          <w:szCs w:val="24"/>
        </w:rPr>
        <w:t>house</w:t>
      </w:r>
      <w:r>
        <w:rPr>
          <w:rFonts w:ascii="Times New Roman" w:eastAsia="Times New Roman" w:hAnsi="Times New Roman" w:cs="Times New Roman"/>
          <w:sz w:val="24"/>
          <w:szCs w:val="24"/>
        </w:rPr>
        <w:t xml:space="preserve"> y en las distintas batallas de </w:t>
      </w:r>
      <w:r>
        <w:rPr>
          <w:rFonts w:ascii="Times New Roman" w:eastAsia="Times New Roman" w:hAnsi="Times New Roman" w:cs="Times New Roman"/>
          <w:i/>
          <w:sz w:val="24"/>
          <w:szCs w:val="24"/>
        </w:rPr>
        <w:t>voguing</w:t>
      </w:r>
      <w:r>
        <w:rPr>
          <w:rFonts w:ascii="Times New Roman" w:eastAsia="Times New Roman" w:hAnsi="Times New Roman" w:cs="Times New Roman"/>
          <w:sz w:val="24"/>
          <w:szCs w:val="24"/>
        </w:rPr>
        <w:t xml:space="preserve"> porque consideramos que allí es donde se configuran cuidados cotidianos. Un tipo particular de organización de cuidados que desafía la relación unilateral entre</w:t>
      </w:r>
      <w:r>
        <w:rPr>
          <w:rFonts w:ascii="Times New Roman" w:eastAsia="Times New Roman" w:hAnsi="Times New Roman" w:cs="Times New Roman"/>
          <w:sz w:val="24"/>
          <w:szCs w:val="24"/>
        </w:rPr>
        <w:t xml:space="preserve"> la persona que cuida y la que recibe cuidado (Martín Palomo y Venturiello, 2021), sostenido a menudo por esquemas familiares tradicionales. Este permite pensar estos cuidados desde una ética que entiende a todos los seres humanos como interdependientes e </w:t>
      </w:r>
      <w:r>
        <w:rPr>
          <w:rFonts w:ascii="Times New Roman" w:eastAsia="Times New Roman" w:hAnsi="Times New Roman" w:cs="Times New Roman"/>
          <w:sz w:val="24"/>
          <w:szCs w:val="24"/>
        </w:rPr>
        <w:t xml:space="preserve">involucrados en relaciones de cuidado (Venturiello, 2016). No sólo por la situación de vulnerabilidades que atraviesa, y de la que parten como experiencia común, estas comunidades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tanto individual como colectivamente, sino también por el carácter </w:t>
      </w:r>
      <w:r>
        <w:rPr>
          <w:rFonts w:ascii="Times New Roman" w:eastAsia="Times New Roman" w:hAnsi="Times New Roman" w:cs="Times New Roman"/>
          <w:sz w:val="24"/>
          <w:szCs w:val="24"/>
        </w:rPr>
        <w:t xml:space="preserve">comunitario desde el que construyen sus vínculos. </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organización de cuidados comunitarios de esta población adulta jóven en situación de vulnerabilidad tiene dimensiones materiales (gestión del cuidado), dimensiones simbólicas (pertenencia a una comunida</w:t>
      </w:r>
      <w:r>
        <w:rPr>
          <w:rFonts w:ascii="Times New Roman" w:eastAsia="Times New Roman" w:hAnsi="Times New Roman" w:cs="Times New Roman"/>
          <w:sz w:val="24"/>
          <w:szCs w:val="24"/>
        </w:rPr>
        <w:t>d) y dimensiones afectivas (lazos comunitarios). Estas distinciones tienen una utilidad fundamentalmente analítica, ya que en la realidad social aparecen interseccionadas constantemente. Las primeras hacen referencia a la gestión material que posibilita lo</w:t>
      </w:r>
      <w:r>
        <w:rPr>
          <w:rFonts w:ascii="Times New Roman" w:eastAsia="Times New Roman" w:hAnsi="Times New Roman" w:cs="Times New Roman"/>
          <w:sz w:val="24"/>
          <w:szCs w:val="24"/>
        </w:rPr>
        <w:t>s cuidados cotidianos. Las segundas puntualizan en los elementos culturales que contribuyen a la conformación de una identidad común. Y por último, las terceras remiten a aquellos componentes afectivos que intervienen en la configuración de sentidos colect</w:t>
      </w:r>
      <w:r>
        <w:rPr>
          <w:rFonts w:ascii="Times New Roman" w:eastAsia="Times New Roman" w:hAnsi="Times New Roman" w:cs="Times New Roman"/>
          <w:sz w:val="24"/>
          <w:szCs w:val="24"/>
        </w:rPr>
        <w:t xml:space="preserve">ivos alrededor de lo comunitario. </w:t>
      </w:r>
    </w:p>
    <w:p w:rsidR="00DA56E0" w:rsidRDefault="00DA56E0">
      <w:pPr>
        <w:spacing w:line="360" w:lineRule="auto"/>
        <w:jc w:val="both"/>
        <w:rPr>
          <w:rFonts w:ascii="Times New Roman" w:eastAsia="Times New Roman" w:hAnsi="Times New Roman" w:cs="Times New Roman"/>
          <w:sz w:val="24"/>
          <w:szCs w:val="24"/>
        </w:rPr>
      </w:pP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gestión del cuidado de las personas LGTBQINB+ pertenecientes a estos dos espacios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está condicionada por la situación de exclusiones que marca sus trayectorias vitales. En particular, la dificultad en el acces</w:t>
      </w:r>
      <w:r>
        <w:rPr>
          <w:rFonts w:ascii="Times New Roman" w:eastAsia="Times New Roman" w:hAnsi="Times New Roman" w:cs="Times New Roman"/>
          <w:sz w:val="24"/>
          <w:szCs w:val="24"/>
        </w:rPr>
        <w:t>o a la salud por parte de personas trans, travestis y no binarias, incluso en vigencia de la Ley 26.743 de identidad de género, propicia la articulación de redes profesionales, institucionales y de activismo para garantizar este derecho. El grupo Socio Bal</w:t>
      </w:r>
      <w:r>
        <w:rPr>
          <w:rFonts w:ascii="Times New Roman" w:eastAsia="Times New Roman" w:hAnsi="Times New Roman" w:cs="Times New Roman"/>
          <w:sz w:val="24"/>
          <w:szCs w:val="24"/>
        </w:rPr>
        <w:t>lroom surge en 2021 como una iniciativa de artivismo que busca visibilizar las problemáticas y vivencias del colectivo LGTBIQNB+ de la comunidad</w:t>
      </w:r>
      <w:r>
        <w:rPr>
          <w:rFonts w:ascii="Times New Roman" w:eastAsia="Times New Roman" w:hAnsi="Times New Roman" w:cs="Times New Roman"/>
          <w:i/>
          <w:sz w:val="24"/>
          <w:szCs w:val="24"/>
        </w:rPr>
        <w:t xml:space="preserve"> ballroom</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Según la madre de House of Tropikalia, uno de los objetivos es “crear espacios seguros a nivel salud</w:t>
      </w:r>
      <w:r>
        <w:rPr>
          <w:rFonts w:ascii="Times New Roman" w:eastAsia="Times New Roman" w:hAnsi="Times New Roman" w:cs="Times New Roman"/>
          <w:sz w:val="24"/>
          <w:szCs w:val="24"/>
        </w:rPr>
        <w:t xml:space="preserve"> y a nivel ESI a través de procesos de charlas” (Lotus, 2022). Esta grupalidad organiza talleres y </w:t>
      </w:r>
      <w:r>
        <w:rPr>
          <w:rFonts w:ascii="Times New Roman" w:eastAsia="Times New Roman" w:hAnsi="Times New Roman" w:cs="Times New Roman"/>
          <w:sz w:val="24"/>
          <w:szCs w:val="24"/>
        </w:rPr>
        <w:lastRenderedPageBreak/>
        <w:t>charlas de sensibilización sobre salud sexual integral a partir de la articulación con efectores de salud (como el Hospital Bonaparte) y otras agencias estat</w:t>
      </w:r>
      <w:r>
        <w:rPr>
          <w:rFonts w:ascii="Times New Roman" w:eastAsia="Times New Roman" w:hAnsi="Times New Roman" w:cs="Times New Roman"/>
          <w:sz w:val="24"/>
          <w:szCs w:val="24"/>
        </w:rPr>
        <w:t>ales (Centros de Acceso a la Justicia) para facilitar el derecho a la información en virtud del marco normativo de derechos vigente. Asimismo, estas iniciativas contribuyen con estrategias propias, aunque no exclusivas, de la comunidad travesti trans vincu</w:t>
      </w:r>
      <w:r>
        <w:rPr>
          <w:rFonts w:ascii="Times New Roman" w:eastAsia="Times New Roman" w:hAnsi="Times New Roman" w:cs="Times New Roman"/>
          <w:sz w:val="24"/>
          <w:szCs w:val="24"/>
        </w:rPr>
        <w:t xml:space="preserve">ladas a construir una red de efectores de salud “amigables” como el armado de recurseros y el ‘boca en boca’ (Millet, 2020). Esta movilización de recursos a partir de redes de contactos promueve el mejoramiento en las condiciones de accesibilidad (Comes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2006) de estas comunidades. </w:t>
      </w: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a los elementos marcadamente simbólicos de los cuidados cotidianos que movilizan estas comunidades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la construcción de otros arreglos familiares (Salinas Quiroz y Costa, 2018), distintos al esquema t</w:t>
      </w:r>
      <w:r>
        <w:rPr>
          <w:rFonts w:ascii="Times New Roman" w:eastAsia="Times New Roman" w:hAnsi="Times New Roman" w:cs="Times New Roman"/>
          <w:sz w:val="24"/>
          <w:szCs w:val="24"/>
        </w:rPr>
        <w:t xml:space="preserve">radicional de familia nuclear, resulta fundamental. En las competencias de </w:t>
      </w:r>
      <w:r>
        <w:rPr>
          <w:rFonts w:ascii="Times New Roman" w:eastAsia="Times New Roman" w:hAnsi="Times New Roman" w:cs="Times New Roman"/>
          <w:i/>
          <w:sz w:val="24"/>
          <w:szCs w:val="24"/>
        </w:rPr>
        <w:t>voguing</w:t>
      </w:r>
      <w:r>
        <w:rPr>
          <w:rFonts w:ascii="Times New Roman" w:eastAsia="Times New Roman" w:hAnsi="Times New Roman" w:cs="Times New Roman"/>
          <w:sz w:val="24"/>
          <w:szCs w:val="24"/>
        </w:rPr>
        <w:t>, por un lado, existe un vínculo importante entre la fantasía actuada en la performance y la transmisión de un mensaje alrededor de una identidad común. Así es que el lema cr</w:t>
      </w:r>
      <w:r>
        <w:rPr>
          <w:rFonts w:ascii="Times New Roman" w:eastAsia="Times New Roman" w:hAnsi="Times New Roman" w:cs="Times New Roman"/>
          <w:sz w:val="24"/>
          <w:szCs w:val="24"/>
        </w:rPr>
        <w:t xml:space="preserve">eado por una integrante de Socio Ballroom, “no es tu espectáculo es nuestra disidencia”, viene a reconstruir la performance del </w:t>
      </w:r>
      <w:r>
        <w:rPr>
          <w:rFonts w:ascii="Times New Roman" w:eastAsia="Times New Roman" w:hAnsi="Times New Roman" w:cs="Times New Roman"/>
          <w:i/>
          <w:sz w:val="24"/>
          <w:szCs w:val="24"/>
        </w:rPr>
        <w:t>voguing</w:t>
      </w:r>
      <w:r>
        <w:rPr>
          <w:rFonts w:ascii="Times New Roman" w:eastAsia="Times New Roman" w:hAnsi="Times New Roman" w:cs="Times New Roman"/>
          <w:sz w:val="24"/>
          <w:szCs w:val="24"/>
        </w:rPr>
        <w:t xml:space="preserve"> como una política del gesto (Muñoz, 2020); aquella que intenta desmarcarse del estigma asociado a la banalidad de la fie</w:t>
      </w:r>
      <w:r>
        <w:rPr>
          <w:rFonts w:ascii="Times New Roman" w:eastAsia="Times New Roman" w:hAnsi="Times New Roman" w:cs="Times New Roman"/>
          <w:sz w:val="24"/>
          <w:szCs w:val="24"/>
        </w:rPr>
        <w:t>sta y la transforma en un mensaje de autoafirmación sexo genérica y racial. En este sentido, podemos pensar las acciones detrás de esta consigna como una apuesta por trascender la dicotomía fiesta/protesta de las políticas de visibilidad desplegadas por el</w:t>
      </w:r>
      <w:r>
        <w:rPr>
          <w:rFonts w:ascii="Times New Roman" w:eastAsia="Times New Roman" w:hAnsi="Times New Roman" w:cs="Times New Roman"/>
          <w:sz w:val="24"/>
          <w:szCs w:val="24"/>
        </w:rPr>
        <w:t xml:space="preserve"> activismo académico y territorial de la diversidad sexual desde la década de 1980 en Argentina (Bellucci y Rapisardi, 2001). Las categorías de baile, que estructuran los criterios de las competencias, se amplían en función del interés político por incluir</w:t>
      </w:r>
      <w:r>
        <w:rPr>
          <w:rFonts w:ascii="Times New Roman" w:eastAsia="Times New Roman" w:hAnsi="Times New Roman" w:cs="Times New Roman"/>
          <w:sz w:val="24"/>
          <w:szCs w:val="24"/>
        </w:rPr>
        <w:t xml:space="preserve"> y hacer partícipe a una mayor cantidad de personas en su celebración. Por ejemplo, el </w:t>
      </w:r>
      <w:r>
        <w:rPr>
          <w:rFonts w:ascii="Times New Roman" w:eastAsia="Times New Roman" w:hAnsi="Times New Roman" w:cs="Times New Roman"/>
          <w:i/>
          <w:sz w:val="24"/>
          <w:szCs w:val="24"/>
        </w:rPr>
        <w:t>vogue femme</w:t>
      </w:r>
      <w:r>
        <w:rPr>
          <w:rFonts w:ascii="Times New Roman" w:eastAsia="Times New Roman" w:hAnsi="Times New Roman" w:cs="Times New Roman"/>
          <w:sz w:val="24"/>
          <w:szCs w:val="24"/>
        </w:rPr>
        <w:t xml:space="preserve"> es una categoría que requiere condición física, coordinación y expresión corporal pero sobre todo es una técnica que cuenta historias. Una de ellas fue cuand</w:t>
      </w:r>
      <w:r>
        <w:rPr>
          <w:rFonts w:ascii="Times New Roman" w:eastAsia="Times New Roman" w:hAnsi="Times New Roman" w:cs="Times New Roman"/>
          <w:sz w:val="24"/>
          <w:szCs w:val="24"/>
        </w:rPr>
        <w:t xml:space="preserve">o en 1979 la </w:t>
      </w:r>
      <w:r>
        <w:rPr>
          <w:rFonts w:ascii="Times New Roman" w:eastAsia="Times New Roman" w:hAnsi="Times New Roman" w:cs="Times New Roman"/>
          <w:i/>
          <w:sz w:val="24"/>
          <w:szCs w:val="24"/>
        </w:rPr>
        <w:t>drag queen</w:t>
      </w:r>
      <w:r>
        <w:rPr>
          <w:rFonts w:ascii="Times New Roman" w:eastAsia="Times New Roman" w:hAnsi="Times New Roman" w:cs="Times New Roman"/>
          <w:sz w:val="24"/>
          <w:szCs w:val="24"/>
        </w:rPr>
        <w:t xml:space="preserve"> París Dupree comienza a imitar las poses de modelos de alta costura tirando </w:t>
      </w:r>
      <w:r>
        <w:rPr>
          <w:rFonts w:ascii="Times New Roman" w:eastAsia="Times New Roman" w:hAnsi="Times New Roman" w:cs="Times New Roman"/>
          <w:i/>
          <w:sz w:val="24"/>
          <w:szCs w:val="24"/>
        </w:rPr>
        <w:t>shade</w:t>
      </w:r>
      <w:r>
        <w:rPr>
          <w:rFonts w:ascii="Times New Roman" w:eastAsia="Times New Roman" w:hAnsi="Times New Roman" w:cs="Times New Roman"/>
          <w:sz w:val="24"/>
          <w:szCs w:val="24"/>
        </w:rPr>
        <w:t>, es decir, burlando el carácter hegemónico que representan y reapropiando su estética.</w:t>
      </w: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Imágen 2:</w:t>
      </w: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114300" distB="114300" distL="114300" distR="114300">
            <wp:extent cx="5312218" cy="35385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12218" cy="3538538"/>
                    </a:xfrm>
                    <a:prstGeom prst="rect">
                      <a:avLst/>
                    </a:prstGeom>
                    <a:ln/>
                  </pic:spPr>
                </pic:pic>
              </a:graphicData>
            </a:graphic>
          </wp:inline>
        </w:drawing>
      </w:r>
    </w:p>
    <w:p w:rsidR="00DA56E0" w:rsidRDefault="00D361C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 truque (arreglo estético y corporal) referido a </w:t>
      </w:r>
      <w:r>
        <w:rPr>
          <w:rFonts w:ascii="Times New Roman" w:eastAsia="Times New Roman" w:hAnsi="Times New Roman" w:cs="Times New Roman"/>
          <w:sz w:val="20"/>
          <w:szCs w:val="20"/>
        </w:rPr>
        <w:t>la demanda por la legalización del aborto en una fiesta Turbo en 2018</w:t>
      </w:r>
    </w:p>
    <w:p w:rsidR="00DA56E0" w:rsidRDefault="00D361C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Fuente: Turbo Ballroom</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en el ámbito acotado de las </w:t>
      </w:r>
      <w:r>
        <w:rPr>
          <w:rFonts w:ascii="Times New Roman" w:eastAsia="Times New Roman" w:hAnsi="Times New Roman" w:cs="Times New Roman"/>
          <w:i/>
          <w:sz w:val="24"/>
          <w:szCs w:val="24"/>
        </w:rPr>
        <w:t>houses</w:t>
      </w:r>
      <w:r>
        <w:rPr>
          <w:rFonts w:ascii="Times New Roman" w:eastAsia="Times New Roman" w:hAnsi="Times New Roman" w:cs="Times New Roman"/>
          <w:sz w:val="24"/>
          <w:szCs w:val="24"/>
        </w:rPr>
        <w:t xml:space="preserve"> u otras grupalidades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predomina la configuración de lazos de reciprocidad a través de roles familiares co</w:t>
      </w:r>
      <w:r>
        <w:rPr>
          <w:rFonts w:ascii="Times New Roman" w:eastAsia="Times New Roman" w:hAnsi="Times New Roman" w:cs="Times New Roman"/>
          <w:sz w:val="24"/>
          <w:szCs w:val="24"/>
        </w:rPr>
        <w:t>mo el de madre, padre, xadre e hijes. Una de sus integrantes enfatiza sobre la dimensión comunitaria de la pertenencia a las casas al afirmar que en estos espacios comparten distintas etapas de sus trayectorias vitales en tanto encuentros de una vida en co</w:t>
      </w:r>
      <w:r>
        <w:rPr>
          <w:rFonts w:ascii="Times New Roman" w:eastAsia="Times New Roman" w:hAnsi="Times New Roman" w:cs="Times New Roman"/>
          <w:sz w:val="24"/>
          <w:szCs w:val="24"/>
        </w:rPr>
        <w:t xml:space="preserve">mún (Lotus, 2022). Asimismo, otro elemento que contribuye a delimitar una identidad común es el ejercicio de reconstrucción y permanente afinidad que plantean estas comunidades locales que aquí analizamos con una cultura política más amplia, la del </w:t>
      </w:r>
      <w:r>
        <w:rPr>
          <w:rFonts w:ascii="Times New Roman" w:eastAsia="Times New Roman" w:hAnsi="Times New Roman" w:cs="Times New Roman"/>
          <w:i/>
          <w:sz w:val="24"/>
          <w:szCs w:val="24"/>
        </w:rPr>
        <w:t>ballroo</w:t>
      </w:r>
      <w:r>
        <w:rPr>
          <w:rFonts w:ascii="Times New Roman" w:eastAsia="Times New Roman" w:hAnsi="Times New Roman" w:cs="Times New Roman"/>
          <w:i/>
          <w:sz w:val="24"/>
          <w:szCs w:val="24"/>
        </w:rPr>
        <w:t xml:space="preserve">m </w:t>
      </w:r>
      <w:r>
        <w:rPr>
          <w:rFonts w:ascii="Times New Roman" w:eastAsia="Times New Roman" w:hAnsi="Times New Roman" w:cs="Times New Roman"/>
          <w:sz w:val="24"/>
          <w:szCs w:val="24"/>
        </w:rPr>
        <w:t xml:space="preserve">(Presentes, 2022). Su constante esfuerzo por vincular la potencia de la performance del </w:t>
      </w:r>
      <w:r>
        <w:rPr>
          <w:rFonts w:ascii="Times New Roman" w:eastAsia="Times New Roman" w:hAnsi="Times New Roman" w:cs="Times New Roman"/>
          <w:i/>
          <w:sz w:val="24"/>
          <w:szCs w:val="24"/>
        </w:rPr>
        <w:t>voguing</w:t>
      </w:r>
      <w:r>
        <w:rPr>
          <w:rFonts w:ascii="Times New Roman" w:eastAsia="Times New Roman" w:hAnsi="Times New Roman" w:cs="Times New Roman"/>
          <w:sz w:val="24"/>
          <w:szCs w:val="24"/>
        </w:rPr>
        <w:t xml:space="preserve"> con un conjunto de luchas históricas referidas al surgimiento del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que la teoría </w:t>
      </w:r>
      <w:r>
        <w:rPr>
          <w:rFonts w:ascii="Times New Roman" w:eastAsia="Times New Roman" w:hAnsi="Times New Roman" w:cs="Times New Roman"/>
          <w:i/>
          <w:sz w:val="24"/>
          <w:szCs w:val="24"/>
        </w:rPr>
        <w:t xml:space="preserve">queer </w:t>
      </w:r>
      <w:r>
        <w:rPr>
          <w:rFonts w:ascii="Times New Roman" w:eastAsia="Times New Roman" w:hAnsi="Times New Roman" w:cs="Times New Roman"/>
          <w:sz w:val="24"/>
          <w:szCs w:val="24"/>
        </w:rPr>
        <w:t>o cuir nos y les permite articular (Delfino y Rapisardi, 2010).</w:t>
      </w:r>
      <w:r>
        <w:rPr>
          <w:rFonts w:ascii="Times New Roman" w:eastAsia="Times New Roman" w:hAnsi="Times New Roman" w:cs="Times New Roman"/>
          <w:sz w:val="24"/>
          <w:szCs w:val="24"/>
        </w:rPr>
        <w:t xml:space="preserve"> Sobre esto, y para dar pie a las dimensiones afectivas de estos cuidados cotidianos, nos interesa traer el conjunto de aportes de los estudios en torno al </w:t>
      </w:r>
      <w:r>
        <w:rPr>
          <w:rFonts w:ascii="Times New Roman" w:eastAsia="Times New Roman" w:hAnsi="Times New Roman" w:cs="Times New Roman"/>
          <w:i/>
          <w:sz w:val="24"/>
          <w:szCs w:val="24"/>
        </w:rPr>
        <w:t>giro afectivo</w:t>
      </w:r>
      <w:r>
        <w:rPr>
          <w:rFonts w:ascii="Times New Roman" w:eastAsia="Times New Roman" w:hAnsi="Times New Roman" w:cs="Times New Roman"/>
          <w:sz w:val="24"/>
          <w:szCs w:val="24"/>
        </w:rPr>
        <w:t xml:space="preserve"> (Macón, 2013; Cvetkovich, 2018; Berlant, 2020) para analizar: a) la perspectiva geneal</w:t>
      </w:r>
      <w:r>
        <w:rPr>
          <w:rFonts w:ascii="Times New Roman" w:eastAsia="Times New Roman" w:hAnsi="Times New Roman" w:cs="Times New Roman"/>
          <w:sz w:val="24"/>
          <w:szCs w:val="24"/>
        </w:rPr>
        <w:t xml:space="preserve">ógica que despliegan con el objetivo de vincular su pasado y su presente desde una temporalidad </w:t>
      </w:r>
      <w:r>
        <w:rPr>
          <w:rFonts w:ascii="Times New Roman" w:eastAsia="Times New Roman" w:hAnsi="Times New Roman" w:cs="Times New Roman"/>
          <w:i/>
          <w:sz w:val="24"/>
          <w:szCs w:val="24"/>
        </w:rPr>
        <w:t>queer</w:t>
      </w:r>
      <w:r>
        <w:rPr>
          <w:rFonts w:ascii="Times New Roman" w:eastAsia="Times New Roman" w:hAnsi="Times New Roman" w:cs="Times New Roman"/>
          <w:sz w:val="24"/>
          <w:szCs w:val="24"/>
        </w:rPr>
        <w:t xml:space="preserve"> y b) los afectos ya no como estados psicológicos sino como prácticas sociales y culturales (Ahmed, 2015) que intervienen en la configuración de sus cuidad</w:t>
      </w:r>
      <w:r>
        <w:rPr>
          <w:rFonts w:ascii="Times New Roman" w:eastAsia="Times New Roman" w:hAnsi="Times New Roman" w:cs="Times New Roman"/>
          <w:sz w:val="24"/>
          <w:szCs w:val="24"/>
        </w:rPr>
        <w:t xml:space="preserve">os cotidianos e identidades colectivas. </w:t>
      </w:r>
    </w:p>
    <w:p w:rsidR="00DA56E0" w:rsidRDefault="00DA56E0">
      <w:pPr>
        <w:spacing w:line="360" w:lineRule="auto"/>
        <w:jc w:val="both"/>
        <w:rPr>
          <w:rFonts w:ascii="Times New Roman" w:eastAsia="Times New Roman" w:hAnsi="Times New Roman" w:cs="Times New Roman"/>
          <w:sz w:val="24"/>
          <w:szCs w:val="24"/>
        </w:rPr>
      </w:pP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ballroom es activismo afectivo, es militar el afecto”, lo destaca una de las fundadoras de Socio Ballroom. Según Laurent Tropikalia, el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es un espacio donde entrenar el cuerpo es importante para crecer </w:t>
      </w:r>
      <w:r>
        <w:rPr>
          <w:rFonts w:ascii="Times New Roman" w:eastAsia="Times New Roman" w:hAnsi="Times New Roman" w:cs="Times New Roman"/>
          <w:sz w:val="24"/>
          <w:szCs w:val="24"/>
        </w:rPr>
        <w:t xml:space="preserve">y hacerlo desde el amor para trabajar tus vínculos resulta fundamental (Presentes, 2022). En este sentido, podemos interpretar a los afectos como actores clave en la construcción de comunidades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por dos motivos: primero porque constituyen un ejerci</w:t>
      </w:r>
      <w:r>
        <w:rPr>
          <w:rFonts w:ascii="Times New Roman" w:eastAsia="Times New Roman" w:hAnsi="Times New Roman" w:cs="Times New Roman"/>
          <w:sz w:val="24"/>
          <w:szCs w:val="24"/>
        </w:rPr>
        <w:t>cio de reflexión y reconfiguración colectiva de los vínculos pasados y presentes que conforman la cultura ballroom, y segundo porque representan las investiduras de sentido en torno a la gestión de sus cuidados cotidianos. Dicho de otro modo, los afectos i</w:t>
      </w:r>
      <w:r>
        <w:rPr>
          <w:rFonts w:ascii="Times New Roman" w:eastAsia="Times New Roman" w:hAnsi="Times New Roman" w:cs="Times New Roman"/>
          <w:sz w:val="24"/>
          <w:szCs w:val="24"/>
        </w:rPr>
        <w:t xml:space="preserve">ntervienen en el desarrollo de una perspectiva genealógica, que deviene en reservorio de historias y también de futuridades </w:t>
      </w:r>
      <w:r>
        <w:rPr>
          <w:rFonts w:ascii="Times New Roman" w:eastAsia="Times New Roman" w:hAnsi="Times New Roman" w:cs="Times New Roman"/>
          <w:i/>
          <w:sz w:val="24"/>
          <w:szCs w:val="24"/>
        </w:rPr>
        <w:t>queer</w:t>
      </w:r>
      <w:r>
        <w:rPr>
          <w:rFonts w:ascii="Times New Roman" w:eastAsia="Times New Roman" w:hAnsi="Times New Roman" w:cs="Times New Roman"/>
          <w:sz w:val="24"/>
          <w:szCs w:val="24"/>
        </w:rPr>
        <w:t xml:space="preserve"> (Muñoz, 2020), a la vez que conforman experiencias de organización comunitaria de cuidados de estas comunidades. A partir de l</w:t>
      </w:r>
      <w:r>
        <w:rPr>
          <w:rFonts w:ascii="Times New Roman" w:eastAsia="Times New Roman" w:hAnsi="Times New Roman" w:cs="Times New Roman"/>
          <w:sz w:val="24"/>
          <w:szCs w:val="24"/>
        </w:rPr>
        <w:t>o expuesto hasta el momento, presentamos los siguientes hallazgos:</w:t>
      </w:r>
    </w:p>
    <w:p w:rsidR="00DA56E0" w:rsidRDefault="00DA56E0">
      <w:pPr>
        <w:spacing w:line="360" w:lineRule="auto"/>
        <w:jc w:val="both"/>
        <w:rPr>
          <w:rFonts w:ascii="Times New Roman" w:eastAsia="Times New Roman" w:hAnsi="Times New Roman" w:cs="Times New Roman"/>
          <w:sz w:val="24"/>
          <w:szCs w:val="24"/>
        </w:rPr>
      </w:pPr>
    </w:p>
    <w:p w:rsidR="00DA56E0" w:rsidRDefault="00D361C0">
      <w:pPr>
        <w:numPr>
          <w:ilvl w:val="0"/>
          <w:numId w:val="1"/>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organización de los entrenamientos de</w:t>
      </w:r>
      <w:r>
        <w:rPr>
          <w:rFonts w:ascii="Times New Roman" w:eastAsia="Times New Roman" w:hAnsi="Times New Roman" w:cs="Times New Roman"/>
          <w:i/>
          <w:sz w:val="24"/>
          <w:szCs w:val="24"/>
        </w:rPr>
        <w:t xml:space="preserve"> ballroom</w:t>
      </w:r>
      <w:r>
        <w:rPr>
          <w:rFonts w:ascii="Times New Roman" w:eastAsia="Times New Roman" w:hAnsi="Times New Roman" w:cs="Times New Roman"/>
          <w:sz w:val="24"/>
          <w:szCs w:val="24"/>
        </w:rPr>
        <w:t xml:space="preserve"> y de sus performances en ámbitos públicos (plazas y centros culturales) como una transformación en su política de visibilidad</w:t>
      </w:r>
    </w:p>
    <w:p w:rsidR="00DA56E0" w:rsidRDefault="00D361C0">
      <w:pPr>
        <w:numPr>
          <w:ilvl w:val="0"/>
          <w:numId w:val="1"/>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enojo com</w:t>
      </w:r>
      <w:r>
        <w:rPr>
          <w:rFonts w:ascii="Times New Roman" w:eastAsia="Times New Roman" w:hAnsi="Times New Roman" w:cs="Times New Roman"/>
          <w:sz w:val="24"/>
          <w:szCs w:val="24"/>
        </w:rPr>
        <w:t>o una práctica fundante de la cultura ballroom estadounidense frente a la situación de vulnerabilidades y discriminación marcada por el racismo y la heteronormatividad; y en nuestro escenario local, hacia quienes además atraviesan experiencias de migración</w:t>
      </w:r>
    </w:p>
    <w:p w:rsidR="00DA56E0" w:rsidRDefault="00D361C0">
      <w:pPr>
        <w:numPr>
          <w:ilvl w:val="0"/>
          <w:numId w:val="1"/>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afectos como articuladores de experiencias en el proceso de reconstrucción de genealogías </w:t>
      </w:r>
      <w:r>
        <w:rPr>
          <w:rFonts w:ascii="Times New Roman" w:eastAsia="Times New Roman" w:hAnsi="Times New Roman" w:cs="Times New Roman"/>
          <w:i/>
          <w:sz w:val="24"/>
          <w:szCs w:val="24"/>
        </w:rPr>
        <w:t xml:space="preserve">queer </w:t>
      </w:r>
      <w:r>
        <w:rPr>
          <w:rFonts w:ascii="Times New Roman" w:eastAsia="Times New Roman" w:hAnsi="Times New Roman" w:cs="Times New Roman"/>
          <w:sz w:val="24"/>
          <w:szCs w:val="24"/>
        </w:rPr>
        <w:t>(la gloria, el amor, la vergüenza, el miedo)</w:t>
      </w:r>
    </w:p>
    <w:p w:rsidR="00DA56E0" w:rsidRDefault="00D361C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afectos como herramientas para dar cuenta del lazo comunitario que configura los cuidados cotidianos de estas comunidades </w:t>
      </w:r>
      <w:r>
        <w:rPr>
          <w:rFonts w:ascii="Times New Roman" w:eastAsia="Times New Roman" w:hAnsi="Times New Roman" w:cs="Times New Roman"/>
          <w:i/>
          <w:sz w:val="24"/>
          <w:szCs w:val="24"/>
        </w:rPr>
        <w:t>ballroom</w:t>
      </w:r>
    </w:p>
    <w:p w:rsidR="00DA56E0" w:rsidRDefault="00DA56E0">
      <w:pPr>
        <w:spacing w:line="360" w:lineRule="auto"/>
        <w:jc w:val="both"/>
        <w:rPr>
          <w:rFonts w:ascii="Times New Roman" w:eastAsia="Times New Roman" w:hAnsi="Times New Roman" w:cs="Times New Roman"/>
          <w:i/>
          <w:sz w:val="24"/>
          <w:szCs w:val="24"/>
        </w:rPr>
      </w:pP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Consideramos que la teoría de los afectos antes expuesta constituye una buena perspectiva de análisis para el actual tem</w:t>
      </w:r>
      <w:r>
        <w:rPr>
          <w:rFonts w:ascii="Times New Roman" w:eastAsia="Times New Roman" w:hAnsi="Times New Roman" w:cs="Times New Roman"/>
          <w:sz w:val="24"/>
          <w:szCs w:val="24"/>
        </w:rPr>
        <w:t>a de investigación porque desarrolla un trabajo crítico alrededor de un conjunto de binomios: interior/exterior, público/privado, acción/pasión. Además, nos ayuda a revisar cuestiones tales como la agencia y la relación entre el presente y el pasado (Macón</w:t>
      </w:r>
      <w:r>
        <w:rPr>
          <w:rFonts w:ascii="Times New Roman" w:eastAsia="Times New Roman" w:hAnsi="Times New Roman" w:cs="Times New Roman"/>
          <w:sz w:val="24"/>
          <w:szCs w:val="24"/>
        </w:rPr>
        <w:t xml:space="preserve">, 2013). En particular, contribuye a pensar los afectos más allá de su dimensión interior, y por </w:t>
      </w:r>
      <w:r>
        <w:rPr>
          <w:rFonts w:ascii="Times New Roman" w:eastAsia="Times New Roman" w:hAnsi="Times New Roman" w:cs="Times New Roman"/>
          <w:sz w:val="24"/>
          <w:szCs w:val="24"/>
        </w:rPr>
        <w:lastRenderedPageBreak/>
        <w:t>ende individual y pasiva, y a deslocalizar los cuidados por fuera de la materialidad del hogar, del ámbito doméstico. A su vez, su capacidad articuladora de ex</w:t>
      </w:r>
      <w:r>
        <w:rPr>
          <w:rFonts w:ascii="Times New Roman" w:eastAsia="Times New Roman" w:hAnsi="Times New Roman" w:cs="Times New Roman"/>
          <w:sz w:val="24"/>
          <w:szCs w:val="24"/>
        </w:rPr>
        <w:t>periencias y de luchas históricas, potenciada por los aportes de la teoría queer, permite recuperar la reconstrucción genealógica de sus historias no sólo como metodología sino también como archivo de sentimientos (Cvetkovich, 2018).</w:t>
      </w:r>
    </w:p>
    <w:p w:rsidR="00DA56E0" w:rsidRDefault="00DA56E0">
      <w:pPr>
        <w:spacing w:line="360" w:lineRule="auto"/>
        <w:jc w:val="both"/>
        <w:rPr>
          <w:rFonts w:ascii="Times New Roman" w:eastAsia="Times New Roman" w:hAnsi="Times New Roman" w:cs="Times New Roman"/>
          <w:sz w:val="24"/>
          <w:szCs w:val="24"/>
        </w:rPr>
      </w:pPr>
    </w:p>
    <w:p w:rsidR="00DA56E0" w:rsidRDefault="00D361C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Conclusiones</w:t>
      </w:r>
    </w:p>
    <w:p w:rsidR="00DA56E0" w:rsidRDefault="00DA56E0">
      <w:pPr>
        <w:spacing w:line="360" w:lineRule="auto"/>
        <w:jc w:val="both"/>
        <w:rPr>
          <w:rFonts w:ascii="Times New Roman" w:eastAsia="Times New Roman" w:hAnsi="Times New Roman" w:cs="Times New Roman"/>
          <w:sz w:val="24"/>
          <w:szCs w:val="24"/>
        </w:rPr>
      </w:pPr>
    </w:p>
    <w:p w:rsidR="00DA56E0" w:rsidRDefault="00D361C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presente ponencia constituyó una primera aproximación analítica en torno al vínculo entre cuidados y población LGTBIQNB+, en particular sobre los cuidados cotidianos que movilizan dos comunidades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de Ciudad Autónoma de Buenos Aires. De esta mane</w:t>
      </w:r>
      <w:r>
        <w:rPr>
          <w:rFonts w:ascii="Times New Roman" w:eastAsia="Times New Roman" w:hAnsi="Times New Roman" w:cs="Times New Roman"/>
          <w:sz w:val="24"/>
          <w:szCs w:val="24"/>
        </w:rPr>
        <w:t>ra, frente a la situación de vulnerabilidades y discriminación por su condición sexo genérica, de clase y experiencia migrante esta población LGTBIQNB+ perteneciente a la escena ballroom local organiza sus cuidados en torno a la idea de comunidad o “famili</w:t>
      </w:r>
      <w:r>
        <w:rPr>
          <w:rFonts w:ascii="Times New Roman" w:eastAsia="Times New Roman" w:hAnsi="Times New Roman" w:cs="Times New Roman"/>
          <w:sz w:val="24"/>
          <w:szCs w:val="24"/>
        </w:rPr>
        <w:t>a de elección” (Donoso, 2002). A su vez, comenzamos por presentar esos cuidados a través de sus dimensiones materiales, simbólicas y afectivas en función de un relevamiento de fuentes secundarias tales como entrevistas de otras personas realizadas a integr</w:t>
      </w:r>
      <w:r>
        <w:rPr>
          <w:rFonts w:ascii="Times New Roman" w:eastAsia="Times New Roman" w:hAnsi="Times New Roman" w:cs="Times New Roman"/>
          <w:sz w:val="24"/>
          <w:szCs w:val="24"/>
        </w:rPr>
        <w:t xml:space="preserve">antes de estas comunidades, memorias institucionales, artículos periodísticos y archivos audiovisuales. Si bien en los últimos cinco años las comunidades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comenzaron a sistematizar información sobre su historia e incipiente desarrollo local, existe</w:t>
      </w:r>
      <w:r>
        <w:rPr>
          <w:rFonts w:ascii="Times New Roman" w:eastAsia="Times New Roman" w:hAnsi="Times New Roman" w:cs="Times New Roman"/>
          <w:sz w:val="24"/>
          <w:szCs w:val="24"/>
        </w:rPr>
        <w:t xml:space="preserve"> poca producción académica sobre la temática. </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Propusimos los aportes articulados alrededor de lo que se ha dado en llamar </w:t>
      </w:r>
      <w:r>
        <w:rPr>
          <w:rFonts w:ascii="Times New Roman" w:eastAsia="Times New Roman" w:hAnsi="Times New Roman" w:cs="Times New Roman"/>
          <w:i/>
          <w:sz w:val="24"/>
          <w:szCs w:val="24"/>
        </w:rPr>
        <w:t>giro afectivo</w:t>
      </w:r>
      <w:r>
        <w:rPr>
          <w:rFonts w:ascii="Times New Roman" w:eastAsia="Times New Roman" w:hAnsi="Times New Roman" w:cs="Times New Roman"/>
          <w:sz w:val="24"/>
          <w:szCs w:val="24"/>
        </w:rPr>
        <w:t xml:space="preserve"> y los debates en torno a las políticas de visibilidad porque constituyen herramientas útiles para analizar los espacios</w:t>
      </w:r>
      <w:r>
        <w:rPr>
          <w:rFonts w:ascii="Times New Roman" w:eastAsia="Times New Roman" w:hAnsi="Times New Roman" w:cs="Times New Roman"/>
          <w:sz w:val="24"/>
          <w:szCs w:val="24"/>
        </w:rPr>
        <w:t xml:space="preserve"> y casas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xml:space="preserve"> como espacios no estatales en donde se organizan cuidados comunitarios. Un tipo particular de cuidados entre personas LGTBIQNB+ adultas jóvenes en situación de vulnerabilidad en el que entendemos los cuidados más allá de la relación unila</w:t>
      </w:r>
      <w:r>
        <w:rPr>
          <w:rFonts w:ascii="Times New Roman" w:eastAsia="Times New Roman" w:hAnsi="Times New Roman" w:cs="Times New Roman"/>
          <w:sz w:val="24"/>
          <w:szCs w:val="24"/>
        </w:rPr>
        <w:t>teral entre la persona que cuida y la que recibe cuidado (Martín Palomo y Venturiello, 2021). El papel de los afectos y las políticas de visibilidad nos permiten analizar los cuidados comunitarios de esta población en donde se producen procesos de politiza</w:t>
      </w:r>
      <w:r>
        <w:rPr>
          <w:rFonts w:ascii="Times New Roman" w:eastAsia="Times New Roman" w:hAnsi="Times New Roman" w:cs="Times New Roman"/>
          <w:sz w:val="24"/>
          <w:szCs w:val="24"/>
        </w:rPr>
        <w:t>ción.</w:t>
      </w:r>
    </w:p>
    <w:p w:rsidR="00DA56E0" w:rsidRDefault="00DA56E0">
      <w:pPr>
        <w:spacing w:line="360" w:lineRule="auto"/>
        <w:jc w:val="both"/>
        <w:rPr>
          <w:rFonts w:ascii="Times New Roman" w:eastAsia="Times New Roman" w:hAnsi="Times New Roman" w:cs="Times New Roman"/>
          <w:sz w:val="24"/>
          <w:szCs w:val="24"/>
        </w:rPr>
      </w:pP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“pasar de competir en fiestas privadas a hacerlo en plazas, centros y espacios político-culturales implicó un proceso de politización de las comunidades </w:t>
      </w:r>
      <w:r>
        <w:rPr>
          <w:rFonts w:ascii="Times New Roman" w:eastAsia="Times New Roman" w:hAnsi="Times New Roman" w:cs="Times New Roman"/>
          <w:i/>
          <w:sz w:val="24"/>
          <w:szCs w:val="24"/>
        </w:rPr>
        <w:t>ballroom</w:t>
      </w: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lo kiki es la parte más activista de la cultura ballroom”, “la idea es abrir el espa</w:t>
      </w:r>
      <w:r>
        <w:rPr>
          <w:rFonts w:ascii="Times New Roman" w:eastAsia="Times New Roman" w:hAnsi="Times New Roman" w:cs="Times New Roman"/>
          <w:sz w:val="24"/>
          <w:szCs w:val="24"/>
          <w:highlight w:val="white"/>
        </w:rPr>
        <w:t xml:space="preserve">cio de la competencia a personas </w:t>
      </w:r>
      <w:r>
        <w:rPr>
          <w:rFonts w:ascii="Times New Roman" w:eastAsia="Times New Roman" w:hAnsi="Times New Roman" w:cs="Times New Roman"/>
          <w:sz w:val="24"/>
          <w:szCs w:val="24"/>
          <w:highlight w:val="white"/>
        </w:rPr>
        <w:lastRenderedPageBreak/>
        <w:t>jóvenes, es la creación de acciones permanente de respuesta al VIH e ITS; acceso a la salud y acciones comunitarias sobre derechos humanos”, “[ser madre] es crear vínculos desde la empatía como un superpoder que viene acomp</w:t>
      </w:r>
      <w:r>
        <w:rPr>
          <w:rFonts w:ascii="Times New Roman" w:eastAsia="Times New Roman" w:hAnsi="Times New Roman" w:cs="Times New Roman"/>
          <w:sz w:val="24"/>
          <w:szCs w:val="24"/>
          <w:highlight w:val="white"/>
        </w:rPr>
        <w:t xml:space="preserve">añado de solidaridad para visibilizar las luchas e identificar también nuestros privilegios”, “nosotres somos familia también, retorcemos la idea de familia. Yo soy madre, pero también una marica, ahí hay una fuga y una forma de resistencia”, </w:t>
      </w:r>
      <w:r>
        <w:rPr>
          <w:rFonts w:ascii="Times New Roman" w:eastAsia="Times New Roman" w:hAnsi="Times New Roman" w:cs="Times New Roman"/>
          <w:sz w:val="24"/>
          <w:szCs w:val="24"/>
        </w:rPr>
        <w:t>“las casas re</w:t>
      </w:r>
      <w:r>
        <w:rPr>
          <w:rFonts w:ascii="Times New Roman" w:eastAsia="Times New Roman" w:hAnsi="Times New Roman" w:cs="Times New Roman"/>
          <w:sz w:val="24"/>
          <w:szCs w:val="24"/>
        </w:rPr>
        <w:t>sponden a movimientos políticos e identitarios, así es que también existe la Casa de Marronas”.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A partir de los testimonios de integrantes de estas comunidades, podemos señalar la asociación entre acciones comunitarias y la visibilización de luchas y form</w:t>
      </w:r>
      <w:r>
        <w:rPr>
          <w:rFonts w:ascii="Times New Roman" w:eastAsia="Times New Roman" w:hAnsi="Times New Roman" w:cs="Times New Roman"/>
          <w:sz w:val="24"/>
          <w:szCs w:val="24"/>
        </w:rPr>
        <w:t>as de resistencia. La dimensión comunitaria como articuladora de luchas en común y el énfasis de la cultura ballroom como un proceso de politización por parte de quienes la integran. De esta manera, encontramos en las formas de organización de sus cuidados</w:t>
      </w:r>
      <w:r>
        <w:rPr>
          <w:rFonts w:ascii="Times New Roman" w:eastAsia="Times New Roman" w:hAnsi="Times New Roman" w:cs="Times New Roman"/>
          <w:sz w:val="24"/>
          <w:szCs w:val="24"/>
        </w:rPr>
        <w:t xml:space="preserve"> cotidianos como la creación de espacios de reflexión y acción en torno a la ESI y el acompañamiento entre pares frente a situaciones de violencias, la movilización de recursos para garantizar el acceso a la salud de la población LGTBIQNB+ de las comunidad</w:t>
      </w:r>
      <w:r>
        <w:rPr>
          <w:rFonts w:ascii="Times New Roman" w:eastAsia="Times New Roman" w:hAnsi="Times New Roman" w:cs="Times New Roman"/>
          <w:sz w:val="24"/>
          <w:szCs w:val="24"/>
        </w:rPr>
        <w:t>es ballroom, la articulación de redes profesionales, institucionales y del activismo, y la configuración de investiduras afectivas y de sentido en torno a la idea de comunidad como estrategias de cuidados que potencian procesos de politización. Aquí el lug</w:t>
      </w:r>
      <w:r>
        <w:rPr>
          <w:rFonts w:ascii="Times New Roman" w:eastAsia="Times New Roman" w:hAnsi="Times New Roman" w:cs="Times New Roman"/>
          <w:sz w:val="24"/>
          <w:szCs w:val="24"/>
        </w:rPr>
        <w:t>ar de los afectos constituye un elemento central para enfatizar en la capacidad transformadora de los cuidados q</w:t>
      </w:r>
      <w:r w:rsidR="001611F4">
        <w:rPr>
          <w:rFonts w:ascii="Times New Roman" w:eastAsia="Times New Roman" w:hAnsi="Times New Roman" w:cs="Times New Roman"/>
          <w:sz w:val="24"/>
          <w:szCs w:val="24"/>
        </w:rPr>
        <w:t xml:space="preserve">ue movilizan estas comunidades, y su dimensión comunitaria una de sus principales investiduras de sentido. </w:t>
      </w:r>
      <w:bookmarkStart w:id="0" w:name="_GoBack"/>
      <w:bookmarkEnd w:id="0"/>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361C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Bibliografía</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Aguilar, P. L. (2014). El hogar como problema y como solución: Una mirada genealógica de</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dome</w:t>
      </w:r>
      <w:r>
        <w:rPr>
          <w:rFonts w:ascii="Times New Roman" w:eastAsia="Times New Roman" w:hAnsi="Times New Roman" w:cs="Times New Roman"/>
          <w:sz w:val="24"/>
          <w:szCs w:val="24"/>
        </w:rPr>
        <w:t>sticidad a través de las políticas sociales: Argentina, 1890-1940. Buenos Aires: CCC</w:t>
      </w:r>
    </w:p>
    <w:p w:rsidR="00DA56E0" w:rsidRDefault="00D361C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Ahmed, Sara (2015). La política cultural de las emociones. Ciudad de México: UNAM-PUEG</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Bellucci, M. y Rapisardi, F. (2001). “Identidad: diversidad y desigualdad en las luc</w:t>
      </w:r>
      <w:r>
        <w:rPr>
          <w:rFonts w:ascii="Times New Roman" w:eastAsia="Times New Roman" w:hAnsi="Times New Roman" w:cs="Times New Roman"/>
          <w:sz w:val="24"/>
          <w:szCs w:val="24"/>
        </w:rPr>
        <w:t>has políticas del presente”. En Teoría y filosofía política. La recuperación de los clásicos en el debate latinoamericano. Buenos Aires: CLACSO.</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Berkins, L. y Fernández, J. (2005). La gesta del nombre propio. Buenos Aires: Madres de</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Plaza de Mayo.</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Berlant,</w:t>
      </w:r>
      <w:r>
        <w:rPr>
          <w:rFonts w:ascii="Times New Roman" w:eastAsia="Times New Roman" w:hAnsi="Times New Roman" w:cs="Times New Roman"/>
          <w:sz w:val="24"/>
          <w:szCs w:val="24"/>
        </w:rPr>
        <w:t xml:space="preserve"> Lauren (2020). El optimismo cruel. Buenos Aires: Caja Negra</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Calero, A., Dellavale, R. y Zañino, C. (2015). Economía del cuidado y uso del tiempo. Buenos Aires: INSOD/Fundación UADE</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Comes, Y.; Solitario, R.; Garbus, P.; Mauro, M.; Czerniecki, S.; Vazquez, </w:t>
      </w:r>
      <w:r>
        <w:rPr>
          <w:rFonts w:ascii="Times New Roman" w:eastAsia="Times New Roman" w:hAnsi="Times New Roman" w:cs="Times New Roman"/>
          <w:sz w:val="24"/>
          <w:szCs w:val="24"/>
        </w:rPr>
        <w:t xml:space="preserve">A. et al.,“El concepto de accesibilidad: la perspectiva relacional entre población y servicios”. Anuario de Investigaciones. Vol. XIV, 2006. Facultad de Psicología, UBA. 2006. Recuperado de </w:t>
      </w:r>
      <w:hyperlink r:id="rId10">
        <w:r>
          <w:rPr>
            <w:rFonts w:ascii="Times New Roman" w:eastAsia="Times New Roman" w:hAnsi="Times New Roman" w:cs="Times New Roman"/>
            <w:color w:val="1155CC"/>
            <w:sz w:val="24"/>
            <w:szCs w:val="24"/>
            <w:u w:val="single"/>
          </w:rPr>
          <w:t>&lt;www.scielo.org.ar&gt;</w:t>
        </w:r>
      </w:hyperlink>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Cvetkovich, Ann (2018). “En el archivo de los sentimientos lesbianos”, en Un archivo de</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sentimientos. Trauma, sexualidad y culturas públicas lesbianas. Barcelona: Bellaterra</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Delfino, S. y Rapisardi, F. (2010). Cuirizando la cultura argentina desde La Queer</w:t>
      </w:r>
      <w:r>
        <w:rPr>
          <w:rFonts w:ascii="Times New Roman" w:eastAsia="Times New Roman" w:hAnsi="Times New Roman" w:cs="Times New Roman"/>
          <w:sz w:val="24"/>
          <w:szCs w:val="24"/>
        </w:rPr>
        <w:t>encia. Centro criollo de políticas de la diferencia. Revista Ramona, n° 99, abril de 2010, pp. 10-14.</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Donoso, S. (2002). “La familia lésbica”. En Herdt, Gilbert y Koff, Bruce, Gestión familiar de la homosexualidad. Madrid: Bellaterra.</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Esquivel, V.; Faur, E</w:t>
      </w:r>
      <w:r>
        <w:rPr>
          <w:rFonts w:ascii="Times New Roman" w:eastAsia="Times New Roman" w:hAnsi="Times New Roman" w:cs="Times New Roman"/>
          <w:sz w:val="24"/>
          <w:szCs w:val="24"/>
        </w:rPr>
        <w:t>.; Jelin, E. (Eds.) (2012). Las lógicas del cuidado infantil. Entre las</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el estado y el mercado. Buenos Aires: IDES.</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Farji Neer, A. y Newton, C. (2022). Desafíos para el acceso a la salud de la población travesti</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trans en el noroeste del conurba</w:t>
      </w:r>
      <w:r>
        <w:rPr>
          <w:rFonts w:ascii="Times New Roman" w:eastAsia="Times New Roman" w:hAnsi="Times New Roman" w:cs="Times New Roman"/>
          <w:sz w:val="24"/>
          <w:szCs w:val="24"/>
        </w:rPr>
        <w:t>no bonaerense. Un análisis de las prácticas y sentidos de 5 profesionales del trabajo social y la enfermería (José C. Paz, 2015-2019). Astrolabio, (28), 303–323.</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Jones, D., Libson, M. y Hiller, R. (2006). Sexualidad, política y violencia: la marcha del org</w:t>
      </w:r>
      <w:r>
        <w:rPr>
          <w:rFonts w:ascii="Times New Roman" w:eastAsia="Times New Roman" w:hAnsi="Times New Roman" w:cs="Times New Roman"/>
          <w:sz w:val="24"/>
          <w:szCs w:val="24"/>
        </w:rPr>
        <w:t>ullo GLTTBI Buenos Aires, 2005: Segunda Encuesta. Buenos Aires: Antropofagia.</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Lawrence, T. (2013). </w:t>
      </w:r>
      <w:hyperlink r:id="rId11">
        <w:r>
          <w:rPr>
            <w:rFonts w:ascii="Times New Roman" w:eastAsia="Times New Roman" w:hAnsi="Times New Roman" w:cs="Times New Roman"/>
            <w:sz w:val="24"/>
            <w:szCs w:val="24"/>
          </w:rPr>
          <w:t>Escucha, y escucharás todas las casas que caminaron allí antes: una</w:t>
        </w:r>
        <w:r>
          <w:rPr>
            <w:rFonts w:ascii="Times New Roman" w:eastAsia="Times New Roman" w:hAnsi="Times New Roman" w:cs="Times New Roman"/>
            <w:sz w:val="24"/>
            <w:szCs w:val="24"/>
          </w:rPr>
          <w:t xml:space="preserve"> historia de drag balls, casas y la cultura de Voguing</w:t>
        </w:r>
      </w:hyperlink>
      <w:r>
        <w:rPr>
          <w:rFonts w:ascii="Times New Roman" w:eastAsia="Times New Roman" w:hAnsi="Times New Roman" w:cs="Times New Roman"/>
          <w:sz w:val="24"/>
          <w:szCs w:val="24"/>
        </w:rPr>
        <w:t xml:space="preserve">. Disponible en: </w:t>
      </w:r>
      <w:hyperlink r:id="rId12">
        <w:r>
          <w:rPr>
            <w:rFonts w:ascii="Times New Roman" w:eastAsia="Times New Roman" w:hAnsi="Times New Roman" w:cs="Times New Roman"/>
            <w:color w:val="1155CC"/>
            <w:sz w:val="24"/>
            <w:szCs w:val="24"/>
            <w:u w:val="single"/>
          </w:rPr>
          <w:t>https://www.timlawrence.info/articles2/2013/7/16/listen-and-you-will-hear-all-the-houses-that-walked-there-before-a-history-of-drag-balls-houses-and-the-culture-of-voguing</w:t>
        </w:r>
      </w:hyperlink>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Lotus, E. (Lotus Podcast). (2022). Cultura ballroom. [Podcast]. </w:t>
      </w:r>
      <w:hyperlink r:id="rId13">
        <w:r>
          <w:rPr>
            <w:rFonts w:ascii="Times New Roman" w:eastAsia="Times New Roman" w:hAnsi="Times New Roman" w:cs="Times New Roman"/>
            <w:color w:val="1155CC"/>
            <w:sz w:val="24"/>
            <w:szCs w:val="24"/>
            <w:u w:val="single"/>
          </w:rPr>
          <w:t>https://open.spotify.com/episode/23yil3Hm7wLOKwu4WW9s9G?si=d8345a1561a24598</w:t>
        </w:r>
      </w:hyperlink>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Macón, C. (2013). Sentimus ergo sumus. El surgimiento del “giro afectivo” y su impacto sobre la fil</w:t>
      </w:r>
      <w:r>
        <w:rPr>
          <w:rFonts w:ascii="Times New Roman" w:eastAsia="Times New Roman" w:hAnsi="Times New Roman" w:cs="Times New Roman"/>
          <w:sz w:val="24"/>
          <w:szCs w:val="24"/>
        </w:rPr>
        <w:t>osofía política. Revista Latinoamericana de Filosofía Política, vol. II, n° 6, (pp. 1-32).</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Martín Palomo, M.T. y Venturiello, M.P. (2021). “Repensar los cuidados desde lo comunitario y las poblaciones vulnerables: Buenos Aires y Madrid durante la pandemia </w:t>
      </w:r>
      <w:r>
        <w:rPr>
          <w:rFonts w:ascii="Times New Roman" w:eastAsia="Times New Roman" w:hAnsi="Times New Roman" w:cs="Times New Roman"/>
          <w:sz w:val="24"/>
          <w:szCs w:val="24"/>
        </w:rPr>
        <w:t>de SARS-CoV-2”. Apuntes. Revista De Ciencias Sociales, 48 (89).</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Mendieta, A. (Fuera de Margen). (2021). La potencia de la cultura ballroom. [Podcast]. Spotify. </w:t>
      </w:r>
      <w:hyperlink r:id="rId14">
        <w:r>
          <w:rPr>
            <w:rFonts w:ascii="Times New Roman" w:eastAsia="Times New Roman" w:hAnsi="Times New Roman" w:cs="Times New Roman"/>
            <w:color w:val="1155CC"/>
            <w:sz w:val="24"/>
            <w:szCs w:val="24"/>
            <w:u w:val="single"/>
          </w:rPr>
          <w:t>h</w:t>
        </w:r>
        <w:r>
          <w:rPr>
            <w:rFonts w:ascii="Times New Roman" w:eastAsia="Times New Roman" w:hAnsi="Times New Roman" w:cs="Times New Roman"/>
            <w:color w:val="1155CC"/>
            <w:sz w:val="24"/>
            <w:szCs w:val="24"/>
            <w:u w:val="single"/>
          </w:rPr>
          <w:t>ttps://open.spotify.com/episode/4wZ2LID4XOCZ7Rxq2e3wdv?si=0dd8e8c47c374265</w:t>
        </w:r>
      </w:hyperlink>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Millet, A. (2020). Cisexismo y Salud. Algunas ideas desde otro lado. Buenos Aires: Puntos Suspensivos Ediciones. </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Monique, N. (2021). Rompiendo la heteronormatividad con Fiestas Tur</w:t>
      </w:r>
      <w:r>
        <w:rPr>
          <w:rFonts w:ascii="Times New Roman" w:eastAsia="Times New Roman" w:hAnsi="Times New Roman" w:cs="Times New Roman"/>
          <w:sz w:val="24"/>
          <w:szCs w:val="24"/>
        </w:rPr>
        <w:t xml:space="preserve">bo. Revista de Arte y Cultura La Lista. Disponible en: </w:t>
      </w:r>
      <w:hyperlink r:id="rId15">
        <w:r>
          <w:rPr>
            <w:rFonts w:ascii="Times New Roman" w:eastAsia="Times New Roman" w:hAnsi="Times New Roman" w:cs="Times New Roman"/>
            <w:color w:val="1155CC"/>
            <w:sz w:val="24"/>
            <w:szCs w:val="24"/>
            <w:u w:val="single"/>
          </w:rPr>
          <w:t>https://www.lalalista.com/2021/11/05/rompiendo-la-heteronormatividad-con-fiestas-turbo/</w:t>
        </w:r>
      </w:hyperlink>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Muñoz,</w:t>
      </w:r>
      <w:r>
        <w:rPr>
          <w:rFonts w:ascii="Times New Roman" w:eastAsia="Times New Roman" w:hAnsi="Times New Roman" w:cs="Times New Roman"/>
          <w:sz w:val="24"/>
          <w:szCs w:val="24"/>
        </w:rPr>
        <w:t xml:space="preserve"> J.E. (2020). Utopía queer. El entonces y allí de la futuridad antinormativa. Buenos Aires: Caja Negra Editores.</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Pautassi, L., Arcidiácono, P. y Straschnoy, M. (2014). “Condicionando el cuidado. La</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Asignación Universal por Hijo para la protección social en</w:t>
      </w:r>
      <w:r>
        <w:rPr>
          <w:rFonts w:ascii="Times New Roman" w:eastAsia="Times New Roman" w:hAnsi="Times New Roman" w:cs="Times New Roman"/>
          <w:sz w:val="24"/>
          <w:szCs w:val="24"/>
        </w:rPr>
        <w:t xml:space="preserve"> Argentina”. Íconos. Revista de</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Ciencias Sociales, N° 50</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Pecheny, M. (2002). “Identidades discretas”, en Leonor Arfuch (Comp.) Identidades, sujetos</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subjetividades. Buenos Aires: Prometeo (125-147)</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Pecheny, M., Figari, C. y Jones, D. (2008). Todo sexo es </w:t>
      </w:r>
      <w:r>
        <w:rPr>
          <w:rFonts w:ascii="Times New Roman" w:eastAsia="Times New Roman" w:hAnsi="Times New Roman" w:cs="Times New Roman"/>
          <w:sz w:val="24"/>
          <w:szCs w:val="24"/>
        </w:rPr>
        <w:t>político. Buenos Aires: El Zorzal.</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Presentes. (28 de junio de 2022). Cómo nace la cultura ballroom: celebración política LGBTI+. </w:t>
      </w:r>
      <w:hyperlink r:id="rId16">
        <w:r>
          <w:rPr>
            <w:rFonts w:ascii="Times New Roman" w:eastAsia="Times New Roman" w:hAnsi="Times New Roman" w:cs="Times New Roman"/>
            <w:color w:val="1155CC"/>
            <w:sz w:val="24"/>
            <w:szCs w:val="24"/>
            <w:u w:val="single"/>
          </w:rPr>
          <w:t>https://age</w:t>
        </w:r>
        <w:r>
          <w:rPr>
            <w:rFonts w:ascii="Times New Roman" w:eastAsia="Times New Roman" w:hAnsi="Times New Roman" w:cs="Times New Roman"/>
            <w:color w:val="1155CC"/>
            <w:sz w:val="24"/>
            <w:szCs w:val="24"/>
            <w:u w:val="single"/>
          </w:rPr>
          <w:t>nciapresentes.org/2022/06/28/como-nace-la-cultura-ballroom-celebracion-politicalgbti/</w:t>
        </w:r>
      </w:hyperlink>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Rodríguez Enríquez, C. (2015). “Economía feminista y economía del cuidado. Aportes</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conceptuales para el estudio de la desigualdad”. Revista Nueva Sociedad N</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256</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Rodríguez Enríquez, C. y Marzonetto, G. (2016). “Organización social del cuidado y desigualdad: el déficit de políticas de cuidado en Argentina”. Revista Perspectivas de Políticas Públicas, 4(8).</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Salinas Quiroz, F. y Costa, P. A. (2018). “Arreglos parental</w:t>
      </w:r>
      <w:r>
        <w:rPr>
          <w:rFonts w:ascii="Times New Roman" w:eastAsia="Times New Roman" w:hAnsi="Times New Roman" w:cs="Times New Roman"/>
          <w:sz w:val="24"/>
          <w:szCs w:val="24"/>
        </w:rPr>
        <w:t>es de personas lesbianas, gais,</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bisexuales y trans (LGBT): estado del arte.”, en Rosales Mendoza, A.L. y Tapia Fonllem, E.</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 Sexualidades y géneros imaginados: educación, políticas e identidades LGBT.</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Ciudad de México: Universidad Pedagógica Naciona</w:t>
      </w:r>
      <w:r>
        <w:rPr>
          <w:rFonts w:ascii="Times New Roman" w:eastAsia="Times New Roman" w:hAnsi="Times New Roman" w:cs="Times New Roman"/>
          <w:sz w:val="24"/>
          <w:szCs w:val="24"/>
        </w:rPr>
        <w:t>l</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Schwarz, P. (2008). “Las lesbianas frente al dilema de la maternidad”, en Pecheny, M., Figari,</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y Jones, D. (Comp.) Todo sexo es político. Buenos Aires: El Zorzal.</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Solana Tirado, M. (2021). La cultura del voguing: un recorrido desde Estados Unidos hast</w:t>
      </w:r>
      <w:r>
        <w:rPr>
          <w:rFonts w:ascii="Times New Roman" w:eastAsia="Times New Roman" w:hAnsi="Times New Roman" w:cs="Times New Roman"/>
          <w:sz w:val="24"/>
          <w:szCs w:val="24"/>
        </w:rPr>
        <w:t>a Francia. Doble grado en Estudios Franceses y en Estudios Ingleses: Universidad de Cádiz.</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Trombetta, M., Micha, A. y Pereyra, F. (2021). “Determinantes del tiempo de trabajo de</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cuidado y brechas de género”. Márgenes, Revista de Economía política, 7(7), 9-</w:t>
      </w:r>
      <w:r>
        <w:rPr>
          <w:rFonts w:ascii="Times New Roman" w:eastAsia="Times New Roman" w:hAnsi="Times New Roman" w:cs="Times New Roman"/>
          <w:sz w:val="24"/>
          <w:szCs w:val="24"/>
        </w:rPr>
        <w:t>29.</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Venturiello, M.P. (2012). “Itinerario terapéutico de las personas con discapacidad y</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mediaciones en el cuidado de la salud: la mirada de los familiares”. Physis Revista de Saúde</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Coletiva, Rio de Janeiro, 22 [3]</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Venturiello, M.P. (2016). La trama social de la discapacidad. Cuerpo, redes familiares y vida</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cotidiana. Buenos Aires: Editorial Biblos.</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Venturiello et al, (2020). “Envejecimiento y género. Un estudio comparado de las políticas de</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cuidados en Argentina, Es</w:t>
      </w:r>
      <w:r>
        <w:rPr>
          <w:rFonts w:ascii="Times New Roman" w:eastAsia="Times New Roman" w:hAnsi="Times New Roman" w:cs="Times New Roman"/>
          <w:sz w:val="24"/>
          <w:szCs w:val="24"/>
        </w:rPr>
        <w:t>paña y Uruguay”. Áltera, Revista de Antropología. João Pessoa,</w:t>
      </w:r>
    </w:p>
    <w:p w:rsidR="00DA56E0" w:rsidRDefault="00D361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v.3, n.11, p. 20-51, jul-dez. 2020. Universidade Federal da Paraíba.</w:t>
      </w: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color w:val="1155CC"/>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color w:val="1155CC"/>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color w:val="1155CC"/>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color w:val="1155CC"/>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b/>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sz w:val="24"/>
          <w:szCs w:val="24"/>
        </w:rPr>
      </w:pPr>
    </w:p>
    <w:p w:rsidR="00DA56E0" w:rsidRDefault="00DA56E0">
      <w:pPr>
        <w:spacing w:line="360" w:lineRule="auto"/>
        <w:jc w:val="both"/>
        <w:rPr>
          <w:rFonts w:ascii="Times New Roman" w:eastAsia="Times New Roman" w:hAnsi="Times New Roman" w:cs="Times New Roman"/>
          <w:b/>
          <w:sz w:val="24"/>
          <w:szCs w:val="24"/>
        </w:rPr>
      </w:pPr>
    </w:p>
    <w:p w:rsidR="00DA56E0" w:rsidRDefault="00DA56E0">
      <w:pPr>
        <w:spacing w:line="360" w:lineRule="auto"/>
        <w:jc w:val="both"/>
        <w:rPr>
          <w:rFonts w:ascii="Times New Roman" w:eastAsia="Times New Roman" w:hAnsi="Times New Roman" w:cs="Times New Roman"/>
          <w:b/>
          <w:sz w:val="24"/>
          <w:szCs w:val="24"/>
        </w:rPr>
      </w:pPr>
    </w:p>
    <w:p w:rsidR="00DA56E0" w:rsidRDefault="00DA56E0">
      <w:pPr>
        <w:spacing w:line="360" w:lineRule="auto"/>
        <w:jc w:val="both"/>
        <w:rPr>
          <w:rFonts w:ascii="Times New Roman" w:eastAsia="Times New Roman" w:hAnsi="Times New Roman" w:cs="Times New Roman"/>
          <w:b/>
          <w:sz w:val="24"/>
          <w:szCs w:val="24"/>
        </w:rPr>
      </w:pPr>
    </w:p>
    <w:sectPr w:rsidR="00DA56E0">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1C0" w:rsidRDefault="00D361C0">
      <w:pPr>
        <w:spacing w:line="240" w:lineRule="auto"/>
      </w:pPr>
      <w:r>
        <w:separator/>
      </w:r>
    </w:p>
  </w:endnote>
  <w:endnote w:type="continuationSeparator" w:id="0">
    <w:p w:rsidR="00D361C0" w:rsidRDefault="00D361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1C0" w:rsidRDefault="00D361C0">
      <w:pPr>
        <w:spacing w:line="240" w:lineRule="auto"/>
      </w:pPr>
      <w:r>
        <w:separator/>
      </w:r>
    </w:p>
  </w:footnote>
  <w:footnote w:type="continuationSeparator" w:id="0">
    <w:p w:rsidR="00D361C0" w:rsidRDefault="00D361C0">
      <w:pPr>
        <w:spacing w:line="240" w:lineRule="auto"/>
      </w:pPr>
      <w:r>
        <w:continuationSeparator/>
      </w:r>
    </w:p>
  </w:footnote>
  <w:footnote w:id="1">
    <w:p w:rsidR="00DA56E0" w:rsidRDefault="00D361C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La sigla constituye un índice de representatividad de las identidades de lesbianas, gays, travestis, trans, bisexuales, intersex, personas queer y no binarias de esta comunidad a nivel internacional y el “+” da cuenta del carácter progresivamente inclusivo</w:t>
      </w:r>
      <w:r>
        <w:rPr>
          <w:rFonts w:ascii="Times New Roman" w:eastAsia="Times New Roman" w:hAnsi="Times New Roman" w:cs="Times New Roman"/>
          <w:sz w:val="20"/>
          <w:szCs w:val="20"/>
        </w:rPr>
        <w:t xml:space="preserve"> de su heterogeneidad.</w:t>
      </w:r>
    </w:p>
    <w:p w:rsidR="00DA56E0" w:rsidRDefault="00DA56E0">
      <w:pPr>
        <w:spacing w:line="240" w:lineRule="auto"/>
        <w:rPr>
          <w:sz w:val="20"/>
          <w:szCs w:val="20"/>
        </w:rPr>
      </w:pPr>
    </w:p>
  </w:footnote>
  <w:footnote w:id="2">
    <w:p w:rsidR="00DA56E0" w:rsidRDefault="00D361C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Según el corpus conformado en el marco del proyecto de investigación “A History of Ballroom: Documenting the Era of Ballroom (1972-1990)”. Disponible en: </w:t>
      </w:r>
      <w:hyperlink r:id="rId1">
        <w:r>
          <w:rPr>
            <w:rFonts w:ascii="Times New Roman" w:eastAsia="Times New Roman" w:hAnsi="Times New Roman" w:cs="Times New Roman"/>
            <w:color w:val="1155CC"/>
            <w:sz w:val="20"/>
            <w:szCs w:val="20"/>
            <w:u w:val="single"/>
          </w:rPr>
          <w:t>Project Description · A History of Ballroom: Documenting the era of Ballroom (1972-1990) · UMSI580</w:t>
        </w:r>
      </w:hyperlink>
    </w:p>
  </w:footnote>
  <w:footnote w:id="3">
    <w:p w:rsidR="00DA56E0" w:rsidRDefault="00D361C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Esta definición surge de lo destacado por la propia grupalidad durante el trabajo en conjunto que r</w:t>
      </w:r>
      <w:r>
        <w:rPr>
          <w:rFonts w:ascii="Times New Roman" w:eastAsia="Times New Roman" w:hAnsi="Times New Roman" w:cs="Times New Roman"/>
          <w:sz w:val="20"/>
          <w:szCs w:val="20"/>
        </w:rPr>
        <w:t>ealizamos desde la Subsecretaría de Políticas de Género de FSOC y el Área de Salud y Población del IIGG para el I° Festival Sociales PositHIVa en mayo de 2022.</w:t>
      </w:r>
    </w:p>
  </w:footnote>
  <w:footnote w:id="4">
    <w:p w:rsidR="00DA56E0" w:rsidRDefault="00D361C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Las citas presentadas corresponden a un conjunto de artículos periodísticos y entrevistas de ot</w:t>
      </w:r>
      <w:r>
        <w:rPr>
          <w:rFonts w:ascii="Times New Roman" w:eastAsia="Times New Roman" w:hAnsi="Times New Roman" w:cs="Times New Roman"/>
          <w:sz w:val="20"/>
          <w:szCs w:val="20"/>
        </w:rPr>
        <w:t>ras personas a integrantes de estas dos comunidades ballroom citadas en la bibliografía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6E0" w:rsidRDefault="00D361C0">
    <w:pPr>
      <w:jc w:val="right"/>
      <w:rPr>
        <w:rFonts w:ascii="Times New Roman" w:eastAsia="Times New Roman" w:hAnsi="Times New Roman" w:cs="Times New Roman"/>
      </w:rPr>
    </w:pPr>
    <w:r>
      <w:rPr>
        <w:rFonts w:ascii="Times New Roman" w:eastAsia="Times New Roman" w:hAnsi="Times New Roman" w:cs="Times New Roman"/>
      </w:rPr>
      <w:t>XI Jornadas de Jóvenes Investigadorxs</w:t>
    </w:r>
  </w:p>
  <w:p w:rsidR="00DA56E0" w:rsidRDefault="00D361C0">
    <w:pPr>
      <w:jc w:val="right"/>
      <w:rPr>
        <w:rFonts w:ascii="Times New Roman" w:eastAsia="Times New Roman" w:hAnsi="Times New Roman" w:cs="Times New Roman"/>
      </w:rPr>
    </w:pPr>
    <w:r>
      <w:rPr>
        <w:rFonts w:ascii="Times New Roman" w:eastAsia="Times New Roman" w:hAnsi="Times New Roman" w:cs="Times New Roman"/>
      </w:rPr>
      <w:t>Instituto de Investigaciones Gino Germani</w:t>
    </w:r>
  </w:p>
  <w:p w:rsidR="00DA56E0" w:rsidRDefault="00D361C0">
    <w:pPr>
      <w:jc w:val="right"/>
      <w:rPr>
        <w:rFonts w:ascii="Times New Roman" w:eastAsia="Times New Roman" w:hAnsi="Times New Roman" w:cs="Times New Roman"/>
      </w:rPr>
    </w:pPr>
    <w:r>
      <w:rPr>
        <w:rFonts w:ascii="Times New Roman" w:eastAsia="Times New Roman" w:hAnsi="Times New Roman" w:cs="Times New Roman"/>
      </w:rPr>
      <w:t>26, 27 y 28 de octubre de 2022</w:t>
    </w:r>
  </w:p>
  <w:p w:rsidR="00DA56E0" w:rsidRDefault="00DA56E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C117B"/>
    <w:multiLevelType w:val="multilevel"/>
    <w:tmpl w:val="8F868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6E0"/>
    <w:rsid w:val="001611F4"/>
    <w:rsid w:val="00D361C0"/>
    <w:rsid w:val="00DA56E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3F4D1"/>
  <w15:docId w15:val="{BBB43B53-F629-4E34-9244-AC05B0FCA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pen.spotify.com/episode/23yil3Hm7wLOKwu4WW9s9G?si=d8345a1561a2459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lmendra.lareo@gmail.com" TargetMode="External"/><Relationship Id="rId12" Type="http://schemas.openxmlformats.org/officeDocument/2006/relationships/hyperlink" Target="https://www.timlawrence.info/articles2/2013/7/16/listen-and-you-will-hear-all-the-houses-that-walked-there-before-a-history-of-drag-balls-houses-and-the-culture-of-voguin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genciapresentes.org/2022/06/28/como-nace-la-cultura-ballroom-celebracion-politicalgbt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mlawrence.info/articles2/2013/7/16/listen-and-you-will-hear-all-the-houses-that-walked-there-before-a-history-of-drag-balls-houses-and-the-culture-of-voguing" TargetMode="External"/><Relationship Id="rId5" Type="http://schemas.openxmlformats.org/officeDocument/2006/relationships/footnotes" Target="footnotes.xml"/><Relationship Id="rId15" Type="http://schemas.openxmlformats.org/officeDocument/2006/relationships/hyperlink" Target="https://www.lalalista.com/2021/11/05/rompiendo-la-heteronormatividad-con-fiestas-turbo/" TargetMode="External"/><Relationship Id="rId10" Type="http://schemas.openxmlformats.org/officeDocument/2006/relationships/hyperlink" Target="http://www.scielo.org.a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open.spotify.com/episode/4wZ2LID4XOCZ7Rxq2e3wdv?si=0dd8e8c47c37426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msi580.lsait.lsa.umich.edu/s/a-history-of-ballroom-documenting-the-era-of-ballroom-1972-1990/page/wel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4834</Words>
  <Characters>26593</Characters>
  <Application>Microsoft Office Word</Application>
  <DocSecurity>0</DocSecurity>
  <Lines>221</Lines>
  <Paragraphs>62</Paragraphs>
  <ScaleCrop>false</ScaleCrop>
  <Company/>
  <LinksUpToDate>false</LinksUpToDate>
  <CharactersWithSpaces>31365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Almendra</cp:lastModifiedBy>
  <cp:revision>3</cp:revision>
  <dcterms:created xsi:type="dcterms:W3CDTF">2022-09-26T15:05:00Z</dcterms:created>
  <dcterms:modified xsi:type="dcterms:W3CDTF">2022-09-26T15:06:00Z</dcterms:modified>
</cp:coreProperties>
</file>