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9005D" w14:textId="77777777" w:rsidR="00A97836" w:rsidRPr="002B04EA" w:rsidRDefault="00A97836" w:rsidP="00A97836">
      <w:pPr>
        <w:spacing w:line="360" w:lineRule="auto"/>
        <w:jc w:val="both"/>
        <w:rPr>
          <w:rFonts w:ascii="Times New Roman" w:hAnsi="Times New Roman" w:cs="Times New Roman"/>
          <w:b/>
          <w:sz w:val="24"/>
          <w:szCs w:val="24"/>
          <w:lang w:val="es-AR"/>
        </w:rPr>
      </w:pPr>
      <w:r w:rsidRPr="002B04EA">
        <w:rPr>
          <w:rFonts w:ascii="Times New Roman" w:hAnsi="Times New Roman" w:cs="Times New Roman"/>
          <w:b/>
          <w:sz w:val="24"/>
          <w:szCs w:val="24"/>
          <w:lang w:val="es-AR"/>
        </w:rPr>
        <w:t>IX Jornadas de Jóvenes Investigadores.</w:t>
      </w:r>
    </w:p>
    <w:p w14:paraId="4F8FBED5" w14:textId="77777777" w:rsidR="00A97836" w:rsidRPr="002B04EA" w:rsidRDefault="00A97836" w:rsidP="00A97836">
      <w:pPr>
        <w:spacing w:line="360" w:lineRule="auto"/>
        <w:jc w:val="both"/>
        <w:rPr>
          <w:rFonts w:ascii="Times New Roman" w:hAnsi="Times New Roman" w:cs="Times New Roman"/>
          <w:b/>
          <w:sz w:val="24"/>
          <w:szCs w:val="24"/>
          <w:lang w:val="es-AR"/>
        </w:rPr>
      </w:pPr>
      <w:r w:rsidRPr="002B04EA">
        <w:rPr>
          <w:rFonts w:ascii="Times New Roman" w:hAnsi="Times New Roman" w:cs="Times New Roman"/>
          <w:b/>
          <w:sz w:val="24"/>
          <w:szCs w:val="24"/>
          <w:lang w:val="es-AR"/>
        </w:rPr>
        <w:t xml:space="preserve">Instituto de Investigaciones Gino </w:t>
      </w:r>
      <w:proofErr w:type="spellStart"/>
      <w:r w:rsidRPr="002B04EA">
        <w:rPr>
          <w:rFonts w:ascii="Times New Roman" w:hAnsi="Times New Roman" w:cs="Times New Roman"/>
          <w:b/>
          <w:sz w:val="24"/>
          <w:szCs w:val="24"/>
          <w:lang w:val="es-AR"/>
        </w:rPr>
        <w:t>Germani</w:t>
      </w:r>
      <w:proofErr w:type="spellEnd"/>
      <w:r w:rsidRPr="002B04EA">
        <w:rPr>
          <w:rFonts w:ascii="Times New Roman" w:hAnsi="Times New Roman" w:cs="Times New Roman"/>
          <w:b/>
          <w:sz w:val="24"/>
          <w:szCs w:val="24"/>
          <w:lang w:val="es-AR"/>
        </w:rPr>
        <w:t>.</w:t>
      </w:r>
    </w:p>
    <w:p w14:paraId="5898E36B" w14:textId="77777777" w:rsidR="00A97836" w:rsidRDefault="00A97836" w:rsidP="00A97836">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6, 7 y 8 de noviembre de 2019.</w:t>
      </w:r>
    </w:p>
    <w:p w14:paraId="7C596B3D" w14:textId="77777777" w:rsidR="00A97836" w:rsidRDefault="00A97836" w:rsidP="00A97836">
      <w:pPr>
        <w:spacing w:line="360" w:lineRule="auto"/>
        <w:jc w:val="both"/>
        <w:rPr>
          <w:rFonts w:ascii="Times New Roman" w:hAnsi="Times New Roman" w:cs="Times New Roman"/>
          <w:sz w:val="24"/>
          <w:szCs w:val="24"/>
        </w:rPr>
      </w:pPr>
      <w:r w:rsidRPr="002B04EA">
        <w:rPr>
          <w:rFonts w:ascii="Times New Roman" w:hAnsi="Times New Roman" w:cs="Times New Roman"/>
          <w:b/>
          <w:sz w:val="24"/>
          <w:szCs w:val="24"/>
          <w:lang w:val="es-AR"/>
        </w:rPr>
        <w:t>Autoras</w:t>
      </w:r>
      <w:r>
        <w:rPr>
          <w:rFonts w:ascii="Times New Roman" w:hAnsi="Times New Roman" w:cs="Times New Roman"/>
          <w:sz w:val="24"/>
          <w:szCs w:val="24"/>
          <w:lang w:val="es-AR"/>
        </w:rPr>
        <w:t>: Lic. María Laura Langhoff (</w:t>
      </w:r>
      <w:proofErr w:type="spellStart"/>
      <w:r>
        <w:rPr>
          <w:rFonts w:ascii="Times New Roman" w:hAnsi="Times New Roman" w:cs="Times New Roman"/>
          <w:sz w:val="24"/>
          <w:szCs w:val="24"/>
          <w:lang w:val="es-AR"/>
        </w:rPr>
        <w:t>DGyT</w:t>
      </w:r>
      <w:proofErr w:type="spellEnd"/>
      <w:r>
        <w:rPr>
          <w:rFonts w:ascii="Times New Roman" w:hAnsi="Times New Roman" w:cs="Times New Roman"/>
          <w:sz w:val="24"/>
          <w:szCs w:val="24"/>
          <w:lang w:val="es-AR"/>
        </w:rPr>
        <w:t xml:space="preserve">, UNS, estudiante doctorado en geografía); Dra. </w:t>
      </w:r>
      <w:r w:rsidRPr="00A97836">
        <w:rPr>
          <w:rFonts w:ascii="Times New Roman" w:hAnsi="Times New Roman" w:cs="Times New Roman"/>
          <w:sz w:val="24"/>
          <w:szCs w:val="24"/>
        </w:rPr>
        <w:t xml:space="preserve">Alejandra </w:t>
      </w:r>
      <w:proofErr w:type="spellStart"/>
      <w:r w:rsidRPr="00A97836">
        <w:rPr>
          <w:rFonts w:ascii="Times New Roman" w:hAnsi="Times New Roman" w:cs="Times New Roman"/>
          <w:sz w:val="24"/>
          <w:szCs w:val="24"/>
        </w:rPr>
        <w:t>Geraldi</w:t>
      </w:r>
      <w:proofErr w:type="spellEnd"/>
      <w:r w:rsidRPr="00A97836">
        <w:rPr>
          <w:rFonts w:ascii="Times New Roman" w:hAnsi="Times New Roman" w:cs="Times New Roman"/>
          <w:sz w:val="24"/>
          <w:szCs w:val="24"/>
        </w:rPr>
        <w:t xml:space="preserve"> (</w:t>
      </w:r>
      <w:proofErr w:type="spellStart"/>
      <w:r w:rsidRPr="00A97836">
        <w:rPr>
          <w:rFonts w:ascii="Times New Roman" w:hAnsi="Times New Roman" w:cs="Times New Roman"/>
          <w:sz w:val="24"/>
          <w:szCs w:val="24"/>
        </w:rPr>
        <w:t>DGyT</w:t>
      </w:r>
      <w:proofErr w:type="spellEnd"/>
      <w:r w:rsidRPr="00A97836">
        <w:rPr>
          <w:rFonts w:ascii="Times New Roman" w:hAnsi="Times New Roman" w:cs="Times New Roman"/>
          <w:sz w:val="24"/>
          <w:szCs w:val="24"/>
        </w:rPr>
        <w:t xml:space="preserve">; UNS; CONICET) y Mg. </w:t>
      </w:r>
      <w:r w:rsidRPr="00F224EA">
        <w:rPr>
          <w:rFonts w:ascii="Times New Roman" w:hAnsi="Times New Roman" w:cs="Times New Roman"/>
          <w:sz w:val="24"/>
          <w:szCs w:val="24"/>
        </w:rPr>
        <w:t xml:space="preserve">Patricia </w:t>
      </w:r>
      <w:proofErr w:type="spellStart"/>
      <w:r w:rsidRPr="00F224EA">
        <w:rPr>
          <w:rFonts w:ascii="Times New Roman" w:hAnsi="Times New Roman" w:cs="Times New Roman"/>
          <w:sz w:val="24"/>
          <w:szCs w:val="24"/>
        </w:rPr>
        <w:t>Rosell</w:t>
      </w:r>
      <w:proofErr w:type="spellEnd"/>
      <w:r w:rsidRPr="00F224EA">
        <w:rPr>
          <w:rFonts w:ascii="Times New Roman" w:hAnsi="Times New Roman" w:cs="Times New Roman"/>
          <w:sz w:val="24"/>
          <w:szCs w:val="24"/>
        </w:rPr>
        <w:t xml:space="preserve"> (</w:t>
      </w:r>
      <w:proofErr w:type="spellStart"/>
      <w:r w:rsidRPr="00F224EA">
        <w:rPr>
          <w:rFonts w:ascii="Times New Roman" w:hAnsi="Times New Roman" w:cs="Times New Roman"/>
          <w:sz w:val="24"/>
          <w:szCs w:val="24"/>
        </w:rPr>
        <w:t>DGyT</w:t>
      </w:r>
      <w:proofErr w:type="spellEnd"/>
      <w:r w:rsidRPr="00F224EA">
        <w:rPr>
          <w:rFonts w:ascii="Times New Roman" w:hAnsi="Times New Roman" w:cs="Times New Roman"/>
          <w:sz w:val="24"/>
          <w:szCs w:val="24"/>
        </w:rPr>
        <w:t>; UNS).</w:t>
      </w:r>
    </w:p>
    <w:p w14:paraId="0D740E88" w14:textId="77777777" w:rsidR="00A97836" w:rsidRDefault="00A97836" w:rsidP="00A97836">
      <w:pPr>
        <w:spacing w:line="360" w:lineRule="auto"/>
        <w:jc w:val="both"/>
        <w:rPr>
          <w:rFonts w:ascii="Times New Roman" w:hAnsi="Times New Roman" w:cs="Times New Roman"/>
          <w:sz w:val="24"/>
          <w:szCs w:val="24"/>
        </w:rPr>
      </w:pPr>
      <w:r w:rsidRPr="002B04EA">
        <w:rPr>
          <w:rFonts w:ascii="Times New Roman" w:hAnsi="Times New Roman" w:cs="Times New Roman"/>
          <w:b/>
          <w:sz w:val="24"/>
          <w:szCs w:val="24"/>
        </w:rPr>
        <w:t>Mails</w:t>
      </w:r>
      <w:r>
        <w:rPr>
          <w:rFonts w:ascii="Times New Roman" w:hAnsi="Times New Roman" w:cs="Times New Roman"/>
          <w:sz w:val="24"/>
          <w:szCs w:val="24"/>
        </w:rPr>
        <w:t xml:space="preserve">: </w:t>
      </w:r>
      <w:hyperlink r:id="rId7" w:history="1">
        <w:r w:rsidRPr="00703B77">
          <w:rPr>
            <w:rStyle w:val="Hipervnculo"/>
            <w:rFonts w:ascii="Times New Roman" w:hAnsi="Times New Roman" w:cs="Times New Roman"/>
            <w:sz w:val="24"/>
            <w:szCs w:val="24"/>
          </w:rPr>
          <w:t>laura.langhoff@outlook.com</w:t>
        </w:r>
      </w:hyperlink>
      <w:r>
        <w:rPr>
          <w:rFonts w:ascii="Times New Roman" w:hAnsi="Times New Roman" w:cs="Times New Roman"/>
          <w:sz w:val="24"/>
          <w:szCs w:val="24"/>
        </w:rPr>
        <w:t xml:space="preserve">; </w:t>
      </w:r>
      <w:hyperlink r:id="rId8" w:history="1">
        <w:r w:rsidRPr="00703B77">
          <w:rPr>
            <w:rStyle w:val="Hipervnculo"/>
            <w:rFonts w:ascii="Times New Roman" w:hAnsi="Times New Roman" w:cs="Times New Roman"/>
            <w:sz w:val="24"/>
            <w:szCs w:val="24"/>
          </w:rPr>
          <w:t>ageraldi@criba.edu.ar</w:t>
        </w:r>
      </w:hyperlink>
      <w:r>
        <w:rPr>
          <w:rFonts w:ascii="Times New Roman" w:hAnsi="Times New Roman" w:cs="Times New Roman"/>
          <w:sz w:val="24"/>
          <w:szCs w:val="24"/>
        </w:rPr>
        <w:t xml:space="preserve">; </w:t>
      </w:r>
      <w:hyperlink r:id="rId9" w:history="1">
        <w:r w:rsidRPr="00703B77">
          <w:rPr>
            <w:rStyle w:val="Hipervnculo"/>
            <w:rFonts w:ascii="Times New Roman" w:hAnsi="Times New Roman" w:cs="Times New Roman"/>
            <w:sz w:val="24"/>
            <w:szCs w:val="24"/>
          </w:rPr>
          <w:t>prosell@uns.edu.ar</w:t>
        </w:r>
      </w:hyperlink>
    </w:p>
    <w:p w14:paraId="385E2530" w14:textId="77777777" w:rsidR="00A97836" w:rsidRDefault="00A97836" w:rsidP="00A97836">
      <w:pPr>
        <w:spacing w:line="360" w:lineRule="auto"/>
        <w:jc w:val="both"/>
        <w:rPr>
          <w:rFonts w:ascii="Times New Roman" w:hAnsi="Times New Roman" w:cs="Times New Roman"/>
          <w:sz w:val="24"/>
          <w:szCs w:val="24"/>
          <w:lang w:val="es-AR"/>
        </w:rPr>
      </w:pPr>
      <w:r w:rsidRPr="002B04EA">
        <w:rPr>
          <w:rFonts w:ascii="Times New Roman" w:hAnsi="Times New Roman" w:cs="Times New Roman"/>
          <w:b/>
          <w:sz w:val="24"/>
          <w:szCs w:val="24"/>
          <w:lang w:val="es-AR"/>
        </w:rPr>
        <w:t>Eje problemático</w:t>
      </w:r>
      <w:r w:rsidRPr="00F224EA">
        <w:rPr>
          <w:rFonts w:ascii="Times New Roman" w:hAnsi="Times New Roman" w:cs="Times New Roman"/>
          <w:sz w:val="24"/>
          <w:szCs w:val="24"/>
          <w:lang w:val="es-AR"/>
        </w:rPr>
        <w:t xml:space="preserve">: Eje 6: Espacio social, </w:t>
      </w:r>
      <w:r>
        <w:rPr>
          <w:rFonts w:ascii="Times New Roman" w:hAnsi="Times New Roman" w:cs="Times New Roman"/>
          <w:sz w:val="24"/>
          <w:szCs w:val="24"/>
          <w:lang w:val="es-AR"/>
        </w:rPr>
        <w:t>tiempo, territorio y turismo.</w:t>
      </w:r>
    </w:p>
    <w:p w14:paraId="0EC57B9B" w14:textId="1ECA82F6" w:rsidR="00A97836" w:rsidRPr="002B04EA" w:rsidRDefault="00A97836" w:rsidP="00A97836">
      <w:pPr>
        <w:spacing w:line="360" w:lineRule="auto"/>
        <w:jc w:val="both"/>
        <w:rPr>
          <w:rFonts w:ascii="Times New Roman" w:hAnsi="Times New Roman" w:cs="Times New Roman"/>
          <w:b/>
          <w:sz w:val="24"/>
          <w:szCs w:val="24"/>
          <w:lang w:val="es-AR"/>
        </w:rPr>
      </w:pPr>
      <w:r w:rsidRPr="002B04EA">
        <w:rPr>
          <w:rFonts w:ascii="Times New Roman" w:hAnsi="Times New Roman" w:cs="Times New Roman"/>
          <w:b/>
          <w:sz w:val="24"/>
          <w:szCs w:val="24"/>
          <w:lang w:val="es-AR"/>
        </w:rPr>
        <w:t>Título: “Poder, agua y territorio. La configuración del oasis del sur mendocino en la primera mitad del siglo XX”.</w:t>
      </w:r>
    </w:p>
    <w:p w14:paraId="5A0EDCD3" w14:textId="44348D71" w:rsidR="006F18AA" w:rsidRDefault="006F18AA" w:rsidP="00A97836">
      <w:pPr>
        <w:spacing w:line="360" w:lineRule="auto"/>
        <w:jc w:val="both"/>
        <w:rPr>
          <w:rFonts w:ascii="Times New Roman" w:hAnsi="Times New Roman" w:cs="Times New Roman"/>
          <w:sz w:val="24"/>
          <w:szCs w:val="24"/>
          <w:lang w:val="es-AR"/>
        </w:rPr>
      </w:pPr>
      <w:r w:rsidRPr="002B04EA">
        <w:rPr>
          <w:rFonts w:ascii="Times New Roman" w:hAnsi="Times New Roman" w:cs="Times New Roman"/>
          <w:b/>
          <w:sz w:val="24"/>
          <w:szCs w:val="24"/>
          <w:lang w:val="es-AR"/>
        </w:rPr>
        <w:t>Palabras claves:</w:t>
      </w:r>
      <w:r>
        <w:rPr>
          <w:rFonts w:ascii="Times New Roman" w:hAnsi="Times New Roman" w:cs="Times New Roman"/>
          <w:sz w:val="24"/>
          <w:szCs w:val="24"/>
          <w:lang w:val="es-AR"/>
        </w:rPr>
        <w:t xml:space="preserve"> ciclo </w:t>
      </w:r>
      <w:proofErr w:type="spellStart"/>
      <w:r>
        <w:rPr>
          <w:rFonts w:ascii="Times New Roman" w:hAnsi="Times New Roman" w:cs="Times New Roman"/>
          <w:sz w:val="24"/>
          <w:szCs w:val="24"/>
          <w:lang w:val="es-AR"/>
        </w:rPr>
        <w:t>hidrosocial</w:t>
      </w:r>
      <w:proofErr w:type="spellEnd"/>
      <w:r>
        <w:rPr>
          <w:rFonts w:ascii="Times New Roman" w:hAnsi="Times New Roman" w:cs="Times New Roman"/>
          <w:sz w:val="24"/>
          <w:szCs w:val="24"/>
          <w:lang w:val="es-AR"/>
        </w:rPr>
        <w:t xml:space="preserve">; territorio </w:t>
      </w:r>
      <w:proofErr w:type="spellStart"/>
      <w:r>
        <w:rPr>
          <w:rFonts w:ascii="Times New Roman" w:hAnsi="Times New Roman" w:cs="Times New Roman"/>
          <w:sz w:val="24"/>
          <w:szCs w:val="24"/>
          <w:lang w:val="es-AR"/>
        </w:rPr>
        <w:t>hidrosocial</w:t>
      </w:r>
      <w:proofErr w:type="spellEnd"/>
      <w:r>
        <w:rPr>
          <w:rFonts w:ascii="Times New Roman" w:hAnsi="Times New Roman" w:cs="Times New Roman"/>
          <w:sz w:val="24"/>
          <w:szCs w:val="24"/>
          <w:lang w:val="es-AR"/>
        </w:rPr>
        <w:t>; poder; agua; inmigración.</w:t>
      </w:r>
    </w:p>
    <w:p w14:paraId="0DF64F2A" w14:textId="4B991C88" w:rsidR="002425AC" w:rsidRPr="002B04EA" w:rsidRDefault="00E36D4F" w:rsidP="004A1E7F">
      <w:pPr>
        <w:rPr>
          <w:rFonts w:ascii="Times New Roman" w:hAnsi="Times New Roman" w:cs="Times New Roman"/>
          <w:b/>
          <w:sz w:val="24"/>
          <w:szCs w:val="24"/>
          <w:lang w:val="es-AR"/>
        </w:rPr>
      </w:pPr>
      <w:r w:rsidRPr="002B04EA">
        <w:rPr>
          <w:rFonts w:ascii="Times New Roman" w:hAnsi="Times New Roman" w:cs="Times New Roman"/>
          <w:b/>
          <w:sz w:val="24"/>
          <w:szCs w:val="24"/>
          <w:lang w:val="es-AR"/>
        </w:rPr>
        <w:t>Introducción.</w:t>
      </w:r>
    </w:p>
    <w:p w14:paraId="0520AC74" w14:textId="2ED92533" w:rsidR="002425AC" w:rsidRDefault="002425AC"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00775517">
        <w:rPr>
          <w:rFonts w:ascii="Times New Roman" w:hAnsi="Times New Roman" w:cs="Times New Roman"/>
          <w:sz w:val="24"/>
          <w:szCs w:val="24"/>
          <w:lang w:val="es-AR"/>
        </w:rPr>
        <w:t xml:space="preserve">A mediados </w:t>
      </w:r>
      <w:r w:rsidR="00981F5D">
        <w:rPr>
          <w:rFonts w:ascii="Times New Roman" w:hAnsi="Times New Roman" w:cs="Times New Roman"/>
          <w:sz w:val="24"/>
          <w:szCs w:val="24"/>
          <w:lang w:val="es-AR"/>
        </w:rPr>
        <w:t>del siglo XX, en</w:t>
      </w:r>
      <w:r w:rsidR="004A1E7F">
        <w:rPr>
          <w:rFonts w:ascii="Times New Roman" w:hAnsi="Times New Roman" w:cs="Times New Roman"/>
          <w:sz w:val="24"/>
          <w:szCs w:val="24"/>
          <w:lang w:val="es-AR"/>
        </w:rPr>
        <w:t xml:space="preserve"> </w:t>
      </w:r>
      <w:r w:rsidR="00981F5D">
        <w:rPr>
          <w:rFonts w:ascii="Times New Roman" w:hAnsi="Times New Roman" w:cs="Times New Roman"/>
          <w:sz w:val="24"/>
          <w:szCs w:val="24"/>
          <w:lang w:val="es-AR"/>
        </w:rPr>
        <w:t>el</w:t>
      </w:r>
      <w:r>
        <w:rPr>
          <w:rFonts w:ascii="Times New Roman" w:hAnsi="Times New Roman" w:cs="Times New Roman"/>
          <w:sz w:val="24"/>
          <w:szCs w:val="24"/>
          <w:lang w:val="es-AR"/>
        </w:rPr>
        <w:t xml:space="preserve"> sur Mendocino, sobre la cuenca del río Atuel,</w:t>
      </w:r>
      <w:r w:rsidR="00981F5D" w:rsidRPr="00981F5D">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se configuraron oasis </w:t>
      </w:r>
      <w:r w:rsidR="00981F5D">
        <w:rPr>
          <w:rFonts w:ascii="Times New Roman" w:hAnsi="Times New Roman" w:cs="Times New Roman"/>
          <w:sz w:val="24"/>
          <w:szCs w:val="24"/>
          <w:lang w:val="es-AR"/>
        </w:rPr>
        <w:t xml:space="preserve">de </w:t>
      </w:r>
      <w:r>
        <w:rPr>
          <w:rFonts w:ascii="Times New Roman" w:hAnsi="Times New Roman" w:cs="Times New Roman"/>
          <w:sz w:val="24"/>
          <w:szCs w:val="24"/>
          <w:lang w:val="es-AR"/>
        </w:rPr>
        <w:t>cultivo de la vid</w:t>
      </w:r>
      <w:r w:rsidR="00981F5D">
        <w:rPr>
          <w:rFonts w:ascii="Times New Roman" w:hAnsi="Times New Roman" w:cs="Times New Roman"/>
          <w:sz w:val="24"/>
          <w:szCs w:val="24"/>
          <w:lang w:val="es-AR"/>
        </w:rPr>
        <w:t xml:space="preserve">, situación que genero </w:t>
      </w:r>
      <w:r>
        <w:rPr>
          <w:rFonts w:ascii="Times New Roman" w:hAnsi="Times New Roman" w:cs="Times New Roman"/>
          <w:sz w:val="24"/>
          <w:szCs w:val="24"/>
          <w:lang w:val="es-AR"/>
        </w:rPr>
        <w:t>una serie de conflictos de poder, agua y territor</w:t>
      </w:r>
      <w:r w:rsidR="00775517">
        <w:rPr>
          <w:rFonts w:ascii="Times New Roman" w:hAnsi="Times New Roman" w:cs="Times New Roman"/>
          <w:sz w:val="24"/>
          <w:szCs w:val="24"/>
          <w:lang w:val="es-AR"/>
        </w:rPr>
        <w:t>io a partir de que el rio Atuel</w:t>
      </w:r>
      <w:r w:rsidR="00653331">
        <w:rPr>
          <w:rFonts w:ascii="Times New Roman" w:hAnsi="Times New Roman" w:cs="Times New Roman"/>
          <w:sz w:val="24"/>
          <w:szCs w:val="24"/>
          <w:lang w:val="es-AR"/>
        </w:rPr>
        <w:t xml:space="preserve"> es un río compartido aguas abajo </w:t>
      </w:r>
      <w:r w:rsidR="002F3EA5">
        <w:rPr>
          <w:rFonts w:ascii="Times New Roman" w:hAnsi="Times New Roman" w:cs="Times New Roman"/>
          <w:sz w:val="24"/>
          <w:szCs w:val="24"/>
          <w:lang w:val="es-AR"/>
        </w:rPr>
        <w:t xml:space="preserve">con </w:t>
      </w:r>
      <w:r w:rsidR="00653331">
        <w:rPr>
          <w:rFonts w:ascii="Times New Roman" w:hAnsi="Times New Roman" w:cs="Times New Roman"/>
          <w:sz w:val="24"/>
          <w:szCs w:val="24"/>
          <w:lang w:val="es-AR"/>
        </w:rPr>
        <w:t>la provincia de la Pampa</w:t>
      </w:r>
      <w:r w:rsidR="002F3EA5">
        <w:rPr>
          <w:rFonts w:ascii="Times New Roman" w:hAnsi="Times New Roman" w:cs="Times New Roman"/>
          <w:sz w:val="24"/>
          <w:szCs w:val="24"/>
          <w:lang w:val="es-AR"/>
        </w:rPr>
        <w:t>.</w:t>
      </w:r>
      <w:r w:rsidR="00981F5D">
        <w:rPr>
          <w:rFonts w:ascii="Times New Roman" w:hAnsi="Times New Roman" w:cs="Times New Roman"/>
          <w:sz w:val="24"/>
          <w:szCs w:val="24"/>
          <w:lang w:val="es-AR"/>
        </w:rPr>
        <w:t xml:space="preserve"> </w:t>
      </w:r>
    </w:p>
    <w:p w14:paraId="518483AE" w14:textId="245738E7" w:rsidR="00E36D4F" w:rsidRDefault="00597B1B"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El objetivo del trabajo es analizar la progresiva utilización d</w:t>
      </w:r>
      <w:r w:rsidR="00206B3B">
        <w:rPr>
          <w:rFonts w:ascii="Times New Roman" w:hAnsi="Times New Roman" w:cs="Times New Roman"/>
          <w:sz w:val="24"/>
          <w:szCs w:val="24"/>
          <w:lang w:val="es-AR"/>
        </w:rPr>
        <w:t>el río Atuel para irrigación en el espacio de los oasis de San Rafael y General Alvear para el cultivo de la vid</w:t>
      </w:r>
      <w:r w:rsidR="00E36D4F">
        <w:rPr>
          <w:rFonts w:ascii="Times New Roman" w:hAnsi="Times New Roman" w:cs="Times New Roman"/>
          <w:sz w:val="24"/>
          <w:szCs w:val="24"/>
          <w:lang w:val="es-AR"/>
        </w:rPr>
        <w:t>.</w:t>
      </w:r>
      <w:r>
        <w:rPr>
          <w:rFonts w:ascii="Times New Roman" w:hAnsi="Times New Roman" w:cs="Times New Roman"/>
          <w:sz w:val="24"/>
          <w:szCs w:val="24"/>
          <w:lang w:val="es-AR"/>
        </w:rPr>
        <w:t xml:space="preserve"> Esta intervención </w:t>
      </w:r>
      <w:r w:rsidR="00FB2D01">
        <w:rPr>
          <w:rFonts w:ascii="Times New Roman" w:hAnsi="Times New Roman" w:cs="Times New Roman"/>
          <w:sz w:val="24"/>
          <w:szCs w:val="24"/>
          <w:lang w:val="es-AR"/>
        </w:rPr>
        <w:t>se fortaleció en Mendoza</w:t>
      </w:r>
      <w:r>
        <w:rPr>
          <w:rFonts w:ascii="Times New Roman" w:hAnsi="Times New Roman" w:cs="Times New Roman"/>
          <w:sz w:val="24"/>
          <w:szCs w:val="24"/>
          <w:lang w:val="es-AR"/>
        </w:rPr>
        <w:t xml:space="preserve"> a través</w:t>
      </w:r>
      <w:r w:rsidR="00E36D4F">
        <w:rPr>
          <w:rFonts w:ascii="Times New Roman" w:hAnsi="Times New Roman" w:cs="Times New Roman"/>
          <w:sz w:val="24"/>
          <w:szCs w:val="24"/>
          <w:lang w:val="es-AR"/>
        </w:rPr>
        <w:t xml:space="preserve"> de la legislación de aguas de 1884,</w:t>
      </w:r>
      <w:r>
        <w:rPr>
          <w:rFonts w:ascii="Times New Roman" w:hAnsi="Times New Roman" w:cs="Times New Roman"/>
          <w:sz w:val="24"/>
          <w:szCs w:val="24"/>
          <w:lang w:val="es-AR"/>
        </w:rPr>
        <w:t xml:space="preserve"> facilitando condiciones a la masa migratoria europea mediterránea con conocidos antecedentes del cultivo de la vid</w:t>
      </w:r>
      <w:r w:rsidR="00FB2D01">
        <w:rPr>
          <w:rFonts w:ascii="Times New Roman" w:hAnsi="Times New Roman" w:cs="Times New Roman"/>
          <w:sz w:val="24"/>
          <w:szCs w:val="24"/>
          <w:lang w:val="es-AR"/>
        </w:rPr>
        <w:t xml:space="preserve">. </w:t>
      </w:r>
      <w:r>
        <w:rPr>
          <w:rFonts w:ascii="Times New Roman" w:hAnsi="Times New Roman" w:cs="Times New Roman"/>
          <w:sz w:val="24"/>
          <w:szCs w:val="24"/>
          <w:lang w:val="es-AR"/>
        </w:rPr>
        <w:t>Estos actores apoyados tanto desde el</w:t>
      </w:r>
      <w:r w:rsidR="00FB2D01">
        <w:rPr>
          <w:rFonts w:ascii="Times New Roman" w:hAnsi="Times New Roman" w:cs="Times New Roman"/>
          <w:sz w:val="24"/>
          <w:szCs w:val="24"/>
          <w:lang w:val="es-AR"/>
        </w:rPr>
        <w:t xml:space="preserve"> Estado provincial como el nacional</w:t>
      </w:r>
      <w:r>
        <w:rPr>
          <w:rFonts w:ascii="Times New Roman" w:hAnsi="Times New Roman" w:cs="Times New Roman"/>
          <w:sz w:val="24"/>
          <w:szCs w:val="24"/>
          <w:lang w:val="es-AR"/>
        </w:rPr>
        <w:t xml:space="preserve"> fueron decisivos a la hora de la expansión de la superficie productiva</w:t>
      </w:r>
      <w:r w:rsidR="00FB2D01">
        <w:rPr>
          <w:rFonts w:ascii="Times New Roman" w:hAnsi="Times New Roman" w:cs="Times New Roman"/>
          <w:sz w:val="24"/>
          <w:szCs w:val="24"/>
          <w:lang w:val="es-AR"/>
        </w:rPr>
        <w:t>. En ambos casos, en relación a la optimización en el aprovechamiento del agua para riego, para expandir la superficie productiva.</w:t>
      </w:r>
    </w:p>
    <w:p w14:paraId="63BC841F" w14:textId="00390120" w:rsidR="00FB2D01" w:rsidRDefault="00FB2D01"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En base a las fuentes bibliográficas y documentales consultadas, se identifican un</w:t>
      </w:r>
      <w:r w:rsidR="00597B1B">
        <w:rPr>
          <w:rFonts w:ascii="Times New Roman" w:hAnsi="Times New Roman" w:cs="Times New Roman"/>
          <w:sz w:val="24"/>
          <w:szCs w:val="24"/>
          <w:lang w:val="es-AR"/>
        </w:rPr>
        <w:t xml:space="preserve"> grupo </w:t>
      </w:r>
      <w:r>
        <w:rPr>
          <w:rFonts w:ascii="Times New Roman" w:hAnsi="Times New Roman" w:cs="Times New Roman"/>
          <w:sz w:val="24"/>
          <w:szCs w:val="24"/>
          <w:lang w:val="es-AR"/>
        </w:rPr>
        <w:t xml:space="preserve">de familias que se asentaron entre la zona de General Alvear y San Rafael, específicamente en Villa Atuel, entre fines de siglo XIX e inicios del siglo XX. En estos años se concreta la construcción de uno de los primeros canales importantes que toman agua del </w:t>
      </w:r>
      <w:r>
        <w:rPr>
          <w:rFonts w:ascii="Times New Roman" w:hAnsi="Times New Roman" w:cs="Times New Roman"/>
          <w:sz w:val="24"/>
          <w:szCs w:val="24"/>
          <w:lang w:val="es-AR"/>
        </w:rPr>
        <w:lastRenderedPageBreak/>
        <w:t>Atuel, el Izuel. Dicho canal facilitó el</w:t>
      </w:r>
      <w:r w:rsidR="00597B1B">
        <w:rPr>
          <w:rFonts w:ascii="Times New Roman" w:hAnsi="Times New Roman" w:cs="Times New Roman"/>
          <w:sz w:val="24"/>
          <w:szCs w:val="24"/>
          <w:lang w:val="es-AR"/>
        </w:rPr>
        <w:t xml:space="preserve"> riego en la zona donde se asentaría más tarde </w:t>
      </w:r>
      <w:r>
        <w:rPr>
          <w:rFonts w:ascii="Times New Roman" w:hAnsi="Times New Roman" w:cs="Times New Roman"/>
          <w:sz w:val="24"/>
          <w:szCs w:val="24"/>
          <w:lang w:val="es-AR"/>
        </w:rPr>
        <w:t>una de las bodegas más importantes en el oasis sur, Arizu.</w:t>
      </w:r>
    </w:p>
    <w:p w14:paraId="52259844" w14:textId="0208EA64" w:rsidR="00FB2D01" w:rsidRDefault="00FB2D01"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La construcción de canales y obras hidráulicas, realizadas de forma unilateral en Mendoza, afectó decisivamente los caudales del río Atuel, que comenzó a disminu</w:t>
      </w:r>
      <w:r w:rsidR="00597B1B">
        <w:rPr>
          <w:rFonts w:ascii="Times New Roman" w:hAnsi="Times New Roman" w:cs="Times New Roman"/>
          <w:sz w:val="24"/>
          <w:szCs w:val="24"/>
          <w:lang w:val="es-AR"/>
        </w:rPr>
        <w:t xml:space="preserve">ir sus volúmenes, perjudicando, aguas debajo de la cuenca, el </w:t>
      </w:r>
      <w:r>
        <w:rPr>
          <w:rFonts w:ascii="Times New Roman" w:hAnsi="Times New Roman" w:cs="Times New Roman"/>
          <w:sz w:val="24"/>
          <w:szCs w:val="24"/>
          <w:lang w:val="es-AR"/>
        </w:rPr>
        <w:t>oeste pampeano, donde la actividad ganadera era el sustento económico.</w:t>
      </w:r>
      <w:r>
        <w:rPr>
          <w:rFonts w:ascii="Times New Roman" w:hAnsi="Times New Roman" w:cs="Times New Roman"/>
          <w:sz w:val="24"/>
          <w:szCs w:val="24"/>
          <w:lang w:val="es-AR"/>
        </w:rPr>
        <w:tab/>
        <w:t xml:space="preserve">En el contexto de los estudios sobre el conflicto del Atuel entre las provincias de La Pampa y Mendoza, se </w:t>
      </w:r>
      <w:r w:rsidR="00DF75C9">
        <w:rPr>
          <w:rFonts w:ascii="Times New Roman" w:hAnsi="Times New Roman" w:cs="Times New Roman"/>
          <w:sz w:val="24"/>
          <w:szCs w:val="24"/>
          <w:lang w:val="es-AR"/>
        </w:rPr>
        <w:t>considera el año de puesta en funcionamiento de la represa el Nihuil, 1947, como el de hito en la interrupción del río. Sin embargo, las disminuciones de caudales se iniciaron en las primeras décadas del siglo XX. Con el fin de comprender el marco económico, político y social en que se insertan estas obras hidráulicas, es que se estudia</w:t>
      </w:r>
      <w:r w:rsidR="0093030A">
        <w:rPr>
          <w:rFonts w:ascii="Times New Roman" w:hAnsi="Times New Roman" w:cs="Times New Roman"/>
          <w:sz w:val="24"/>
          <w:szCs w:val="24"/>
          <w:lang w:val="es-AR"/>
        </w:rPr>
        <w:t>n</w:t>
      </w:r>
      <w:r w:rsidR="00DF75C9">
        <w:rPr>
          <w:rFonts w:ascii="Times New Roman" w:hAnsi="Times New Roman" w:cs="Times New Roman"/>
          <w:sz w:val="24"/>
          <w:szCs w:val="24"/>
          <w:lang w:val="es-AR"/>
        </w:rPr>
        <w:t xml:space="preserve"> alguno</w:t>
      </w:r>
      <w:r w:rsidR="0093030A">
        <w:rPr>
          <w:rFonts w:ascii="Times New Roman" w:hAnsi="Times New Roman" w:cs="Times New Roman"/>
          <w:sz w:val="24"/>
          <w:szCs w:val="24"/>
          <w:lang w:val="es-AR"/>
        </w:rPr>
        <w:t>s</w:t>
      </w:r>
      <w:r w:rsidR="00DF75C9">
        <w:rPr>
          <w:rFonts w:ascii="Times New Roman" w:hAnsi="Times New Roman" w:cs="Times New Roman"/>
          <w:sz w:val="24"/>
          <w:szCs w:val="24"/>
          <w:lang w:val="es-AR"/>
        </w:rPr>
        <w:t xml:space="preserve"> de los primeros bodegueros de importancia que se localizaron en el oasis sur, como los Arizu, Iselin y Cremaschi. Los mismos representan un sector dentro de la economía local que cuentan con capital social, político y técnico. Ello les facilitó establecer lazos con otros sectores provinciales, incluso nacionales, y ocupar puestos claves dentro del </w:t>
      </w:r>
      <w:r w:rsidR="0093030A">
        <w:rPr>
          <w:rFonts w:ascii="Times New Roman" w:hAnsi="Times New Roman" w:cs="Times New Roman"/>
          <w:sz w:val="24"/>
          <w:szCs w:val="24"/>
          <w:lang w:val="es-AR"/>
        </w:rPr>
        <w:t>gobierno o instituciones como el Departamento General de Irrigación</w:t>
      </w:r>
      <w:r w:rsidR="00DF75C9">
        <w:rPr>
          <w:rFonts w:ascii="Times New Roman" w:hAnsi="Times New Roman" w:cs="Times New Roman"/>
          <w:sz w:val="24"/>
          <w:szCs w:val="24"/>
          <w:lang w:val="es-AR"/>
        </w:rPr>
        <w:t>.</w:t>
      </w:r>
    </w:p>
    <w:p w14:paraId="074F3DFA" w14:textId="77777777" w:rsidR="00DF75C9" w:rsidRDefault="00DF75C9"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Su estudio es necesario ya que son un factor decisivo en la discusión que se produjo en torno a la interprovincialidad del río, negada en parte por Mendoza, como así también en las transformaciones que sufre la cuenca media (canalizaciones, obras hidráulicas) y la inferior con la disminución de la escorrentía. </w:t>
      </w:r>
    </w:p>
    <w:p w14:paraId="06094810" w14:textId="77777777" w:rsidR="00DF75C9" w:rsidRDefault="00DF75C9"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A continuación, el trabajo se ordena presentando el enfoque teórico desde el cual se aborda el desarrollo del oasis sur y su impacto en el oeste pampeano; </w:t>
      </w:r>
      <w:r w:rsidR="00B63E16">
        <w:rPr>
          <w:rFonts w:ascii="Times New Roman" w:hAnsi="Times New Roman" w:cs="Times New Roman"/>
          <w:sz w:val="24"/>
          <w:szCs w:val="24"/>
          <w:lang w:val="es-AR"/>
        </w:rPr>
        <w:t xml:space="preserve">la metodología utilizada; </w:t>
      </w:r>
      <w:r>
        <w:rPr>
          <w:rFonts w:ascii="Times New Roman" w:hAnsi="Times New Roman" w:cs="Times New Roman"/>
          <w:sz w:val="24"/>
          <w:szCs w:val="24"/>
          <w:lang w:val="es-AR"/>
        </w:rPr>
        <w:t xml:space="preserve">el papel de las bodegas importantes y el primer canal. Por último, en las consideraciones finales, el impacto sobre el territorio que produjo la actividad vitivinícola. </w:t>
      </w:r>
    </w:p>
    <w:p w14:paraId="2D1E2FAE" w14:textId="77777777" w:rsidR="002E2C12" w:rsidRDefault="002E2C12" w:rsidP="00AB6A2B">
      <w:pPr>
        <w:spacing w:line="360" w:lineRule="auto"/>
        <w:jc w:val="both"/>
        <w:rPr>
          <w:rFonts w:ascii="Times New Roman" w:hAnsi="Times New Roman" w:cs="Times New Roman"/>
          <w:sz w:val="24"/>
          <w:szCs w:val="24"/>
          <w:lang w:val="es-AR"/>
        </w:rPr>
      </w:pPr>
      <w:r w:rsidRPr="002E2C12">
        <w:rPr>
          <w:rFonts w:ascii="Times New Roman" w:hAnsi="Times New Roman" w:cs="Times New Roman"/>
          <w:b/>
          <w:sz w:val="24"/>
          <w:szCs w:val="24"/>
          <w:lang w:val="es-AR"/>
        </w:rPr>
        <w:t>Marco teórico</w:t>
      </w:r>
      <w:r>
        <w:rPr>
          <w:rFonts w:ascii="Times New Roman" w:hAnsi="Times New Roman" w:cs="Times New Roman"/>
          <w:sz w:val="24"/>
          <w:szCs w:val="24"/>
          <w:lang w:val="es-AR"/>
        </w:rPr>
        <w:t xml:space="preserve">. </w:t>
      </w:r>
    </w:p>
    <w:p w14:paraId="7A1803F1" w14:textId="77777777" w:rsidR="00775BAE" w:rsidRPr="007C6AB7" w:rsidRDefault="002E2C12"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El trabajo se inscribe dentro de los estudios sobre la ecología política del agua y la geografía física crítica (GFC), ambos campos de estudio bastante recientes, que elaboran una serie de conceptos teóricos híbridos, como el de ciclo hidrosocial y territorio hidrosocial. Los estudios sobre ecología política se originan en las últimas décadas considerando cómo influyen el poder y las relaciones de p</w:t>
      </w:r>
      <w:r w:rsidR="00AE5B9D">
        <w:rPr>
          <w:rFonts w:ascii="Times New Roman" w:hAnsi="Times New Roman" w:cs="Times New Roman"/>
          <w:sz w:val="24"/>
          <w:szCs w:val="24"/>
          <w:lang w:val="es-AR"/>
        </w:rPr>
        <w:t>oder en relación al acceso y re-</w:t>
      </w:r>
      <w:r>
        <w:rPr>
          <w:rFonts w:ascii="Times New Roman" w:hAnsi="Times New Roman" w:cs="Times New Roman"/>
          <w:sz w:val="24"/>
          <w:szCs w:val="24"/>
          <w:lang w:val="es-AR"/>
        </w:rPr>
        <w:t xml:space="preserve">apropiación de la </w:t>
      </w:r>
      <w:r>
        <w:rPr>
          <w:rFonts w:ascii="Times New Roman" w:hAnsi="Times New Roman" w:cs="Times New Roman"/>
          <w:sz w:val="24"/>
          <w:szCs w:val="24"/>
          <w:lang w:val="es-AR"/>
        </w:rPr>
        <w:lastRenderedPageBreak/>
        <w:t>naturaleza</w:t>
      </w:r>
      <w:r w:rsidR="00152B14">
        <w:rPr>
          <w:rFonts w:ascii="Times New Roman" w:hAnsi="Times New Roman" w:cs="Times New Roman"/>
          <w:sz w:val="24"/>
          <w:szCs w:val="24"/>
          <w:lang w:val="es-AR"/>
        </w:rPr>
        <w:t xml:space="preserve">. </w:t>
      </w:r>
      <w:r w:rsidR="00152B14" w:rsidRPr="00152B14">
        <w:rPr>
          <w:rFonts w:ascii="Times New Roman" w:hAnsi="Times New Roman" w:cs="Times New Roman"/>
          <w:sz w:val="24"/>
          <w:szCs w:val="24"/>
        </w:rPr>
        <w:t xml:space="preserve">Al </w:t>
      </w:r>
      <w:r w:rsidR="00152B14">
        <w:rPr>
          <w:rFonts w:ascii="Times New Roman" w:hAnsi="Times New Roman" w:cs="Times New Roman"/>
          <w:sz w:val="24"/>
          <w:szCs w:val="24"/>
        </w:rPr>
        <w:t>respect,</w:t>
      </w:r>
      <w:r w:rsidR="00152B14" w:rsidRPr="00152B14">
        <w:rPr>
          <w:rFonts w:ascii="Times New Roman" w:hAnsi="Times New Roman" w:cs="Times New Roman"/>
          <w:sz w:val="24"/>
          <w:szCs w:val="24"/>
        </w:rPr>
        <w:t xml:space="preserve"> Robbins afirma </w:t>
      </w:r>
      <w:r w:rsidR="00152B14">
        <w:rPr>
          <w:rFonts w:ascii="Times New Roman" w:hAnsi="Times New Roman" w:cs="Times New Roman"/>
          <w:sz w:val="24"/>
          <w:szCs w:val="24"/>
        </w:rPr>
        <w:t>“</w:t>
      </w:r>
      <w:r w:rsidR="00152B14" w:rsidRPr="00152B14">
        <w:rPr>
          <w:rFonts w:ascii="Times New Roman" w:hAnsi="Times New Roman" w:cs="Times New Roman"/>
          <w:i/>
          <w:sz w:val="24"/>
          <w:szCs w:val="24"/>
        </w:rPr>
        <w:t>before a semi-coherent body of political ecological</w:t>
      </w:r>
      <w:r w:rsidR="00152B14">
        <w:rPr>
          <w:rFonts w:ascii="Times New Roman" w:hAnsi="Times New Roman" w:cs="Times New Roman"/>
          <w:i/>
          <w:sz w:val="24"/>
          <w:szCs w:val="24"/>
        </w:rPr>
        <w:t xml:space="preserve"> theory emerged in the late twentieth century, many explicitly political practitioners emerged from the ranks of fields ecologists, ethnographers, explorers and others research”</w:t>
      </w:r>
      <w:sdt>
        <w:sdtPr>
          <w:rPr>
            <w:rFonts w:ascii="Times New Roman" w:hAnsi="Times New Roman" w:cs="Times New Roman"/>
            <w:i/>
            <w:sz w:val="24"/>
            <w:szCs w:val="24"/>
          </w:rPr>
          <w:id w:val="-746491530"/>
          <w:citation/>
        </w:sdtPr>
        <w:sdtEndPr/>
        <w:sdtContent>
          <w:r w:rsidR="005F2A08">
            <w:rPr>
              <w:rFonts w:ascii="Times New Roman" w:hAnsi="Times New Roman" w:cs="Times New Roman"/>
              <w:i/>
              <w:sz w:val="24"/>
              <w:szCs w:val="24"/>
            </w:rPr>
            <w:fldChar w:fldCharType="begin"/>
          </w:r>
          <w:r w:rsidR="00152B14">
            <w:rPr>
              <w:rFonts w:ascii="Times New Roman" w:hAnsi="Times New Roman" w:cs="Times New Roman"/>
              <w:sz w:val="24"/>
              <w:szCs w:val="24"/>
            </w:rPr>
            <w:instrText xml:space="preserve">CITATION Pau12 \p 24 \l 11274 </w:instrText>
          </w:r>
          <w:r w:rsidR="005F2A08">
            <w:rPr>
              <w:rFonts w:ascii="Times New Roman" w:hAnsi="Times New Roman" w:cs="Times New Roman"/>
              <w:i/>
              <w:sz w:val="24"/>
              <w:szCs w:val="24"/>
            </w:rPr>
            <w:fldChar w:fldCharType="separate"/>
          </w:r>
          <w:r w:rsidR="00152B14" w:rsidRPr="00152B14">
            <w:rPr>
              <w:rFonts w:ascii="Times New Roman" w:hAnsi="Times New Roman" w:cs="Times New Roman"/>
              <w:noProof/>
              <w:sz w:val="24"/>
              <w:szCs w:val="24"/>
            </w:rPr>
            <w:t>(Robbins, 2012, pág. 24)</w:t>
          </w:r>
          <w:r w:rsidR="005F2A08">
            <w:rPr>
              <w:rFonts w:ascii="Times New Roman" w:hAnsi="Times New Roman" w:cs="Times New Roman"/>
              <w:i/>
              <w:sz w:val="24"/>
              <w:szCs w:val="24"/>
            </w:rPr>
            <w:fldChar w:fldCharType="end"/>
          </w:r>
        </w:sdtContent>
      </w:sdt>
      <w:r w:rsidRPr="00152B14">
        <w:rPr>
          <w:rFonts w:ascii="Times New Roman" w:hAnsi="Times New Roman" w:cs="Times New Roman"/>
          <w:sz w:val="24"/>
          <w:szCs w:val="24"/>
        </w:rPr>
        <w:t xml:space="preserve">. </w:t>
      </w:r>
      <w:r>
        <w:rPr>
          <w:rFonts w:ascii="Times New Roman" w:hAnsi="Times New Roman" w:cs="Times New Roman"/>
          <w:sz w:val="24"/>
          <w:szCs w:val="24"/>
          <w:lang w:val="es-AR"/>
        </w:rPr>
        <w:t>En el caso de América Latina, estos estudios se asientan en una concepción filosófica crítica alimentada por la</w:t>
      </w:r>
      <w:r w:rsidR="00AE5B9D">
        <w:rPr>
          <w:rFonts w:ascii="Times New Roman" w:hAnsi="Times New Roman" w:cs="Times New Roman"/>
          <w:sz w:val="24"/>
          <w:szCs w:val="24"/>
          <w:lang w:val="es-AR"/>
        </w:rPr>
        <w:t xml:space="preserve"> filosofía de la liberación, la cual</w:t>
      </w:r>
      <w:r>
        <w:rPr>
          <w:rFonts w:ascii="Times New Roman" w:hAnsi="Times New Roman" w:cs="Times New Roman"/>
          <w:sz w:val="24"/>
          <w:szCs w:val="24"/>
          <w:lang w:val="es-AR"/>
        </w:rPr>
        <w:t xml:space="preserve"> cuestiona la colonialidad impuesta y consolidada luego de la llegada de la cultura europea. </w:t>
      </w:r>
      <w:r w:rsidR="00775BAE" w:rsidRPr="00A06485">
        <w:rPr>
          <w:rFonts w:ascii="Times New Roman" w:hAnsi="Times New Roman" w:cs="Times New Roman"/>
          <w:sz w:val="24"/>
          <w:szCs w:val="24"/>
          <w:lang w:val="es-AR"/>
        </w:rPr>
        <w:t>En este proceso de releer y analizar desde otros ángulos los procesos históricos de ocupación de los territorios, la naturaleza pasó a ocupar una posición cada vez de mayor importancia. En tal sentido hoy puede afirmarse que el pensamiento crítico social sudamericano y la conformación de nuevos movimientos sociales que encauzan nuevas demandas, se visibilizan y accionan a p</w:t>
      </w:r>
      <w:r w:rsidR="00775BAE">
        <w:rPr>
          <w:rFonts w:ascii="Times New Roman" w:hAnsi="Times New Roman" w:cs="Times New Roman"/>
          <w:sz w:val="24"/>
          <w:szCs w:val="24"/>
          <w:lang w:val="es-AR"/>
        </w:rPr>
        <w:t xml:space="preserve">artir de conflictos ambientales. La ecología política del agua propone un enfoque problematizador a la temática hídrica estudiando las relaciones que se establecen entre el ciclo hidrológico y las distintas relaciones de poder social, económico y político </w:t>
      </w:r>
      <w:sdt>
        <w:sdtPr>
          <w:rPr>
            <w:rFonts w:ascii="Times New Roman" w:hAnsi="Times New Roman" w:cs="Times New Roman"/>
            <w:sz w:val="24"/>
            <w:szCs w:val="24"/>
            <w:lang w:val="es-AR"/>
          </w:rPr>
          <w:id w:val="-544220503"/>
          <w:citation/>
        </w:sdtPr>
        <w:sdtEndPr/>
        <w:sdtContent>
          <w:r w:rsidR="005F2A08">
            <w:rPr>
              <w:rFonts w:ascii="Times New Roman" w:hAnsi="Times New Roman" w:cs="Times New Roman"/>
              <w:sz w:val="24"/>
              <w:szCs w:val="24"/>
              <w:lang w:val="es-AR"/>
            </w:rPr>
            <w:fldChar w:fldCharType="begin"/>
          </w:r>
          <w:r w:rsidR="007C6AB7">
            <w:rPr>
              <w:rFonts w:ascii="Times New Roman" w:hAnsi="Times New Roman" w:cs="Times New Roman"/>
              <w:sz w:val="24"/>
              <w:szCs w:val="24"/>
              <w:lang w:val="es-AR"/>
            </w:rPr>
            <w:instrText xml:space="preserve"> CITATION Swy17 \l 11274 </w:instrText>
          </w:r>
          <w:r w:rsidR="005F2A08">
            <w:rPr>
              <w:rFonts w:ascii="Times New Roman" w:hAnsi="Times New Roman" w:cs="Times New Roman"/>
              <w:sz w:val="24"/>
              <w:szCs w:val="24"/>
              <w:lang w:val="es-AR"/>
            </w:rPr>
            <w:fldChar w:fldCharType="separate"/>
          </w:r>
          <w:r w:rsidR="007C6AB7" w:rsidRPr="007C6AB7">
            <w:rPr>
              <w:rFonts w:ascii="Times New Roman" w:hAnsi="Times New Roman" w:cs="Times New Roman"/>
              <w:noProof/>
              <w:sz w:val="24"/>
              <w:szCs w:val="24"/>
              <w:lang w:val="es-AR"/>
            </w:rPr>
            <w:t>(Swyngedouw, 2017)</w:t>
          </w:r>
          <w:r w:rsidR="005F2A08">
            <w:rPr>
              <w:rFonts w:ascii="Times New Roman" w:hAnsi="Times New Roman" w:cs="Times New Roman"/>
              <w:sz w:val="24"/>
              <w:szCs w:val="24"/>
              <w:lang w:val="es-AR"/>
            </w:rPr>
            <w:fldChar w:fldCharType="end"/>
          </w:r>
        </w:sdtContent>
      </w:sdt>
      <w:r w:rsidR="007C6AB7">
        <w:rPr>
          <w:rFonts w:ascii="Times New Roman" w:hAnsi="Times New Roman" w:cs="Times New Roman"/>
          <w:sz w:val="24"/>
          <w:szCs w:val="24"/>
          <w:lang w:val="es-AR"/>
        </w:rPr>
        <w:t>.</w:t>
      </w:r>
    </w:p>
    <w:p w14:paraId="065C3DAC" w14:textId="3EF9E3D1" w:rsidR="002E2C12" w:rsidRDefault="002E2C12"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tanto, la geografía física crítica, </w:t>
      </w:r>
      <w:r w:rsidR="003241A8">
        <w:rPr>
          <w:rFonts w:ascii="Times New Roman" w:hAnsi="Times New Roman" w:cs="Times New Roman"/>
          <w:sz w:val="24"/>
          <w:szCs w:val="24"/>
          <w:lang w:val="es-AR"/>
        </w:rPr>
        <w:t>comienza a consolidarse como un subcampo disciplinar en las últimas dos décadas, con una tradición de desarrollo en territorios anglosajones y en la cuenca del Pacífico, específicamente en Nueva Zelanda. La GFC parte de la necesidad de integrar a la geografía física y la geografía humana</w:t>
      </w:r>
      <w:sdt>
        <w:sdtPr>
          <w:rPr>
            <w:rFonts w:ascii="Times New Roman" w:hAnsi="Times New Roman" w:cs="Times New Roman"/>
            <w:sz w:val="24"/>
            <w:szCs w:val="24"/>
            <w:lang w:val="es-AR"/>
          </w:rPr>
          <w:id w:val="-190295527"/>
          <w:citation/>
        </w:sdtPr>
        <w:sdtEndPr/>
        <w:sdtContent>
          <w:r w:rsidR="005F2A08">
            <w:rPr>
              <w:rFonts w:ascii="Times New Roman" w:hAnsi="Times New Roman" w:cs="Times New Roman"/>
              <w:sz w:val="24"/>
              <w:szCs w:val="24"/>
              <w:lang w:val="es-AR"/>
            </w:rPr>
            <w:fldChar w:fldCharType="begin"/>
          </w:r>
          <w:r w:rsidR="00CE7AA2">
            <w:rPr>
              <w:rFonts w:ascii="Times New Roman" w:hAnsi="Times New Roman" w:cs="Times New Roman"/>
              <w:sz w:val="24"/>
              <w:szCs w:val="24"/>
              <w:lang w:val="es-AR"/>
            </w:rPr>
            <w:instrText xml:space="preserve"> CITATION Reb141 \l 11274 </w:instrText>
          </w:r>
          <w:r w:rsidR="005F2A08">
            <w:rPr>
              <w:rFonts w:ascii="Times New Roman" w:hAnsi="Times New Roman" w:cs="Times New Roman"/>
              <w:sz w:val="24"/>
              <w:szCs w:val="24"/>
              <w:lang w:val="es-AR"/>
            </w:rPr>
            <w:fldChar w:fldCharType="separate"/>
          </w:r>
          <w:r w:rsidR="00CE7AA2" w:rsidRPr="00CE7AA2">
            <w:rPr>
              <w:rFonts w:ascii="Times New Roman" w:hAnsi="Times New Roman" w:cs="Times New Roman"/>
              <w:noProof/>
              <w:sz w:val="24"/>
              <w:szCs w:val="24"/>
              <w:lang w:val="es-AR"/>
            </w:rPr>
            <w:t>(Lave, 2014)</w:t>
          </w:r>
          <w:r w:rsidR="005F2A08">
            <w:rPr>
              <w:rFonts w:ascii="Times New Roman" w:hAnsi="Times New Roman" w:cs="Times New Roman"/>
              <w:sz w:val="24"/>
              <w:szCs w:val="24"/>
              <w:lang w:val="es-AR"/>
            </w:rPr>
            <w:fldChar w:fldCharType="end"/>
          </w:r>
        </w:sdtContent>
      </w:sdt>
      <w:r w:rsidR="003241A8">
        <w:rPr>
          <w:rFonts w:ascii="Times New Roman" w:hAnsi="Times New Roman" w:cs="Times New Roman"/>
          <w:sz w:val="24"/>
          <w:szCs w:val="24"/>
          <w:lang w:val="es-AR"/>
        </w:rPr>
        <w:t xml:space="preserve">, que han tendido a trabajar sus objetos de estudio (el espacio y el hombre) por separado, con escasas consideraciones entre una y otra. En el marco actual donde </w:t>
      </w:r>
      <w:r w:rsidR="00B25E56">
        <w:rPr>
          <w:rFonts w:ascii="Times New Roman" w:hAnsi="Times New Roman" w:cs="Times New Roman"/>
          <w:sz w:val="24"/>
          <w:szCs w:val="24"/>
          <w:lang w:val="es-AR"/>
        </w:rPr>
        <w:t>la problemática socio ambiental se agravo y en consecuencia son necesarias nuevas respuestas y la creación de marcos referenciales que brinden más herramientas investigativas, es que surge como un cuestionamiento al interior de la disci</w:t>
      </w:r>
      <w:r w:rsidR="00AE5B9D">
        <w:rPr>
          <w:rFonts w:ascii="Times New Roman" w:hAnsi="Times New Roman" w:cs="Times New Roman"/>
          <w:sz w:val="24"/>
          <w:szCs w:val="24"/>
          <w:lang w:val="es-AR"/>
        </w:rPr>
        <w:t>plina geográfica. Se plantea, entonces,</w:t>
      </w:r>
      <w:r w:rsidR="00B25E56">
        <w:rPr>
          <w:rFonts w:ascii="Times New Roman" w:hAnsi="Times New Roman" w:cs="Times New Roman"/>
          <w:sz w:val="24"/>
          <w:szCs w:val="24"/>
          <w:lang w:val="es-AR"/>
        </w:rPr>
        <w:t xml:space="preserve"> la necesidad de integrar los campos disciplinares y abordar la complejidad de los temas y problemas, con conceptos híbridos</w:t>
      </w:r>
      <w:r w:rsidR="004A1E7F">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78703608"/>
          <w:citation/>
        </w:sdtPr>
        <w:sdtEndPr/>
        <w:sdtContent>
          <w:r w:rsidR="005F2A08">
            <w:rPr>
              <w:rFonts w:ascii="Times New Roman" w:hAnsi="Times New Roman" w:cs="Times New Roman"/>
              <w:sz w:val="24"/>
              <w:szCs w:val="24"/>
              <w:lang w:val="es-AR"/>
            </w:rPr>
            <w:fldChar w:fldCharType="begin"/>
          </w:r>
          <w:r w:rsidR="00CE7AA2">
            <w:rPr>
              <w:rFonts w:ascii="Times New Roman" w:hAnsi="Times New Roman" w:cs="Times New Roman"/>
              <w:sz w:val="24"/>
              <w:szCs w:val="24"/>
              <w:lang w:val="es-AR"/>
            </w:rPr>
            <w:instrText xml:space="preserve"> CITATION And171 \l 11274 </w:instrText>
          </w:r>
          <w:r w:rsidR="005F2A08">
            <w:rPr>
              <w:rFonts w:ascii="Times New Roman" w:hAnsi="Times New Roman" w:cs="Times New Roman"/>
              <w:sz w:val="24"/>
              <w:szCs w:val="24"/>
              <w:lang w:val="es-AR"/>
            </w:rPr>
            <w:fldChar w:fldCharType="separate"/>
          </w:r>
          <w:r w:rsidR="00CE7AA2" w:rsidRPr="00CE7AA2">
            <w:rPr>
              <w:rFonts w:ascii="Times New Roman" w:hAnsi="Times New Roman" w:cs="Times New Roman"/>
              <w:noProof/>
              <w:sz w:val="24"/>
              <w:szCs w:val="24"/>
              <w:lang w:val="es-AR"/>
            </w:rPr>
            <w:t>(Goudie, 2017)</w:t>
          </w:r>
          <w:r w:rsidR="005F2A08">
            <w:rPr>
              <w:rFonts w:ascii="Times New Roman" w:hAnsi="Times New Roman" w:cs="Times New Roman"/>
              <w:sz w:val="24"/>
              <w:szCs w:val="24"/>
              <w:lang w:val="es-AR"/>
            </w:rPr>
            <w:fldChar w:fldCharType="end"/>
          </w:r>
        </w:sdtContent>
      </w:sdt>
      <w:r w:rsidR="00B25E56">
        <w:rPr>
          <w:rFonts w:ascii="Times New Roman" w:hAnsi="Times New Roman" w:cs="Times New Roman"/>
          <w:sz w:val="24"/>
          <w:szCs w:val="24"/>
          <w:lang w:val="es-AR"/>
        </w:rPr>
        <w:t>. Es así como se conforman desde la GFC el concepto hidrosocial.</w:t>
      </w:r>
    </w:p>
    <w:p w14:paraId="1BB6B28C" w14:textId="48238947" w:rsidR="00B25E56" w:rsidRDefault="00B25E56"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Al respecto al hablar de ciclo hidrosocial se complejiza y reelabora el ciclo hidrológico de Horton. El ciclo hidrosocial da cuenta de la circulación del agua como un proceso socio-natural donde el agua y la sociedad se hacen y re-hacen de modo casi continuo, en espacio</w:t>
      </w:r>
      <w:r w:rsidR="004A1E7F">
        <w:rPr>
          <w:rFonts w:ascii="Times New Roman" w:hAnsi="Times New Roman" w:cs="Times New Roman"/>
          <w:sz w:val="24"/>
          <w:szCs w:val="24"/>
          <w:lang w:val="es-AR"/>
        </w:rPr>
        <w:t xml:space="preserve"> y tiempo </w:t>
      </w:r>
      <w:sdt>
        <w:sdtPr>
          <w:rPr>
            <w:rFonts w:ascii="Times New Roman" w:hAnsi="Times New Roman" w:cs="Times New Roman"/>
            <w:sz w:val="24"/>
            <w:szCs w:val="24"/>
            <w:lang w:val="es-AR"/>
          </w:rPr>
          <w:id w:val="-2000725086"/>
          <w:citation/>
        </w:sdtPr>
        <w:sdtEndPr/>
        <w:sdtContent>
          <w:r w:rsidR="004A1E7F">
            <w:rPr>
              <w:rFonts w:ascii="Times New Roman" w:hAnsi="Times New Roman" w:cs="Times New Roman"/>
              <w:sz w:val="24"/>
              <w:szCs w:val="24"/>
              <w:lang w:val="es-AR"/>
            </w:rPr>
            <w:fldChar w:fldCharType="begin"/>
          </w:r>
          <w:r w:rsidR="004A1E7F">
            <w:rPr>
              <w:rFonts w:ascii="Times New Roman" w:hAnsi="Times New Roman" w:cs="Times New Roman"/>
              <w:sz w:val="24"/>
              <w:szCs w:val="24"/>
              <w:lang w:val="es-AR"/>
            </w:rPr>
            <w:instrText xml:space="preserve">CITATION Jam142 \l 11274 </w:instrText>
          </w:r>
          <w:r w:rsidR="004A1E7F">
            <w:rPr>
              <w:rFonts w:ascii="Times New Roman" w:hAnsi="Times New Roman" w:cs="Times New Roman"/>
              <w:sz w:val="24"/>
              <w:szCs w:val="24"/>
              <w:lang w:val="es-AR"/>
            </w:rPr>
            <w:fldChar w:fldCharType="separate"/>
          </w:r>
          <w:r w:rsidR="004A1E7F" w:rsidRPr="004A1E7F">
            <w:rPr>
              <w:rFonts w:ascii="Times New Roman" w:hAnsi="Times New Roman" w:cs="Times New Roman"/>
              <w:noProof/>
              <w:sz w:val="24"/>
              <w:szCs w:val="24"/>
              <w:lang w:val="es-AR"/>
            </w:rPr>
            <w:t>(J. Linton y J. Budds, 2014)</w:t>
          </w:r>
          <w:r w:rsidR="004A1E7F">
            <w:rPr>
              <w:rFonts w:ascii="Times New Roman" w:hAnsi="Times New Roman" w:cs="Times New Roman"/>
              <w:sz w:val="24"/>
              <w:szCs w:val="24"/>
              <w:lang w:val="es-AR"/>
            </w:rPr>
            <w:fldChar w:fldCharType="end"/>
          </w:r>
        </w:sdtContent>
      </w:sdt>
      <w:r>
        <w:rPr>
          <w:rFonts w:ascii="Times New Roman" w:hAnsi="Times New Roman" w:cs="Times New Roman"/>
          <w:sz w:val="24"/>
          <w:szCs w:val="24"/>
          <w:lang w:val="es-AR"/>
        </w:rPr>
        <w:t xml:space="preserve">. Estos autores incorporan algunas ideas claves que ayudan a comprender la riqueza del término. En primer lugar, el manejo del agua </w:t>
      </w:r>
      <w:r>
        <w:rPr>
          <w:rFonts w:ascii="Times New Roman" w:hAnsi="Times New Roman" w:cs="Times New Roman"/>
          <w:sz w:val="24"/>
          <w:szCs w:val="24"/>
          <w:lang w:val="es-AR"/>
        </w:rPr>
        <w:lastRenderedPageBreak/>
        <w:t xml:space="preserve">cumple un rol clave en la forma como se organiza la sociedad; en segundo lugar, la relación entre agua y sociedad es compleja, por lo que determinadas relaciones sociales producen determinados tipos de agua. </w:t>
      </w:r>
      <w:r w:rsidRPr="005E4C23">
        <w:rPr>
          <w:rFonts w:ascii="Times New Roman" w:hAnsi="Times New Roman" w:cs="Times New Roman"/>
          <w:sz w:val="24"/>
          <w:szCs w:val="24"/>
          <w:lang w:val="es-ES"/>
        </w:rPr>
        <w:t xml:space="preserve">Por </w:t>
      </w:r>
      <w:r w:rsidR="00597B1B" w:rsidRPr="005E4C23">
        <w:rPr>
          <w:rFonts w:ascii="Times New Roman" w:hAnsi="Times New Roman" w:cs="Times New Roman"/>
          <w:sz w:val="24"/>
          <w:szCs w:val="24"/>
          <w:lang w:val="es-ES"/>
        </w:rPr>
        <w:t>último</w:t>
      </w:r>
      <w:r w:rsidRPr="005E4C23">
        <w:rPr>
          <w:rFonts w:ascii="Times New Roman" w:hAnsi="Times New Roman" w:cs="Times New Roman"/>
          <w:sz w:val="24"/>
          <w:szCs w:val="24"/>
          <w:lang w:val="es-ES"/>
        </w:rPr>
        <w:t>, “</w:t>
      </w:r>
      <w:proofErr w:type="spellStart"/>
      <w:r w:rsidRPr="005E4C23">
        <w:rPr>
          <w:rFonts w:ascii="Times New Roman" w:hAnsi="Times New Roman" w:cs="Times New Roman"/>
          <w:sz w:val="24"/>
          <w:szCs w:val="24"/>
          <w:lang w:val="es-ES"/>
        </w:rPr>
        <w:t>the</w:t>
      </w:r>
      <w:proofErr w:type="spellEnd"/>
      <w:r w:rsidRPr="005E4C23">
        <w:rPr>
          <w:rFonts w:ascii="Times New Roman" w:hAnsi="Times New Roman" w:cs="Times New Roman"/>
          <w:sz w:val="24"/>
          <w:szCs w:val="24"/>
          <w:lang w:val="es-ES"/>
        </w:rPr>
        <w:t xml:space="preserve"> material </w:t>
      </w:r>
      <w:proofErr w:type="spellStart"/>
      <w:r w:rsidRPr="005E4C23">
        <w:rPr>
          <w:rFonts w:ascii="Times New Roman" w:hAnsi="Times New Roman" w:cs="Times New Roman"/>
          <w:sz w:val="24"/>
          <w:szCs w:val="24"/>
          <w:lang w:val="es-ES"/>
        </w:rPr>
        <w:t>properties</w:t>
      </w:r>
      <w:proofErr w:type="spellEnd"/>
      <w:r w:rsidRPr="005E4C23">
        <w:rPr>
          <w:rFonts w:ascii="Times New Roman" w:hAnsi="Times New Roman" w:cs="Times New Roman"/>
          <w:sz w:val="24"/>
          <w:szCs w:val="24"/>
          <w:lang w:val="es-ES"/>
        </w:rPr>
        <w:t xml:space="preserve"> of </w:t>
      </w:r>
      <w:proofErr w:type="spellStart"/>
      <w:r w:rsidR="0054124E" w:rsidRPr="005E4C23">
        <w:rPr>
          <w:rFonts w:ascii="Times New Roman" w:hAnsi="Times New Roman" w:cs="Times New Roman"/>
          <w:sz w:val="24"/>
          <w:szCs w:val="24"/>
          <w:lang w:val="es-ES"/>
        </w:rPr>
        <w:t>wa</w:t>
      </w:r>
      <w:r w:rsidRPr="005E4C23">
        <w:rPr>
          <w:rFonts w:ascii="Times New Roman" w:hAnsi="Times New Roman" w:cs="Times New Roman"/>
          <w:sz w:val="24"/>
          <w:szCs w:val="24"/>
          <w:lang w:val="es-ES"/>
        </w:rPr>
        <w:t>ter</w:t>
      </w:r>
      <w:proofErr w:type="spellEnd"/>
      <w:r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play</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a</w:t>
      </w:r>
      <w:r w:rsidRPr="005E4C23">
        <w:rPr>
          <w:rFonts w:ascii="Times New Roman" w:hAnsi="Times New Roman" w:cs="Times New Roman"/>
          <w:sz w:val="24"/>
          <w:szCs w:val="24"/>
          <w:lang w:val="es-ES"/>
        </w:rPr>
        <w:t>n</w:t>
      </w:r>
      <w:proofErr w:type="spellEnd"/>
      <w:r w:rsidRPr="005E4C23">
        <w:rPr>
          <w:rFonts w:ascii="Times New Roman" w:hAnsi="Times New Roman" w:cs="Times New Roman"/>
          <w:sz w:val="24"/>
          <w:szCs w:val="24"/>
          <w:lang w:val="es-ES"/>
        </w:rPr>
        <w:t xml:space="preserve"> </w:t>
      </w:r>
      <w:r w:rsidR="0054124E" w:rsidRPr="005E4C23">
        <w:rPr>
          <w:rFonts w:ascii="Times New Roman" w:hAnsi="Times New Roman" w:cs="Times New Roman"/>
          <w:sz w:val="24"/>
          <w:szCs w:val="24"/>
          <w:lang w:val="es-ES"/>
        </w:rPr>
        <w:t xml:space="preserve">active role in </w:t>
      </w:r>
      <w:proofErr w:type="spellStart"/>
      <w:r w:rsidR="0054124E" w:rsidRPr="005E4C23">
        <w:rPr>
          <w:rFonts w:ascii="Times New Roman" w:hAnsi="Times New Roman" w:cs="Times New Roman"/>
          <w:sz w:val="24"/>
          <w:szCs w:val="24"/>
          <w:lang w:val="es-ES"/>
        </w:rPr>
        <w:t>the</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hy</w:t>
      </w:r>
      <w:r w:rsidRPr="005E4C23">
        <w:rPr>
          <w:rFonts w:ascii="Times New Roman" w:hAnsi="Times New Roman" w:cs="Times New Roman"/>
          <w:sz w:val="24"/>
          <w:szCs w:val="24"/>
          <w:lang w:val="es-ES"/>
        </w:rPr>
        <w:t>drosocial</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process</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sometimes</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structuring</w:t>
      </w:r>
      <w:proofErr w:type="spellEnd"/>
      <w:r w:rsidR="0054124E" w:rsidRPr="005E4C23">
        <w:rPr>
          <w:rFonts w:ascii="Times New Roman" w:hAnsi="Times New Roman" w:cs="Times New Roman"/>
          <w:sz w:val="24"/>
          <w:szCs w:val="24"/>
          <w:lang w:val="es-ES"/>
        </w:rPr>
        <w:t xml:space="preserve"> social </w:t>
      </w:r>
      <w:proofErr w:type="spellStart"/>
      <w:r w:rsidR="0054124E" w:rsidRPr="005E4C23">
        <w:rPr>
          <w:rFonts w:ascii="Times New Roman" w:hAnsi="Times New Roman" w:cs="Times New Roman"/>
          <w:sz w:val="24"/>
          <w:szCs w:val="24"/>
          <w:lang w:val="es-ES"/>
        </w:rPr>
        <w:t>relations</w:t>
      </w:r>
      <w:proofErr w:type="spellEnd"/>
      <w:r w:rsidR="0054124E" w:rsidRPr="005E4C23">
        <w:rPr>
          <w:rFonts w:ascii="Times New Roman" w:hAnsi="Times New Roman" w:cs="Times New Roman"/>
          <w:sz w:val="24"/>
          <w:szCs w:val="24"/>
          <w:lang w:val="es-ES"/>
        </w:rPr>
        <w:t xml:space="preserve"> a</w:t>
      </w:r>
      <w:r w:rsidR="002C7E7D" w:rsidRPr="005E4C23">
        <w:rPr>
          <w:rFonts w:ascii="Times New Roman" w:hAnsi="Times New Roman" w:cs="Times New Roman"/>
          <w:sz w:val="24"/>
          <w:szCs w:val="24"/>
          <w:lang w:val="es-ES"/>
        </w:rPr>
        <w:t xml:space="preserve">nd </w:t>
      </w:r>
      <w:proofErr w:type="spellStart"/>
      <w:r w:rsidR="002C7E7D" w:rsidRPr="005E4C23">
        <w:rPr>
          <w:rFonts w:ascii="Times New Roman" w:hAnsi="Times New Roman" w:cs="Times New Roman"/>
          <w:sz w:val="24"/>
          <w:szCs w:val="24"/>
          <w:lang w:val="es-ES"/>
        </w:rPr>
        <w:t>sometimes</w:t>
      </w:r>
      <w:proofErr w:type="spellEnd"/>
      <w:r w:rsidR="002C7E7D" w:rsidRPr="005E4C23">
        <w:rPr>
          <w:rFonts w:ascii="Times New Roman" w:hAnsi="Times New Roman" w:cs="Times New Roman"/>
          <w:sz w:val="24"/>
          <w:szCs w:val="24"/>
          <w:lang w:val="es-ES"/>
        </w:rPr>
        <w:t xml:space="preserve"> </w:t>
      </w:r>
      <w:proofErr w:type="spellStart"/>
      <w:r w:rsidR="002C7E7D" w:rsidRPr="005E4C23">
        <w:rPr>
          <w:rFonts w:ascii="Times New Roman" w:hAnsi="Times New Roman" w:cs="Times New Roman"/>
          <w:sz w:val="24"/>
          <w:szCs w:val="24"/>
          <w:lang w:val="es-ES"/>
        </w:rPr>
        <w:t>disrupting</w:t>
      </w:r>
      <w:proofErr w:type="spellEnd"/>
      <w:r w:rsidR="002C7E7D" w:rsidRPr="005E4C23">
        <w:rPr>
          <w:rFonts w:ascii="Times New Roman" w:hAnsi="Times New Roman" w:cs="Times New Roman"/>
          <w:sz w:val="24"/>
          <w:szCs w:val="24"/>
          <w:lang w:val="es-ES"/>
        </w:rPr>
        <w:t xml:space="preserve"> </w:t>
      </w:r>
      <w:proofErr w:type="spellStart"/>
      <w:r w:rsidR="002C7E7D" w:rsidRPr="005E4C23">
        <w:rPr>
          <w:rFonts w:ascii="Times New Roman" w:hAnsi="Times New Roman" w:cs="Times New Roman"/>
          <w:sz w:val="24"/>
          <w:szCs w:val="24"/>
          <w:lang w:val="es-ES"/>
        </w:rPr>
        <w:t>them</w:t>
      </w:r>
      <w:proofErr w:type="spellEnd"/>
      <w:r w:rsidR="002C7E7D" w:rsidRPr="005E4C23">
        <w:rPr>
          <w:rFonts w:ascii="Times New Roman" w:hAnsi="Times New Roman" w:cs="Times New Roman"/>
          <w:sz w:val="24"/>
          <w:szCs w:val="24"/>
          <w:lang w:val="es-ES"/>
        </w:rPr>
        <w:t xml:space="preserve"> (</w:t>
      </w:r>
      <w:r w:rsidR="0054124E" w:rsidRPr="005E4C23">
        <w:rPr>
          <w:rFonts w:ascii="Times New Roman" w:hAnsi="Times New Roman" w:cs="Times New Roman"/>
          <w:sz w:val="24"/>
          <w:szCs w:val="24"/>
          <w:lang w:val="es-ES"/>
        </w:rPr>
        <w:t xml:space="preserve">as in </w:t>
      </w:r>
      <w:proofErr w:type="spellStart"/>
      <w:r w:rsidR="0054124E" w:rsidRPr="005E4C23">
        <w:rPr>
          <w:rFonts w:ascii="Times New Roman" w:hAnsi="Times New Roman" w:cs="Times New Roman"/>
          <w:sz w:val="24"/>
          <w:szCs w:val="24"/>
          <w:lang w:val="es-ES"/>
        </w:rPr>
        <w:t>the</w:t>
      </w:r>
      <w:proofErr w:type="spellEnd"/>
      <w:r w:rsidR="0054124E" w:rsidRPr="005E4C23">
        <w:rPr>
          <w:rFonts w:ascii="Times New Roman" w:hAnsi="Times New Roman" w:cs="Times New Roman"/>
          <w:sz w:val="24"/>
          <w:szCs w:val="24"/>
          <w:lang w:val="es-ES"/>
        </w:rPr>
        <w:t xml:space="preserve"> case of a </w:t>
      </w:r>
      <w:proofErr w:type="spellStart"/>
      <w:r w:rsidR="0054124E" w:rsidRPr="005E4C23">
        <w:rPr>
          <w:rFonts w:ascii="Times New Roman" w:hAnsi="Times New Roman" w:cs="Times New Roman"/>
          <w:sz w:val="24"/>
          <w:szCs w:val="24"/>
          <w:lang w:val="es-ES"/>
        </w:rPr>
        <w:t>major</w:t>
      </w:r>
      <w:proofErr w:type="spellEnd"/>
      <w:r w:rsidR="0054124E" w:rsidRPr="005E4C23">
        <w:rPr>
          <w:rFonts w:ascii="Times New Roman" w:hAnsi="Times New Roman" w:cs="Times New Roman"/>
          <w:sz w:val="24"/>
          <w:szCs w:val="24"/>
          <w:lang w:val="es-ES"/>
        </w:rPr>
        <w:t xml:space="preserve"> </w:t>
      </w:r>
      <w:proofErr w:type="spellStart"/>
      <w:r w:rsidR="0054124E" w:rsidRPr="005E4C23">
        <w:rPr>
          <w:rFonts w:ascii="Times New Roman" w:hAnsi="Times New Roman" w:cs="Times New Roman"/>
          <w:sz w:val="24"/>
          <w:szCs w:val="24"/>
          <w:lang w:val="es-ES"/>
        </w:rPr>
        <w:t>flood</w:t>
      </w:r>
      <w:proofErr w:type="spellEnd"/>
      <w:r w:rsidR="0054124E" w:rsidRPr="005E4C23">
        <w:rPr>
          <w:rFonts w:ascii="Times New Roman" w:hAnsi="Times New Roman" w:cs="Times New Roman"/>
          <w:sz w:val="24"/>
          <w:szCs w:val="24"/>
          <w:lang w:val="es-ES"/>
        </w:rPr>
        <w:t>)”</w:t>
      </w:r>
      <w:sdt>
        <w:sdtPr>
          <w:rPr>
            <w:rFonts w:ascii="Times New Roman" w:hAnsi="Times New Roman" w:cs="Times New Roman"/>
            <w:sz w:val="24"/>
            <w:szCs w:val="24"/>
          </w:rPr>
          <w:id w:val="-1915315835"/>
          <w:citation/>
        </w:sdtPr>
        <w:sdtEndPr/>
        <w:sdtContent>
          <w:r w:rsidR="005F2A08">
            <w:rPr>
              <w:rFonts w:ascii="Times New Roman" w:hAnsi="Times New Roman" w:cs="Times New Roman"/>
              <w:sz w:val="24"/>
              <w:szCs w:val="24"/>
            </w:rPr>
            <w:fldChar w:fldCharType="begin"/>
          </w:r>
          <w:r w:rsidR="00A96A00" w:rsidRPr="005E4C23">
            <w:rPr>
              <w:rFonts w:ascii="Times New Roman" w:hAnsi="Times New Roman" w:cs="Times New Roman"/>
              <w:sz w:val="24"/>
              <w:szCs w:val="24"/>
              <w:lang w:val="es-ES"/>
            </w:rPr>
            <w:instrText xml:space="preserve">CITATION Jam141 \p 175 \l 11274 </w:instrText>
          </w:r>
          <w:r w:rsidR="005F2A08">
            <w:rPr>
              <w:rFonts w:ascii="Times New Roman" w:hAnsi="Times New Roman" w:cs="Times New Roman"/>
              <w:sz w:val="24"/>
              <w:szCs w:val="24"/>
            </w:rPr>
            <w:fldChar w:fldCharType="separate"/>
          </w:r>
          <w:r w:rsidR="00A96A00" w:rsidRPr="005E4C23">
            <w:rPr>
              <w:rFonts w:ascii="Times New Roman" w:hAnsi="Times New Roman" w:cs="Times New Roman"/>
              <w:noProof/>
              <w:sz w:val="24"/>
              <w:szCs w:val="24"/>
              <w:lang w:val="es-ES"/>
            </w:rPr>
            <w:t>( Linton J.; Budds, J., 2014, pág. 175)</w:t>
          </w:r>
          <w:r w:rsidR="005F2A08">
            <w:rPr>
              <w:rFonts w:ascii="Times New Roman" w:hAnsi="Times New Roman" w:cs="Times New Roman"/>
              <w:sz w:val="24"/>
              <w:szCs w:val="24"/>
            </w:rPr>
            <w:fldChar w:fldCharType="end"/>
          </w:r>
        </w:sdtContent>
      </w:sdt>
      <w:r w:rsidR="0054124E" w:rsidRPr="005E4C23">
        <w:rPr>
          <w:rFonts w:ascii="Times New Roman" w:hAnsi="Times New Roman" w:cs="Times New Roman"/>
          <w:sz w:val="24"/>
          <w:szCs w:val="24"/>
          <w:lang w:val="es-ES"/>
        </w:rPr>
        <w:t>.</w:t>
      </w:r>
      <w:r w:rsidR="004558F4" w:rsidRPr="004558F4">
        <w:rPr>
          <w:rFonts w:ascii="Times New Roman" w:hAnsi="Times New Roman" w:cs="Times New Roman"/>
          <w:sz w:val="24"/>
          <w:szCs w:val="24"/>
          <w:lang w:val="es-AR"/>
        </w:rPr>
        <w:t xml:space="preserve">Siguiendo a estos autores, </w:t>
      </w:r>
      <w:r w:rsidR="004558F4">
        <w:rPr>
          <w:rFonts w:ascii="Times New Roman" w:hAnsi="Times New Roman" w:cs="Times New Roman"/>
          <w:sz w:val="24"/>
          <w:szCs w:val="24"/>
          <w:lang w:val="es-AR"/>
        </w:rPr>
        <w:t>e</w:t>
      </w:r>
      <w:r w:rsidR="002C7E7D" w:rsidRPr="002C7E7D">
        <w:rPr>
          <w:rFonts w:ascii="Times New Roman" w:hAnsi="Times New Roman" w:cs="Times New Roman"/>
          <w:sz w:val="24"/>
          <w:szCs w:val="24"/>
          <w:lang w:val="es-AR"/>
        </w:rPr>
        <w:t>n este ciclo de circulación</w:t>
      </w:r>
      <w:r w:rsidR="002C7E7D">
        <w:rPr>
          <w:rFonts w:ascii="Times New Roman" w:hAnsi="Times New Roman" w:cs="Times New Roman"/>
          <w:sz w:val="24"/>
          <w:szCs w:val="24"/>
          <w:lang w:val="es-AR"/>
        </w:rPr>
        <w:t>, el agua es considerada no solo como un elemento de la</w:t>
      </w:r>
      <w:r w:rsidR="003A14EF">
        <w:rPr>
          <w:rFonts w:ascii="Times New Roman" w:hAnsi="Times New Roman" w:cs="Times New Roman"/>
          <w:sz w:val="24"/>
          <w:szCs w:val="24"/>
          <w:lang w:val="es-AR"/>
        </w:rPr>
        <w:t xml:space="preserve"> naturaleza, sino, además, como el producto de las circunstancias sociales en las cuales se produce su manipulación, control y apropiación. </w:t>
      </w:r>
    </w:p>
    <w:p w14:paraId="26BDB1D0" w14:textId="22ABD91B" w:rsidR="00597B1B" w:rsidRPr="00ED49F3" w:rsidRDefault="0058276E"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Por otro lado, el t</w:t>
      </w:r>
      <w:r w:rsidR="00AE5B9D">
        <w:rPr>
          <w:rFonts w:ascii="Times New Roman" w:hAnsi="Times New Roman" w:cs="Times New Roman"/>
          <w:sz w:val="24"/>
          <w:szCs w:val="24"/>
          <w:lang w:val="es-AR"/>
        </w:rPr>
        <w:t xml:space="preserve">erritorio hidrosocial plantea como los espacios son constituidos histórica, social, política y naturalmente, por medio de la interacción de las prácticas sociales, los flujos de agua, las tecnologías hidráulicas, los elementos biofísicos, las estructuras socio-económicas y las instituciones político-culturales </w:t>
      </w:r>
      <w:sdt>
        <w:sdtPr>
          <w:rPr>
            <w:rFonts w:ascii="Times New Roman" w:hAnsi="Times New Roman" w:cs="Times New Roman"/>
            <w:sz w:val="24"/>
            <w:szCs w:val="24"/>
            <w:lang w:val="es-AR"/>
          </w:rPr>
          <w:id w:val="-2062084888"/>
          <w:citation/>
        </w:sdtPr>
        <w:sdtEndPr/>
        <w:sdtContent>
          <w:r w:rsidR="005F2A08">
            <w:rPr>
              <w:rFonts w:ascii="Times New Roman" w:hAnsi="Times New Roman" w:cs="Times New Roman"/>
              <w:sz w:val="24"/>
              <w:szCs w:val="24"/>
              <w:lang w:val="es-AR"/>
            </w:rPr>
            <w:fldChar w:fldCharType="begin"/>
          </w:r>
          <w:r w:rsidR="00CE7AA2">
            <w:rPr>
              <w:rFonts w:ascii="Times New Roman" w:hAnsi="Times New Roman" w:cs="Times New Roman"/>
              <w:sz w:val="24"/>
              <w:szCs w:val="24"/>
              <w:lang w:val="es-AR"/>
            </w:rPr>
            <w:instrText xml:space="preserve">CITATION Rut16 \l 11274 </w:instrText>
          </w:r>
          <w:r w:rsidR="005F2A08">
            <w:rPr>
              <w:rFonts w:ascii="Times New Roman" w:hAnsi="Times New Roman" w:cs="Times New Roman"/>
              <w:sz w:val="24"/>
              <w:szCs w:val="24"/>
              <w:lang w:val="es-AR"/>
            </w:rPr>
            <w:fldChar w:fldCharType="separate"/>
          </w:r>
          <w:r w:rsidR="00CE7AA2" w:rsidRPr="00CE7AA2">
            <w:rPr>
              <w:rFonts w:ascii="Times New Roman" w:hAnsi="Times New Roman" w:cs="Times New Roman"/>
              <w:noProof/>
              <w:sz w:val="24"/>
              <w:szCs w:val="24"/>
              <w:lang w:val="es-AR"/>
            </w:rPr>
            <w:t>(Rutgerd Boelens et al., 2016)</w:t>
          </w:r>
          <w:r w:rsidR="005F2A08">
            <w:rPr>
              <w:rFonts w:ascii="Times New Roman" w:hAnsi="Times New Roman" w:cs="Times New Roman"/>
              <w:sz w:val="24"/>
              <w:szCs w:val="24"/>
              <w:lang w:val="es-AR"/>
            </w:rPr>
            <w:fldChar w:fldCharType="end"/>
          </w:r>
        </w:sdtContent>
      </w:sdt>
      <w:r w:rsidR="00CE7AA2">
        <w:rPr>
          <w:rFonts w:ascii="Times New Roman" w:hAnsi="Times New Roman" w:cs="Times New Roman"/>
          <w:sz w:val="24"/>
          <w:szCs w:val="24"/>
          <w:lang w:val="es-AR"/>
        </w:rPr>
        <w:t>. Se puede afirmar que este concepto consta de dos componentes, el hidrosocial (ya definido), y el territorio</w:t>
      </w:r>
      <w:r w:rsidR="00B86D11">
        <w:rPr>
          <w:rFonts w:ascii="Times New Roman" w:hAnsi="Times New Roman" w:cs="Times New Roman"/>
          <w:sz w:val="24"/>
          <w:szCs w:val="24"/>
          <w:lang w:val="es-AR"/>
        </w:rPr>
        <w:t>. Este, desde la perspectiva de la geografía</w:t>
      </w:r>
      <w:r w:rsidR="00CE7AA2">
        <w:rPr>
          <w:rFonts w:ascii="Times New Roman" w:hAnsi="Times New Roman" w:cs="Times New Roman"/>
          <w:sz w:val="24"/>
          <w:szCs w:val="24"/>
          <w:lang w:val="es-AR"/>
        </w:rPr>
        <w:t xml:space="preserve"> crítica, retomada por la GFC, adquiere especial significación ya que da cuenta que p</w:t>
      </w:r>
      <w:r w:rsidR="00924EB6">
        <w:rPr>
          <w:rFonts w:ascii="Times New Roman" w:hAnsi="Times New Roman" w:cs="Times New Roman"/>
          <w:sz w:val="24"/>
          <w:szCs w:val="24"/>
          <w:lang w:val="es-AR"/>
        </w:rPr>
        <w:t xml:space="preserve">ara constituirse como tal, es relevante el ejercicio del poder. Es decir, para que se pueda hablar de territorio es necesario que los actores intervinientes manifiesten su dominio sobre el especio por medio de manifestaciones materiales (infraestructuras) o inmateriales (legislación, simbologías, creencias). </w:t>
      </w:r>
      <w:r w:rsidR="00F526EF">
        <w:rPr>
          <w:rFonts w:ascii="Times New Roman" w:hAnsi="Times New Roman" w:cs="Times New Roman"/>
          <w:sz w:val="24"/>
          <w:szCs w:val="24"/>
          <w:lang w:val="es-AR"/>
        </w:rPr>
        <w:t xml:space="preserve">La bibliografía que aborda la construcción del territorio como construcción social mediante el ejercicio del poder, es amplia. Desde la escuela italiana con </w:t>
      </w:r>
      <w:proofErr w:type="spellStart"/>
      <w:r w:rsidR="00F526EF">
        <w:rPr>
          <w:rFonts w:ascii="Times New Roman" w:hAnsi="Times New Roman" w:cs="Times New Roman"/>
          <w:sz w:val="24"/>
          <w:szCs w:val="24"/>
          <w:lang w:val="es-AR"/>
        </w:rPr>
        <w:t>Quaini</w:t>
      </w:r>
      <w:proofErr w:type="spellEnd"/>
      <w:r w:rsidR="00F526EF">
        <w:rPr>
          <w:rFonts w:ascii="Times New Roman" w:hAnsi="Times New Roman" w:cs="Times New Roman"/>
          <w:sz w:val="24"/>
          <w:szCs w:val="24"/>
          <w:lang w:val="es-AR"/>
        </w:rPr>
        <w:t xml:space="preserve">, </w:t>
      </w:r>
      <w:proofErr w:type="spellStart"/>
      <w:r w:rsidR="00F526EF">
        <w:rPr>
          <w:rFonts w:ascii="Times New Roman" w:hAnsi="Times New Roman" w:cs="Times New Roman"/>
          <w:sz w:val="24"/>
          <w:szCs w:val="24"/>
          <w:lang w:val="es-AR"/>
        </w:rPr>
        <w:t>Dematteis</w:t>
      </w:r>
      <w:proofErr w:type="spellEnd"/>
      <w:r w:rsidR="00F526EF">
        <w:rPr>
          <w:rFonts w:ascii="Times New Roman" w:hAnsi="Times New Roman" w:cs="Times New Roman"/>
          <w:sz w:val="24"/>
          <w:szCs w:val="24"/>
          <w:lang w:val="es-AR"/>
        </w:rPr>
        <w:t xml:space="preserve"> y </w:t>
      </w:r>
      <w:proofErr w:type="spellStart"/>
      <w:r w:rsidR="00F526EF">
        <w:rPr>
          <w:rFonts w:ascii="Times New Roman" w:hAnsi="Times New Roman" w:cs="Times New Roman"/>
          <w:sz w:val="24"/>
          <w:szCs w:val="24"/>
          <w:lang w:val="es-AR"/>
        </w:rPr>
        <w:t>Turri</w:t>
      </w:r>
      <w:proofErr w:type="spellEnd"/>
      <w:r w:rsidR="00F526EF">
        <w:rPr>
          <w:rFonts w:ascii="Times New Roman" w:hAnsi="Times New Roman" w:cs="Times New Roman"/>
          <w:sz w:val="24"/>
          <w:szCs w:val="24"/>
          <w:lang w:val="es-AR"/>
        </w:rPr>
        <w:t xml:space="preserve">, hasta la escuela brasileña (influenciada por aquella) iniciada por Milton Santos. Aquí las obras puntuales que trabajan el territorio y a las que se considera este trabajo, son las de </w:t>
      </w:r>
      <w:proofErr w:type="spellStart"/>
      <w:r w:rsidR="00F526EF">
        <w:rPr>
          <w:rFonts w:ascii="Times New Roman" w:hAnsi="Times New Roman" w:cs="Times New Roman"/>
          <w:sz w:val="24"/>
          <w:szCs w:val="24"/>
          <w:lang w:val="es-AR"/>
        </w:rPr>
        <w:t>Saquet</w:t>
      </w:r>
      <w:proofErr w:type="spellEnd"/>
      <w:r w:rsidR="00F526EF">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031567534"/>
          <w:citation/>
        </w:sdtPr>
        <w:sdtEndPr/>
        <w:sdtContent>
          <w:r w:rsidR="005F2A08">
            <w:rPr>
              <w:rFonts w:ascii="Times New Roman" w:hAnsi="Times New Roman" w:cs="Times New Roman"/>
              <w:sz w:val="24"/>
              <w:szCs w:val="24"/>
              <w:lang w:val="es-AR"/>
            </w:rPr>
            <w:fldChar w:fldCharType="begin"/>
          </w:r>
          <w:r w:rsidR="00A96A00">
            <w:rPr>
              <w:rFonts w:ascii="Times New Roman" w:hAnsi="Times New Roman" w:cs="Times New Roman"/>
              <w:sz w:val="24"/>
              <w:szCs w:val="24"/>
              <w:lang w:val="es-AR"/>
            </w:rPr>
            <w:instrText xml:space="preserve">CITATION sAu \l 11274 </w:instrText>
          </w:r>
          <w:r w:rsidR="005F2A08">
            <w:rPr>
              <w:rFonts w:ascii="Times New Roman" w:hAnsi="Times New Roman" w:cs="Times New Roman"/>
              <w:sz w:val="24"/>
              <w:szCs w:val="24"/>
              <w:lang w:val="es-AR"/>
            </w:rPr>
            <w:fldChar w:fldCharType="separate"/>
          </w:r>
          <w:r w:rsidR="00A96A00" w:rsidRPr="00A96A00">
            <w:rPr>
              <w:rFonts w:ascii="Times New Roman" w:hAnsi="Times New Roman" w:cs="Times New Roman"/>
              <w:noProof/>
              <w:sz w:val="24"/>
              <w:szCs w:val="24"/>
              <w:lang w:val="es-AR"/>
            </w:rPr>
            <w:t>( Saquet, M. ; Sposito, E. , 2009)</w:t>
          </w:r>
          <w:r w:rsidR="005F2A08">
            <w:rPr>
              <w:rFonts w:ascii="Times New Roman" w:hAnsi="Times New Roman" w:cs="Times New Roman"/>
              <w:sz w:val="24"/>
              <w:szCs w:val="24"/>
              <w:lang w:val="es-AR"/>
            </w:rPr>
            <w:fldChar w:fldCharType="end"/>
          </w:r>
        </w:sdtContent>
      </w:sdt>
      <w:r w:rsidR="00A96A00">
        <w:rPr>
          <w:rFonts w:ascii="Times New Roman" w:hAnsi="Times New Roman" w:cs="Times New Roman"/>
          <w:sz w:val="24"/>
          <w:szCs w:val="24"/>
          <w:lang w:val="es-AR"/>
        </w:rPr>
        <w:t xml:space="preserve">, </w:t>
      </w:r>
      <w:proofErr w:type="spellStart"/>
      <w:r w:rsidR="00A96A00">
        <w:rPr>
          <w:rFonts w:ascii="Times New Roman" w:hAnsi="Times New Roman" w:cs="Times New Roman"/>
          <w:sz w:val="24"/>
          <w:szCs w:val="24"/>
          <w:lang w:val="es-AR"/>
        </w:rPr>
        <w:t>Lopes</w:t>
      </w:r>
      <w:proofErr w:type="spellEnd"/>
      <w:r w:rsidR="00A96A00">
        <w:rPr>
          <w:rFonts w:ascii="Times New Roman" w:hAnsi="Times New Roman" w:cs="Times New Roman"/>
          <w:sz w:val="24"/>
          <w:szCs w:val="24"/>
          <w:lang w:val="es-AR"/>
        </w:rPr>
        <w:t xml:space="preserve"> de Souza </w:t>
      </w:r>
      <w:sdt>
        <w:sdtPr>
          <w:rPr>
            <w:rFonts w:ascii="Times New Roman" w:hAnsi="Times New Roman" w:cs="Times New Roman"/>
            <w:sz w:val="24"/>
            <w:szCs w:val="24"/>
            <w:lang w:val="es-AR"/>
          </w:rPr>
          <w:id w:val="-1238932295"/>
          <w:citation/>
        </w:sdtPr>
        <w:sdtEndPr/>
        <w:sdtContent>
          <w:r w:rsidR="005F2A08">
            <w:rPr>
              <w:rFonts w:ascii="Times New Roman" w:hAnsi="Times New Roman" w:cs="Times New Roman"/>
              <w:sz w:val="24"/>
              <w:szCs w:val="24"/>
              <w:lang w:val="es-AR"/>
            </w:rPr>
            <w:fldChar w:fldCharType="begin"/>
          </w:r>
          <w:r w:rsidR="00A96A00">
            <w:rPr>
              <w:rFonts w:ascii="Times New Roman" w:hAnsi="Times New Roman" w:cs="Times New Roman"/>
              <w:sz w:val="24"/>
              <w:szCs w:val="24"/>
              <w:lang w:val="es-AR"/>
            </w:rPr>
            <w:instrText xml:space="preserve"> CITATION Lop18 \l 11274 </w:instrText>
          </w:r>
          <w:r w:rsidR="005F2A08">
            <w:rPr>
              <w:rFonts w:ascii="Times New Roman" w:hAnsi="Times New Roman" w:cs="Times New Roman"/>
              <w:sz w:val="24"/>
              <w:szCs w:val="24"/>
              <w:lang w:val="es-AR"/>
            </w:rPr>
            <w:fldChar w:fldCharType="separate"/>
          </w:r>
          <w:r w:rsidR="00A96A00" w:rsidRPr="00A96A00">
            <w:rPr>
              <w:rFonts w:ascii="Times New Roman" w:hAnsi="Times New Roman" w:cs="Times New Roman"/>
              <w:noProof/>
              <w:sz w:val="24"/>
              <w:szCs w:val="24"/>
              <w:lang w:val="es-AR"/>
            </w:rPr>
            <w:t>(Lopes de Souza, 2018)</w:t>
          </w:r>
          <w:r w:rsidR="005F2A08">
            <w:rPr>
              <w:rFonts w:ascii="Times New Roman" w:hAnsi="Times New Roman" w:cs="Times New Roman"/>
              <w:sz w:val="24"/>
              <w:szCs w:val="24"/>
              <w:lang w:val="es-AR"/>
            </w:rPr>
            <w:fldChar w:fldCharType="end"/>
          </w:r>
        </w:sdtContent>
      </w:sdt>
      <w:r w:rsidR="00A96A00">
        <w:rPr>
          <w:rFonts w:ascii="Times New Roman" w:hAnsi="Times New Roman" w:cs="Times New Roman"/>
          <w:sz w:val="24"/>
          <w:szCs w:val="24"/>
          <w:lang w:val="es-AR"/>
        </w:rPr>
        <w:t xml:space="preserve"> y </w:t>
      </w:r>
      <w:proofErr w:type="spellStart"/>
      <w:r w:rsidR="00A96A00">
        <w:rPr>
          <w:rFonts w:ascii="Times New Roman" w:hAnsi="Times New Roman" w:cs="Times New Roman"/>
          <w:sz w:val="24"/>
          <w:szCs w:val="24"/>
          <w:lang w:val="es-AR"/>
        </w:rPr>
        <w:t>Haesbaert</w:t>
      </w:r>
      <w:proofErr w:type="spellEnd"/>
      <w:r w:rsidR="00A96A0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104718285"/>
          <w:citation/>
        </w:sdtPr>
        <w:sdtEndPr/>
        <w:sdtContent>
          <w:r w:rsidR="005F2A08">
            <w:rPr>
              <w:rFonts w:ascii="Times New Roman" w:hAnsi="Times New Roman" w:cs="Times New Roman"/>
              <w:sz w:val="24"/>
              <w:szCs w:val="24"/>
              <w:lang w:val="es-AR"/>
            </w:rPr>
            <w:fldChar w:fldCharType="begin"/>
          </w:r>
          <w:r w:rsidR="00A96A00">
            <w:rPr>
              <w:rFonts w:ascii="Times New Roman" w:hAnsi="Times New Roman" w:cs="Times New Roman"/>
              <w:sz w:val="24"/>
              <w:szCs w:val="24"/>
              <w:lang w:val="es-AR"/>
            </w:rPr>
            <w:instrText xml:space="preserve"> CITATION Hae11 \l 11274 </w:instrText>
          </w:r>
          <w:r w:rsidR="005F2A08">
            <w:rPr>
              <w:rFonts w:ascii="Times New Roman" w:hAnsi="Times New Roman" w:cs="Times New Roman"/>
              <w:sz w:val="24"/>
              <w:szCs w:val="24"/>
              <w:lang w:val="es-AR"/>
            </w:rPr>
            <w:fldChar w:fldCharType="separate"/>
          </w:r>
          <w:r w:rsidR="00A96A00" w:rsidRPr="00A96A00">
            <w:rPr>
              <w:rFonts w:ascii="Times New Roman" w:hAnsi="Times New Roman" w:cs="Times New Roman"/>
              <w:noProof/>
              <w:sz w:val="24"/>
              <w:szCs w:val="24"/>
              <w:lang w:val="es-AR"/>
            </w:rPr>
            <w:t>(Haesbaert, 2011)</w:t>
          </w:r>
          <w:r w:rsidR="005F2A08">
            <w:rPr>
              <w:rFonts w:ascii="Times New Roman" w:hAnsi="Times New Roman" w:cs="Times New Roman"/>
              <w:sz w:val="24"/>
              <w:szCs w:val="24"/>
              <w:lang w:val="es-AR"/>
            </w:rPr>
            <w:fldChar w:fldCharType="end"/>
          </w:r>
        </w:sdtContent>
      </w:sdt>
      <w:r w:rsidR="00A96A00">
        <w:rPr>
          <w:rFonts w:ascii="Times New Roman" w:hAnsi="Times New Roman" w:cs="Times New Roman"/>
          <w:sz w:val="24"/>
          <w:szCs w:val="24"/>
          <w:lang w:val="es-AR"/>
        </w:rPr>
        <w:t xml:space="preserve">. </w:t>
      </w:r>
    </w:p>
    <w:p w14:paraId="6B4A2747" w14:textId="3BF7A690" w:rsidR="009D0B24" w:rsidRPr="009D0B24" w:rsidRDefault="009D0B24" w:rsidP="00AB6A2B">
      <w:pPr>
        <w:spacing w:line="360" w:lineRule="auto"/>
        <w:jc w:val="both"/>
        <w:rPr>
          <w:rFonts w:ascii="Times New Roman" w:hAnsi="Times New Roman" w:cs="Times New Roman"/>
          <w:b/>
          <w:sz w:val="24"/>
          <w:szCs w:val="24"/>
          <w:lang w:val="es-AR"/>
        </w:rPr>
      </w:pPr>
      <w:r w:rsidRPr="009D0B24">
        <w:rPr>
          <w:rFonts w:ascii="Times New Roman" w:hAnsi="Times New Roman" w:cs="Times New Roman"/>
          <w:b/>
          <w:sz w:val="24"/>
          <w:szCs w:val="24"/>
          <w:lang w:val="es-AR"/>
        </w:rPr>
        <w:t>Metodología.</w:t>
      </w:r>
    </w:p>
    <w:p w14:paraId="086F504A" w14:textId="78B7B0A9" w:rsidR="00BB424E" w:rsidRDefault="009D0B24"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Para la realización de este trabajo se utilizaron métodos cualitativos. La tarea se centró en la lectura y análisis de bibliografía, informes y análisis de cartografía histórica. </w:t>
      </w:r>
      <w:r w:rsidR="0014077F">
        <w:rPr>
          <w:rFonts w:ascii="Times New Roman" w:hAnsi="Times New Roman" w:cs="Times New Roman"/>
          <w:sz w:val="24"/>
          <w:szCs w:val="24"/>
          <w:lang w:val="es-AR"/>
        </w:rPr>
        <w:t>Vale aclarar que este trabajo es un resultado de una investigación más amplia, titulada “El ciclo hidrosocial en la cuenca del Atuel y su implicancia en los procesos histórico-geográficos”. En dicha investigación se trabaja con una metodología mixta</w:t>
      </w:r>
      <w:r w:rsidR="00BB424E">
        <w:rPr>
          <w:rFonts w:ascii="Times New Roman" w:hAnsi="Times New Roman" w:cs="Times New Roman"/>
          <w:sz w:val="24"/>
          <w:szCs w:val="24"/>
          <w:lang w:val="es-AR"/>
        </w:rPr>
        <w:t xml:space="preserve">, recurriendo al </w:t>
      </w:r>
      <w:r w:rsidR="00BB424E">
        <w:rPr>
          <w:rFonts w:ascii="Times New Roman" w:hAnsi="Times New Roman" w:cs="Times New Roman"/>
          <w:sz w:val="24"/>
          <w:szCs w:val="24"/>
          <w:lang w:val="es-AR"/>
        </w:rPr>
        <w:lastRenderedPageBreak/>
        <w:t>diseño transformativo secuencial (DITRAS)</w:t>
      </w:r>
      <w:r w:rsidR="004A1E7F">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982075094"/>
          <w:citation/>
        </w:sdtPr>
        <w:sdtEndPr/>
        <w:sdtContent>
          <w:r w:rsidR="004A1E7F">
            <w:rPr>
              <w:rFonts w:ascii="Times New Roman" w:hAnsi="Times New Roman" w:cs="Times New Roman"/>
              <w:sz w:val="24"/>
              <w:szCs w:val="24"/>
              <w:lang w:val="es-AR"/>
            </w:rPr>
            <w:fldChar w:fldCharType="begin"/>
          </w:r>
          <w:r w:rsidR="004A1E7F">
            <w:rPr>
              <w:rFonts w:ascii="Times New Roman" w:hAnsi="Times New Roman" w:cs="Times New Roman"/>
              <w:sz w:val="24"/>
              <w:szCs w:val="24"/>
              <w:lang w:val="es-AR"/>
            </w:rPr>
            <w:instrText xml:space="preserve"> CITATION Her10 \l 11274 </w:instrText>
          </w:r>
          <w:r w:rsidR="004A1E7F">
            <w:rPr>
              <w:rFonts w:ascii="Times New Roman" w:hAnsi="Times New Roman" w:cs="Times New Roman"/>
              <w:sz w:val="24"/>
              <w:szCs w:val="24"/>
              <w:lang w:val="es-AR"/>
            </w:rPr>
            <w:fldChar w:fldCharType="separate"/>
          </w:r>
          <w:r w:rsidR="004A1E7F" w:rsidRPr="004A1E7F">
            <w:rPr>
              <w:rFonts w:ascii="Times New Roman" w:hAnsi="Times New Roman" w:cs="Times New Roman"/>
              <w:noProof/>
              <w:sz w:val="24"/>
              <w:szCs w:val="24"/>
              <w:lang w:val="es-AR"/>
            </w:rPr>
            <w:t>(Hernández Sampieri; Fernandez Collado y Baptista Lucio., 2010)</w:t>
          </w:r>
          <w:r w:rsidR="004A1E7F">
            <w:rPr>
              <w:rFonts w:ascii="Times New Roman" w:hAnsi="Times New Roman" w:cs="Times New Roman"/>
              <w:sz w:val="24"/>
              <w:szCs w:val="24"/>
              <w:lang w:val="es-AR"/>
            </w:rPr>
            <w:fldChar w:fldCharType="end"/>
          </w:r>
        </w:sdtContent>
      </w:sdt>
      <w:r w:rsidR="00BB424E">
        <w:rPr>
          <w:rFonts w:ascii="Times New Roman" w:hAnsi="Times New Roman" w:cs="Times New Roman"/>
          <w:sz w:val="24"/>
          <w:szCs w:val="24"/>
          <w:lang w:val="es-AR"/>
        </w:rPr>
        <w:t>. La elección se basa en la característica del problema de estudio y los objetivos a lograr durante la investigación. A su vez, el trabajo de pesquisa se organizó temporalmente por medio del método de la geografía histórica, “</w:t>
      </w:r>
      <w:proofErr w:type="spellStart"/>
      <w:r w:rsidR="00BB424E">
        <w:rPr>
          <w:rFonts w:ascii="Times New Roman" w:hAnsi="Times New Roman" w:cs="Times New Roman"/>
          <w:sz w:val="24"/>
          <w:szCs w:val="24"/>
          <w:lang w:val="es-AR"/>
        </w:rPr>
        <w:t>Sandwich</w:t>
      </w:r>
      <w:proofErr w:type="spellEnd"/>
      <w:r w:rsidR="00BB424E">
        <w:rPr>
          <w:rFonts w:ascii="Times New Roman" w:hAnsi="Times New Roman" w:cs="Times New Roman"/>
          <w:sz w:val="24"/>
          <w:szCs w:val="24"/>
          <w:lang w:val="es-AR"/>
        </w:rPr>
        <w:t xml:space="preserve"> de </w:t>
      </w:r>
      <w:proofErr w:type="spellStart"/>
      <w:r w:rsidR="00BB424E">
        <w:rPr>
          <w:rFonts w:ascii="Times New Roman" w:hAnsi="Times New Roman" w:cs="Times New Roman"/>
          <w:sz w:val="24"/>
          <w:szCs w:val="24"/>
          <w:lang w:val="es-AR"/>
        </w:rPr>
        <w:t>Dagwood</w:t>
      </w:r>
      <w:proofErr w:type="spellEnd"/>
      <w:r w:rsidR="00BB424E">
        <w:rPr>
          <w:rFonts w:ascii="Times New Roman" w:hAnsi="Times New Roman" w:cs="Times New Roman"/>
          <w:sz w:val="24"/>
          <w:szCs w:val="24"/>
          <w:lang w:val="es-AR"/>
        </w:rPr>
        <w:t>”,</w:t>
      </w:r>
      <w:sdt>
        <w:sdtPr>
          <w:rPr>
            <w:rFonts w:ascii="Times New Roman" w:hAnsi="Times New Roman" w:cs="Times New Roman"/>
            <w:sz w:val="24"/>
            <w:szCs w:val="24"/>
            <w:lang w:val="es-AR"/>
          </w:rPr>
          <w:id w:val="-2008506437"/>
          <w:citation/>
        </w:sdtPr>
        <w:sdtEndPr/>
        <w:sdtContent>
          <w:r w:rsidR="00D80506">
            <w:rPr>
              <w:rFonts w:ascii="Times New Roman" w:hAnsi="Times New Roman" w:cs="Times New Roman"/>
              <w:sz w:val="24"/>
              <w:szCs w:val="24"/>
              <w:lang w:val="es-AR"/>
            </w:rPr>
            <w:fldChar w:fldCharType="begin"/>
          </w:r>
          <w:r w:rsidR="00D80506">
            <w:rPr>
              <w:rFonts w:ascii="Times New Roman" w:hAnsi="Times New Roman" w:cs="Times New Roman"/>
              <w:sz w:val="24"/>
              <w:szCs w:val="24"/>
              <w:lang w:val="es-AR"/>
            </w:rPr>
            <w:instrText xml:space="preserve"> CITATION RNe76 \l 11274 </w:instrText>
          </w:r>
          <w:r w:rsidR="00D80506">
            <w:rPr>
              <w:rFonts w:ascii="Times New Roman" w:hAnsi="Times New Roman" w:cs="Times New Roman"/>
              <w:sz w:val="24"/>
              <w:szCs w:val="24"/>
              <w:lang w:val="es-AR"/>
            </w:rPr>
            <w:fldChar w:fldCharType="separate"/>
          </w:r>
          <w:r w:rsidR="00D80506">
            <w:rPr>
              <w:rFonts w:ascii="Times New Roman" w:hAnsi="Times New Roman" w:cs="Times New Roman"/>
              <w:noProof/>
              <w:sz w:val="24"/>
              <w:szCs w:val="24"/>
              <w:lang w:val="es-AR"/>
            </w:rPr>
            <w:t xml:space="preserve"> </w:t>
          </w:r>
          <w:r w:rsidR="00D80506" w:rsidRPr="00D80506">
            <w:rPr>
              <w:rFonts w:ascii="Times New Roman" w:hAnsi="Times New Roman" w:cs="Times New Roman"/>
              <w:noProof/>
              <w:sz w:val="24"/>
              <w:szCs w:val="24"/>
              <w:lang w:val="es-AR"/>
            </w:rPr>
            <w:t>(Newcomb, 1976)</w:t>
          </w:r>
          <w:r w:rsidR="00D80506">
            <w:rPr>
              <w:rFonts w:ascii="Times New Roman" w:hAnsi="Times New Roman" w:cs="Times New Roman"/>
              <w:sz w:val="24"/>
              <w:szCs w:val="24"/>
              <w:lang w:val="es-AR"/>
            </w:rPr>
            <w:fldChar w:fldCharType="end"/>
          </w:r>
        </w:sdtContent>
      </w:sdt>
      <w:r w:rsidR="00BB424E">
        <w:rPr>
          <w:rFonts w:ascii="Times New Roman" w:hAnsi="Times New Roman" w:cs="Times New Roman"/>
          <w:sz w:val="24"/>
          <w:szCs w:val="24"/>
          <w:lang w:val="es-AR"/>
        </w:rPr>
        <w:t xml:space="preserve"> este consiste en la utilización de cortes temporales cuyos hitos son hechos puntuales que presentan un cambio, manteniéndose el tema central, que en este caso es el agua. </w:t>
      </w:r>
    </w:p>
    <w:p w14:paraId="3167D74A" w14:textId="5E93BB3E" w:rsidR="00232A8D" w:rsidRDefault="00775517" w:rsidP="00AB6A2B">
      <w:pPr>
        <w:spacing w:line="360" w:lineRule="auto"/>
        <w:jc w:val="both"/>
        <w:rPr>
          <w:rFonts w:ascii="Times New Roman" w:hAnsi="Times New Roman" w:cs="Times New Roman"/>
          <w:b/>
          <w:sz w:val="24"/>
          <w:szCs w:val="24"/>
          <w:lang w:val="es-AR"/>
        </w:rPr>
      </w:pPr>
      <w:r w:rsidRPr="00775517">
        <w:rPr>
          <w:rFonts w:ascii="Times New Roman" w:hAnsi="Times New Roman" w:cs="Times New Roman"/>
          <w:b/>
          <w:sz w:val="24"/>
          <w:szCs w:val="24"/>
          <w:lang w:val="es-AR"/>
        </w:rPr>
        <w:t>Área</w:t>
      </w:r>
      <w:r w:rsidR="003C2164" w:rsidRPr="00775517">
        <w:rPr>
          <w:rFonts w:ascii="Times New Roman" w:hAnsi="Times New Roman" w:cs="Times New Roman"/>
          <w:b/>
          <w:sz w:val="24"/>
          <w:szCs w:val="24"/>
          <w:lang w:val="es-AR"/>
        </w:rPr>
        <w:t xml:space="preserve"> de estudio</w:t>
      </w:r>
      <w:r>
        <w:rPr>
          <w:rFonts w:ascii="Times New Roman" w:hAnsi="Times New Roman" w:cs="Times New Roman"/>
          <w:b/>
          <w:sz w:val="24"/>
          <w:szCs w:val="24"/>
          <w:lang w:val="es-AR"/>
        </w:rPr>
        <w:t>.</w:t>
      </w:r>
    </w:p>
    <w:p w14:paraId="53AE6283" w14:textId="11E6CCED" w:rsidR="00FD5801" w:rsidRPr="00FD5801" w:rsidRDefault="00FD5801" w:rsidP="00AB6A2B">
      <w:pPr>
        <w:spacing w:line="360" w:lineRule="auto"/>
        <w:jc w:val="both"/>
        <w:rPr>
          <w:rFonts w:ascii="Times New Roman" w:hAnsi="Times New Roman" w:cs="Times New Roman"/>
          <w:sz w:val="24"/>
          <w:szCs w:val="24"/>
          <w:lang w:val="es-AR"/>
        </w:rPr>
      </w:pPr>
      <w:r>
        <w:rPr>
          <w:rFonts w:ascii="Times New Roman" w:hAnsi="Times New Roman" w:cs="Times New Roman"/>
          <w:b/>
          <w:sz w:val="24"/>
          <w:szCs w:val="24"/>
          <w:lang w:val="es-AR"/>
        </w:rPr>
        <w:tab/>
      </w:r>
      <w:r w:rsidRPr="00FD5801">
        <w:rPr>
          <w:rFonts w:ascii="Times New Roman" w:hAnsi="Times New Roman" w:cs="Times New Roman"/>
          <w:sz w:val="24"/>
          <w:szCs w:val="24"/>
          <w:lang w:val="es-AR"/>
        </w:rPr>
        <w:t xml:space="preserve">El área de estudio abarca el sector sureste de Mendoza y el noroeste de la provincia. En territorio mendocino incluye a las ciudades de San Rafael y General Alvear, además de localidades más pequeñas como Villa Atuel, mientras en el oeste pampeano, los departamentos de </w:t>
      </w:r>
      <w:proofErr w:type="spellStart"/>
      <w:r w:rsidRPr="00FD5801">
        <w:rPr>
          <w:rFonts w:ascii="Times New Roman" w:hAnsi="Times New Roman" w:cs="Times New Roman"/>
          <w:sz w:val="24"/>
          <w:szCs w:val="24"/>
          <w:lang w:val="es-AR"/>
        </w:rPr>
        <w:t>Chical-có</w:t>
      </w:r>
      <w:proofErr w:type="spellEnd"/>
      <w:r w:rsidRPr="00FD5801">
        <w:rPr>
          <w:rFonts w:ascii="Times New Roman" w:hAnsi="Times New Roman" w:cs="Times New Roman"/>
          <w:sz w:val="24"/>
          <w:szCs w:val="24"/>
          <w:lang w:val="es-AR"/>
        </w:rPr>
        <w:t xml:space="preserve"> (localidades de La Humada y Algarrobo del Águila) y </w:t>
      </w:r>
      <w:proofErr w:type="spellStart"/>
      <w:r w:rsidRPr="00FD5801">
        <w:rPr>
          <w:rFonts w:ascii="Times New Roman" w:hAnsi="Times New Roman" w:cs="Times New Roman"/>
          <w:sz w:val="24"/>
          <w:szCs w:val="24"/>
          <w:lang w:val="es-AR"/>
        </w:rPr>
        <w:t>Chalileo</w:t>
      </w:r>
      <w:proofErr w:type="spellEnd"/>
      <w:r w:rsidRPr="00FD5801">
        <w:rPr>
          <w:rFonts w:ascii="Times New Roman" w:hAnsi="Times New Roman" w:cs="Times New Roman"/>
          <w:sz w:val="24"/>
          <w:szCs w:val="24"/>
          <w:lang w:val="es-AR"/>
        </w:rPr>
        <w:t xml:space="preserve"> (localidades de Santa Isabel, Colonia Emilio Mitre y Paso de los Algarrobos). Esta extensa zona forma parte de la cuenca media e inferior del Atuel, el cual discurre por un relieve de coladas basálticas producto de la actividad volcánica de la </w:t>
      </w:r>
      <w:proofErr w:type="spellStart"/>
      <w:r w:rsidRPr="00FD5801">
        <w:rPr>
          <w:rFonts w:ascii="Times New Roman" w:hAnsi="Times New Roman" w:cs="Times New Roman"/>
          <w:sz w:val="24"/>
          <w:szCs w:val="24"/>
          <w:lang w:val="es-AR"/>
        </w:rPr>
        <w:t>Payunia</w:t>
      </w:r>
      <w:proofErr w:type="spellEnd"/>
      <w:r w:rsidRPr="00FD5801">
        <w:rPr>
          <w:rFonts w:ascii="Times New Roman" w:hAnsi="Times New Roman" w:cs="Times New Roman"/>
          <w:sz w:val="24"/>
          <w:szCs w:val="24"/>
          <w:lang w:val="es-AR"/>
        </w:rPr>
        <w:t xml:space="preserve"> mendocina. El clima, predominante es el semiárido a árido con marcada estacionalidad, vientos predominantes del oeste y precipitaciones inferiores a los 400 </w:t>
      </w:r>
      <w:proofErr w:type="spellStart"/>
      <w:r w:rsidRPr="00FD5801">
        <w:rPr>
          <w:rFonts w:ascii="Times New Roman" w:hAnsi="Times New Roman" w:cs="Times New Roman"/>
          <w:sz w:val="24"/>
          <w:szCs w:val="24"/>
          <w:lang w:val="es-AR"/>
        </w:rPr>
        <w:t>mm.</w:t>
      </w:r>
      <w:proofErr w:type="spellEnd"/>
      <w:r w:rsidRPr="00FD5801">
        <w:rPr>
          <w:rFonts w:ascii="Times New Roman" w:hAnsi="Times New Roman" w:cs="Times New Roman"/>
          <w:sz w:val="24"/>
          <w:szCs w:val="24"/>
          <w:lang w:val="es-AR"/>
        </w:rPr>
        <w:t xml:space="preserve"> </w:t>
      </w:r>
    </w:p>
    <w:p w14:paraId="640616ED" w14:textId="0EDBEB84" w:rsidR="00FD5801" w:rsidRPr="00FD5801" w:rsidRDefault="00FD5801" w:rsidP="00AB6A2B">
      <w:pPr>
        <w:spacing w:line="360" w:lineRule="auto"/>
        <w:jc w:val="both"/>
        <w:rPr>
          <w:rFonts w:ascii="Times New Roman" w:hAnsi="Times New Roman" w:cs="Times New Roman"/>
          <w:sz w:val="24"/>
          <w:szCs w:val="24"/>
          <w:lang w:val="es-AR"/>
        </w:rPr>
      </w:pPr>
      <w:r w:rsidRPr="00FD5801">
        <w:rPr>
          <w:rFonts w:ascii="Times New Roman" w:hAnsi="Times New Roman" w:cs="Times New Roman"/>
          <w:sz w:val="24"/>
          <w:szCs w:val="24"/>
          <w:lang w:val="es-AR"/>
        </w:rPr>
        <w:tab/>
        <w:t>La cuenca inferior del Atuel se une a la del Salado-</w:t>
      </w:r>
      <w:proofErr w:type="spellStart"/>
      <w:r w:rsidRPr="00FD5801">
        <w:rPr>
          <w:rFonts w:ascii="Times New Roman" w:hAnsi="Times New Roman" w:cs="Times New Roman"/>
          <w:sz w:val="24"/>
          <w:szCs w:val="24"/>
          <w:lang w:val="es-AR"/>
        </w:rPr>
        <w:t>Chadileuvu</w:t>
      </w:r>
      <w:proofErr w:type="spellEnd"/>
      <w:r w:rsidR="00AB6A2B">
        <w:rPr>
          <w:rFonts w:ascii="Times New Roman" w:hAnsi="Times New Roman" w:cs="Times New Roman"/>
          <w:sz w:val="24"/>
          <w:szCs w:val="24"/>
          <w:lang w:val="es-AR"/>
        </w:rPr>
        <w:t xml:space="preserve"> en territorio pampeano (Foto </w:t>
      </w:r>
      <w:r w:rsidR="006E3820">
        <w:rPr>
          <w:rFonts w:ascii="Times New Roman" w:hAnsi="Times New Roman" w:cs="Times New Roman"/>
          <w:sz w:val="24"/>
          <w:szCs w:val="24"/>
          <w:lang w:val="es-AR"/>
        </w:rPr>
        <w:t>0</w:t>
      </w:r>
      <w:r w:rsidRPr="00FD5801">
        <w:rPr>
          <w:rFonts w:ascii="Times New Roman" w:hAnsi="Times New Roman" w:cs="Times New Roman"/>
          <w:sz w:val="24"/>
          <w:szCs w:val="24"/>
          <w:lang w:val="es-AR"/>
        </w:rPr>
        <w:t xml:space="preserve">1), ambas son compartidas con otras provincias (Mendoza, San Juan, la Rioja y San Luis, respectivamente). La confluencia de ambas ha conformado una gran llanura </w:t>
      </w:r>
      <w:proofErr w:type="spellStart"/>
      <w:r w:rsidRPr="00FD5801">
        <w:rPr>
          <w:rFonts w:ascii="Times New Roman" w:hAnsi="Times New Roman" w:cs="Times New Roman"/>
          <w:sz w:val="24"/>
          <w:szCs w:val="24"/>
          <w:lang w:val="es-AR"/>
        </w:rPr>
        <w:t>aluvional</w:t>
      </w:r>
      <w:proofErr w:type="spellEnd"/>
      <w:r w:rsidRPr="00FD5801">
        <w:rPr>
          <w:rFonts w:ascii="Times New Roman" w:hAnsi="Times New Roman" w:cs="Times New Roman"/>
          <w:sz w:val="24"/>
          <w:szCs w:val="24"/>
          <w:lang w:val="es-AR"/>
        </w:rPr>
        <w:t xml:space="preserve"> a lo largo de miles de años, generando en períodos históricos ambientes de bañados, canales y lagunas como los “Bañados del Atuel”. </w:t>
      </w:r>
      <w:r>
        <w:rPr>
          <w:rFonts w:ascii="Times New Roman" w:hAnsi="Times New Roman" w:cs="Times New Roman"/>
          <w:sz w:val="24"/>
          <w:szCs w:val="24"/>
          <w:lang w:val="es-AR"/>
        </w:rPr>
        <w:t xml:space="preserve">Por otra parte, el río Atuel posee la característica de poseer un régimen pluvionival, es decir es alimentado por lluvias, pero principalmente por las nieves cordilleranas. Ello influye en los periodos de crecidas en épocas de deshielo. Este es un elemento que, al conjugarse con el uso intensivo que se le otorga, influya en los volúmenes de agua disponibles. </w:t>
      </w:r>
    </w:p>
    <w:p w14:paraId="1B65CAC7" w14:textId="1B50C3CC" w:rsidR="006E3820" w:rsidRDefault="00FD5801" w:rsidP="006E3820">
      <w:pPr>
        <w:spacing w:line="360" w:lineRule="auto"/>
        <w:jc w:val="both"/>
        <w:rPr>
          <w:rFonts w:ascii="Times New Roman" w:hAnsi="Times New Roman" w:cs="Times New Roman"/>
          <w:sz w:val="24"/>
          <w:szCs w:val="24"/>
          <w:lang w:val="es-AR"/>
        </w:rPr>
      </w:pPr>
      <w:r w:rsidRPr="00FD5801">
        <w:rPr>
          <w:rFonts w:ascii="Times New Roman" w:hAnsi="Times New Roman" w:cs="Times New Roman"/>
          <w:sz w:val="24"/>
          <w:szCs w:val="24"/>
          <w:lang w:val="es-AR"/>
        </w:rPr>
        <w:tab/>
      </w:r>
      <w:r w:rsidR="00482EF8">
        <w:rPr>
          <w:rFonts w:ascii="Times New Roman" w:hAnsi="Times New Roman" w:cs="Times New Roman"/>
          <w:sz w:val="24"/>
          <w:szCs w:val="24"/>
          <w:lang w:val="es-AR"/>
        </w:rPr>
        <w:t>Sumado a lo anterior, t</w:t>
      </w:r>
      <w:r w:rsidRPr="00FD5801">
        <w:rPr>
          <w:rFonts w:ascii="Times New Roman" w:hAnsi="Times New Roman" w:cs="Times New Roman"/>
          <w:sz w:val="24"/>
          <w:szCs w:val="24"/>
          <w:lang w:val="es-AR"/>
        </w:rPr>
        <w:t xml:space="preserve">oda la región se enmarca en la denominada </w:t>
      </w:r>
      <w:r w:rsidRPr="00FD5801">
        <w:rPr>
          <w:rFonts w:ascii="Times New Roman" w:hAnsi="Times New Roman" w:cs="Times New Roman"/>
          <w:b/>
          <w:sz w:val="24"/>
          <w:szCs w:val="24"/>
          <w:lang w:val="es-AR"/>
        </w:rPr>
        <w:t xml:space="preserve">“diagonal árida” </w:t>
      </w:r>
      <w:r w:rsidRPr="00FD5801">
        <w:rPr>
          <w:rFonts w:ascii="Times New Roman" w:hAnsi="Times New Roman" w:cs="Times New Roman"/>
          <w:sz w:val="24"/>
          <w:szCs w:val="24"/>
          <w:lang w:val="es-AR"/>
        </w:rPr>
        <w:t xml:space="preserve">o </w:t>
      </w:r>
      <w:r w:rsidRPr="00FD5801">
        <w:rPr>
          <w:rFonts w:ascii="Times New Roman" w:hAnsi="Times New Roman" w:cs="Times New Roman"/>
          <w:b/>
          <w:sz w:val="24"/>
          <w:szCs w:val="24"/>
          <w:lang w:val="es-AR"/>
        </w:rPr>
        <w:t xml:space="preserve">“diagonal </w:t>
      </w:r>
      <w:proofErr w:type="spellStart"/>
      <w:r w:rsidRPr="00FD5801">
        <w:rPr>
          <w:rFonts w:ascii="Times New Roman" w:hAnsi="Times New Roman" w:cs="Times New Roman"/>
          <w:b/>
          <w:sz w:val="24"/>
          <w:szCs w:val="24"/>
          <w:lang w:val="es-AR"/>
        </w:rPr>
        <w:t>arreica</w:t>
      </w:r>
      <w:proofErr w:type="spellEnd"/>
      <w:r w:rsidRPr="00FD5801">
        <w:rPr>
          <w:rFonts w:ascii="Times New Roman" w:hAnsi="Times New Roman" w:cs="Times New Roman"/>
          <w:b/>
          <w:sz w:val="24"/>
          <w:szCs w:val="24"/>
          <w:lang w:val="es-AR"/>
        </w:rPr>
        <w:t>”</w:t>
      </w:r>
      <w:sdt>
        <w:sdtPr>
          <w:rPr>
            <w:rFonts w:ascii="Times New Roman" w:hAnsi="Times New Roman" w:cs="Times New Roman"/>
            <w:sz w:val="24"/>
            <w:szCs w:val="24"/>
            <w:lang w:val="es-AR"/>
          </w:rPr>
          <w:id w:val="-1682736021"/>
          <w:citation/>
        </w:sdtPr>
        <w:sdtEndPr/>
        <w:sdtContent>
          <w:r w:rsidR="00D80506">
            <w:rPr>
              <w:rFonts w:ascii="Times New Roman" w:hAnsi="Times New Roman" w:cs="Times New Roman"/>
              <w:sz w:val="24"/>
              <w:szCs w:val="24"/>
              <w:lang w:val="es-AR"/>
            </w:rPr>
            <w:fldChar w:fldCharType="begin"/>
          </w:r>
          <w:r w:rsidR="00D80506">
            <w:rPr>
              <w:rFonts w:ascii="Times New Roman" w:hAnsi="Times New Roman" w:cs="Times New Roman"/>
              <w:sz w:val="24"/>
              <w:szCs w:val="24"/>
              <w:lang w:val="es-AR"/>
            </w:rPr>
            <w:instrText xml:space="preserve"> CITATION EBr82 \l 11274 </w:instrText>
          </w:r>
          <w:r w:rsidR="00D80506">
            <w:rPr>
              <w:rFonts w:ascii="Times New Roman" w:hAnsi="Times New Roman" w:cs="Times New Roman"/>
              <w:sz w:val="24"/>
              <w:szCs w:val="24"/>
              <w:lang w:val="es-AR"/>
            </w:rPr>
            <w:fldChar w:fldCharType="separate"/>
          </w:r>
          <w:r w:rsidR="00D80506">
            <w:rPr>
              <w:rFonts w:ascii="Times New Roman" w:hAnsi="Times New Roman" w:cs="Times New Roman"/>
              <w:noProof/>
              <w:sz w:val="24"/>
              <w:szCs w:val="24"/>
              <w:lang w:val="es-AR"/>
            </w:rPr>
            <w:t xml:space="preserve"> </w:t>
          </w:r>
          <w:r w:rsidR="00D80506" w:rsidRPr="00D80506">
            <w:rPr>
              <w:rFonts w:ascii="Times New Roman" w:hAnsi="Times New Roman" w:cs="Times New Roman"/>
              <w:noProof/>
              <w:sz w:val="24"/>
              <w:szCs w:val="24"/>
              <w:lang w:val="es-AR"/>
            </w:rPr>
            <w:t>(Bruniard, 1982)</w:t>
          </w:r>
          <w:r w:rsidR="00D80506">
            <w:rPr>
              <w:rFonts w:ascii="Times New Roman" w:hAnsi="Times New Roman" w:cs="Times New Roman"/>
              <w:sz w:val="24"/>
              <w:szCs w:val="24"/>
              <w:lang w:val="es-AR"/>
            </w:rPr>
            <w:fldChar w:fldCharType="end"/>
          </w:r>
        </w:sdtContent>
      </w:sdt>
      <w:r w:rsidRPr="00FD5801">
        <w:rPr>
          <w:rFonts w:ascii="Times New Roman" w:hAnsi="Times New Roman" w:cs="Times New Roman"/>
          <w:sz w:val="24"/>
          <w:szCs w:val="24"/>
          <w:lang w:val="es-AR"/>
        </w:rPr>
        <w:t>, la misma abarca desde el norte peruano hasta las costas patagónicas en Argentina y se caracteriza por ser una franja donde se registran escasas lluvias.</w:t>
      </w:r>
    </w:p>
    <w:p w14:paraId="03B38CB3" w14:textId="43A9A6B2" w:rsidR="005664C7" w:rsidRDefault="006E3820" w:rsidP="006E3820">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Área de estudio. </w:t>
      </w:r>
      <w:r w:rsidR="00AB6A2B">
        <w:rPr>
          <w:rFonts w:ascii="Times New Roman" w:hAnsi="Times New Roman" w:cs="Times New Roman"/>
          <w:sz w:val="24"/>
          <w:szCs w:val="24"/>
          <w:lang w:val="es-AR"/>
        </w:rPr>
        <w:t xml:space="preserve">Foto </w:t>
      </w:r>
      <w:r w:rsidR="005664C7">
        <w:rPr>
          <w:rFonts w:ascii="Times New Roman" w:hAnsi="Times New Roman" w:cs="Times New Roman"/>
          <w:sz w:val="24"/>
          <w:szCs w:val="24"/>
          <w:lang w:val="es-AR"/>
        </w:rPr>
        <w:t>1.</w:t>
      </w:r>
    </w:p>
    <w:p w14:paraId="17A445B2" w14:textId="20C2FF35" w:rsidR="005664C7" w:rsidRDefault="005664C7" w:rsidP="00AB6A2B">
      <w:pPr>
        <w:spacing w:line="360" w:lineRule="auto"/>
        <w:jc w:val="both"/>
        <w:rPr>
          <w:rFonts w:ascii="Times New Roman" w:hAnsi="Times New Roman" w:cs="Times New Roman"/>
          <w:b/>
          <w:sz w:val="24"/>
          <w:szCs w:val="24"/>
          <w:lang w:val="es-AR"/>
        </w:rPr>
      </w:pPr>
      <w:r>
        <w:rPr>
          <w:noProof/>
        </w:rPr>
        <w:drawing>
          <wp:inline distT="0" distB="0" distL="0" distR="0" wp14:anchorId="71F54773" wp14:editId="0D5805AB">
            <wp:extent cx="5612130" cy="5452745"/>
            <wp:effectExtent l="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stretch>
                      <a:fillRect/>
                    </a:stretch>
                  </pic:blipFill>
                  <pic:spPr>
                    <a:xfrm>
                      <a:off x="0" y="0"/>
                      <a:ext cx="5612130" cy="5452745"/>
                    </a:xfrm>
                    <a:prstGeom prst="rect">
                      <a:avLst/>
                    </a:prstGeom>
                  </pic:spPr>
                </pic:pic>
              </a:graphicData>
            </a:graphic>
          </wp:inline>
        </w:drawing>
      </w:r>
    </w:p>
    <w:p w14:paraId="73C55B5C" w14:textId="4F77E353" w:rsidR="005664C7" w:rsidRPr="00FD5801" w:rsidRDefault="005664C7" w:rsidP="00AB6A2B">
      <w:pPr>
        <w:spacing w:line="360" w:lineRule="auto"/>
        <w:jc w:val="center"/>
        <w:rPr>
          <w:rFonts w:ascii="Times New Roman" w:hAnsi="Times New Roman" w:cs="Times New Roman"/>
          <w:b/>
          <w:sz w:val="24"/>
          <w:szCs w:val="24"/>
          <w:lang w:val="es-AR"/>
        </w:rPr>
      </w:pPr>
      <w:r>
        <w:rPr>
          <w:rFonts w:ascii="Times New Roman" w:hAnsi="Times New Roman" w:cs="Times New Roman"/>
          <w:b/>
          <w:sz w:val="24"/>
          <w:szCs w:val="24"/>
          <w:lang w:val="es-AR"/>
        </w:rPr>
        <w:t xml:space="preserve">Fuente: </w:t>
      </w:r>
      <w:proofErr w:type="spellStart"/>
      <w:r>
        <w:rPr>
          <w:rFonts w:ascii="Times New Roman" w:hAnsi="Times New Roman" w:cs="Times New Roman"/>
          <w:b/>
          <w:sz w:val="24"/>
          <w:szCs w:val="24"/>
          <w:lang w:val="es-AR"/>
        </w:rPr>
        <w:t>Geraldi</w:t>
      </w:r>
      <w:proofErr w:type="spellEnd"/>
      <w:r>
        <w:rPr>
          <w:rFonts w:ascii="Times New Roman" w:hAnsi="Times New Roman" w:cs="Times New Roman"/>
          <w:b/>
          <w:sz w:val="24"/>
          <w:szCs w:val="24"/>
          <w:lang w:val="es-AR"/>
        </w:rPr>
        <w:t xml:space="preserve"> (2017).</w:t>
      </w:r>
    </w:p>
    <w:p w14:paraId="77BAF265" w14:textId="77777777" w:rsidR="00232A8D" w:rsidRDefault="00CE29A5" w:rsidP="00AB6A2B">
      <w:pPr>
        <w:spacing w:line="360" w:lineRule="auto"/>
        <w:jc w:val="both"/>
        <w:rPr>
          <w:rFonts w:ascii="Times New Roman" w:hAnsi="Times New Roman" w:cs="Times New Roman"/>
          <w:b/>
          <w:sz w:val="24"/>
          <w:szCs w:val="24"/>
          <w:lang w:val="es-AR"/>
        </w:rPr>
      </w:pPr>
      <w:r w:rsidRPr="00CE29A5">
        <w:rPr>
          <w:rFonts w:ascii="Times New Roman" w:hAnsi="Times New Roman" w:cs="Times New Roman"/>
          <w:b/>
          <w:sz w:val="24"/>
          <w:szCs w:val="24"/>
          <w:lang w:val="es-AR"/>
        </w:rPr>
        <w:t>Construyendo el territ</w:t>
      </w:r>
      <w:r w:rsidR="00F440B0">
        <w:rPr>
          <w:rFonts w:ascii="Times New Roman" w:hAnsi="Times New Roman" w:cs="Times New Roman"/>
          <w:b/>
          <w:sz w:val="24"/>
          <w:szCs w:val="24"/>
          <w:lang w:val="es-AR"/>
        </w:rPr>
        <w:t>orio: crear un oasis productivo</w:t>
      </w:r>
      <w:r w:rsidRPr="00CE29A5">
        <w:rPr>
          <w:rFonts w:ascii="Times New Roman" w:hAnsi="Times New Roman" w:cs="Times New Roman"/>
          <w:b/>
          <w:sz w:val="24"/>
          <w:szCs w:val="24"/>
          <w:lang w:val="es-AR"/>
        </w:rPr>
        <w:t xml:space="preserve">. </w:t>
      </w:r>
    </w:p>
    <w:p w14:paraId="59F1F597" w14:textId="77777777" w:rsidR="00CA6D56" w:rsidRDefault="00CA6D56" w:rsidP="00AB6A2B">
      <w:pPr>
        <w:spacing w:line="360" w:lineRule="auto"/>
        <w:jc w:val="both"/>
        <w:rPr>
          <w:rFonts w:ascii="Times New Roman" w:hAnsi="Times New Roman" w:cs="Times New Roman"/>
          <w:b/>
          <w:sz w:val="24"/>
          <w:szCs w:val="24"/>
          <w:lang w:val="es-AR"/>
        </w:rPr>
      </w:pPr>
      <w:r>
        <w:rPr>
          <w:rFonts w:ascii="Times New Roman" w:hAnsi="Times New Roman" w:cs="Times New Roman"/>
          <w:b/>
          <w:sz w:val="24"/>
          <w:szCs w:val="24"/>
          <w:lang w:val="es-AR"/>
        </w:rPr>
        <w:t>Antecedentes.</w:t>
      </w:r>
    </w:p>
    <w:p w14:paraId="32678716" w14:textId="77777777" w:rsidR="001704E5" w:rsidRDefault="00CE29A5" w:rsidP="00AB6A2B">
      <w:pPr>
        <w:spacing w:line="360" w:lineRule="auto"/>
        <w:jc w:val="both"/>
        <w:rPr>
          <w:rFonts w:ascii="Times New Roman" w:hAnsi="Times New Roman" w:cs="Times New Roman"/>
          <w:sz w:val="24"/>
          <w:szCs w:val="24"/>
          <w:lang w:val="es-AR"/>
        </w:rPr>
      </w:pPr>
      <w:r>
        <w:rPr>
          <w:rFonts w:ascii="Times New Roman" w:hAnsi="Times New Roman" w:cs="Times New Roman"/>
          <w:b/>
          <w:sz w:val="24"/>
          <w:szCs w:val="24"/>
          <w:lang w:val="es-AR"/>
        </w:rPr>
        <w:tab/>
      </w:r>
      <w:r w:rsidR="00F440B0" w:rsidRPr="00F440B0">
        <w:rPr>
          <w:rFonts w:ascii="Times New Roman" w:hAnsi="Times New Roman" w:cs="Times New Roman"/>
          <w:sz w:val="24"/>
          <w:szCs w:val="24"/>
          <w:lang w:val="es-AR"/>
        </w:rPr>
        <w:t>La actividad vitivinícola</w:t>
      </w:r>
      <w:r w:rsidR="000A1E82">
        <w:rPr>
          <w:rFonts w:ascii="Times New Roman" w:hAnsi="Times New Roman" w:cs="Times New Roman"/>
          <w:sz w:val="24"/>
          <w:szCs w:val="24"/>
          <w:lang w:val="es-AR"/>
        </w:rPr>
        <w:t xml:space="preserve"> de carácter intensivo</w:t>
      </w:r>
      <w:r w:rsidR="00F440B0" w:rsidRPr="00F440B0">
        <w:rPr>
          <w:rFonts w:ascii="Times New Roman" w:hAnsi="Times New Roman" w:cs="Times New Roman"/>
          <w:sz w:val="24"/>
          <w:szCs w:val="24"/>
          <w:lang w:val="es-AR"/>
        </w:rPr>
        <w:t xml:space="preserve"> en e</w:t>
      </w:r>
      <w:r w:rsidR="00F440B0">
        <w:rPr>
          <w:rFonts w:ascii="Times New Roman" w:hAnsi="Times New Roman" w:cs="Times New Roman"/>
          <w:sz w:val="24"/>
          <w:szCs w:val="24"/>
          <w:lang w:val="es-AR"/>
        </w:rPr>
        <w:t>l sur de la provincia de Mendoza, es posterior a la con</w:t>
      </w:r>
      <w:r w:rsidR="006B38CD">
        <w:rPr>
          <w:rFonts w:ascii="Times New Roman" w:hAnsi="Times New Roman" w:cs="Times New Roman"/>
          <w:sz w:val="24"/>
          <w:szCs w:val="24"/>
          <w:lang w:val="es-AR"/>
        </w:rPr>
        <w:t>formación de los otros oasis provinciales. Ello se debió a que estas tierras fueron conseguidas</w:t>
      </w:r>
      <w:r w:rsidR="00176AE9">
        <w:rPr>
          <w:rFonts w:ascii="Times New Roman" w:hAnsi="Times New Roman" w:cs="Times New Roman"/>
          <w:sz w:val="24"/>
          <w:szCs w:val="24"/>
          <w:lang w:val="es-AR"/>
        </w:rPr>
        <w:t xml:space="preserve"> definitivamente en el marco </w:t>
      </w:r>
      <w:r w:rsidR="006B38CD">
        <w:rPr>
          <w:rFonts w:ascii="Times New Roman" w:hAnsi="Times New Roman" w:cs="Times New Roman"/>
          <w:sz w:val="24"/>
          <w:szCs w:val="24"/>
          <w:lang w:val="es-AR"/>
        </w:rPr>
        <w:t>de la campaña militar coman</w:t>
      </w:r>
      <w:r w:rsidR="009762A3">
        <w:rPr>
          <w:rFonts w:ascii="Times New Roman" w:hAnsi="Times New Roman" w:cs="Times New Roman"/>
          <w:sz w:val="24"/>
          <w:szCs w:val="24"/>
          <w:lang w:val="es-AR"/>
        </w:rPr>
        <w:t>dada por R</w:t>
      </w:r>
      <w:r w:rsidR="00176AE9">
        <w:rPr>
          <w:rFonts w:ascii="Times New Roman" w:hAnsi="Times New Roman" w:cs="Times New Roman"/>
          <w:sz w:val="24"/>
          <w:szCs w:val="24"/>
          <w:lang w:val="es-AR"/>
        </w:rPr>
        <w:t>oca</w:t>
      </w:r>
      <w:r w:rsidR="009762A3">
        <w:rPr>
          <w:rFonts w:ascii="Times New Roman" w:hAnsi="Times New Roman" w:cs="Times New Roman"/>
          <w:sz w:val="24"/>
          <w:szCs w:val="24"/>
          <w:lang w:val="es-AR"/>
        </w:rPr>
        <w:t xml:space="preserve">. </w:t>
      </w:r>
      <w:r w:rsidR="006B66C6">
        <w:rPr>
          <w:rFonts w:ascii="Times New Roman" w:hAnsi="Times New Roman" w:cs="Times New Roman"/>
          <w:sz w:val="24"/>
          <w:szCs w:val="24"/>
          <w:lang w:val="es-AR"/>
        </w:rPr>
        <w:t>Entonces la provincia amplió</w:t>
      </w:r>
      <w:r w:rsidR="008A090C">
        <w:rPr>
          <w:rFonts w:ascii="Times New Roman" w:hAnsi="Times New Roman" w:cs="Times New Roman"/>
          <w:sz w:val="24"/>
          <w:szCs w:val="24"/>
          <w:lang w:val="es-AR"/>
        </w:rPr>
        <w:t xml:space="preserve"> sus extensiones, en tanto que los otros territorios hacia el sur, </w:t>
      </w:r>
      <w:r w:rsidR="008A090C">
        <w:rPr>
          <w:rFonts w:ascii="Times New Roman" w:hAnsi="Times New Roman" w:cs="Times New Roman"/>
          <w:sz w:val="24"/>
          <w:szCs w:val="24"/>
          <w:lang w:val="es-AR"/>
        </w:rPr>
        <w:lastRenderedPageBreak/>
        <w:t>se incorporaron como territorios nacionales</w:t>
      </w:r>
      <w:r w:rsidR="00176AE9">
        <w:rPr>
          <w:rFonts w:ascii="Times New Roman" w:hAnsi="Times New Roman" w:cs="Times New Roman"/>
          <w:sz w:val="24"/>
          <w:szCs w:val="24"/>
          <w:lang w:val="es-AR"/>
        </w:rPr>
        <w:t xml:space="preserve">. Si bien en esta zona no se libraron grandes batallas, si tuvieron una destacada participación la tribu de los Goico, quienes </w:t>
      </w:r>
      <w:r w:rsidR="001704E5">
        <w:rPr>
          <w:rFonts w:ascii="Times New Roman" w:hAnsi="Times New Roman" w:cs="Times New Roman"/>
          <w:sz w:val="24"/>
          <w:szCs w:val="24"/>
          <w:lang w:val="es-AR"/>
        </w:rPr>
        <w:t>ya desde mediados del siglo XIX van a comenzar a vender parte de sus tierras a los criollos. Además, esta tribu actuó como un mediador y amortiguación entre las otras tribus y los representantes criollos</w:t>
      </w:r>
      <w:r w:rsidR="008A090C">
        <w:rPr>
          <w:rFonts w:ascii="Times New Roman" w:hAnsi="Times New Roman" w:cs="Times New Roman"/>
          <w:sz w:val="24"/>
          <w:szCs w:val="24"/>
          <w:lang w:val="es-AR"/>
        </w:rPr>
        <w:t xml:space="preserve">. </w:t>
      </w:r>
    </w:p>
    <w:p w14:paraId="48B619AE" w14:textId="77777777" w:rsidR="00176AE9" w:rsidRDefault="00176AE9"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Una vez asegurado el dominio del Estado naciente, por medio de la acción militar, se inició</w:t>
      </w:r>
      <w:r w:rsidR="00134D66">
        <w:rPr>
          <w:rFonts w:ascii="Times New Roman" w:hAnsi="Times New Roman" w:cs="Times New Roman"/>
          <w:sz w:val="24"/>
          <w:szCs w:val="24"/>
          <w:lang w:val="es-AR"/>
        </w:rPr>
        <w:t xml:space="preserve"> el período de ocupación.</w:t>
      </w:r>
      <w:r w:rsidR="006B66C6">
        <w:rPr>
          <w:rFonts w:ascii="Times New Roman" w:hAnsi="Times New Roman" w:cs="Times New Roman"/>
          <w:sz w:val="24"/>
          <w:szCs w:val="24"/>
          <w:lang w:val="es-AR"/>
        </w:rPr>
        <w:t xml:space="preserve"> Conviene aclarar que, si bien esta zona estaba bajo dominio indígena, existía ya desde inicios del siglo XI</w:t>
      </w:r>
      <w:r>
        <w:rPr>
          <w:rFonts w:ascii="Times New Roman" w:hAnsi="Times New Roman" w:cs="Times New Roman"/>
          <w:sz w:val="24"/>
          <w:szCs w:val="24"/>
          <w:lang w:val="es-AR"/>
        </w:rPr>
        <w:t>X un fortín fundado bajo el nombre de San Rafael del Diamante en 1805, en la unión de los ríos Atuel y Diamante. Este luego de ser relocalizado y a fines del siglo XIX, daría origen a la ciudad de San Rafael. Las tribus que se asentaban en esa zona correspondían al linaje de los Goico.</w:t>
      </w:r>
    </w:p>
    <w:p w14:paraId="0D03F504" w14:textId="5EF0DC2D" w:rsidR="008A090C" w:rsidRDefault="005334E6"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Los datos recabados dan cuenta de</w:t>
      </w:r>
      <w:r w:rsidR="006B66C6">
        <w:rPr>
          <w:rFonts w:ascii="Times New Roman" w:hAnsi="Times New Roman" w:cs="Times New Roman"/>
          <w:sz w:val="24"/>
          <w:szCs w:val="24"/>
          <w:lang w:val="es-AR"/>
        </w:rPr>
        <w:t xml:space="preserve"> una convivencia pacífica con la tribu del cacique</w:t>
      </w:r>
      <w:r w:rsidR="00180970">
        <w:rPr>
          <w:rFonts w:ascii="Times New Roman" w:hAnsi="Times New Roman" w:cs="Times New Roman"/>
          <w:sz w:val="24"/>
          <w:szCs w:val="24"/>
          <w:lang w:val="es-AR"/>
        </w:rPr>
        <w:t xml:space="preserve"> Juan</w:t>
      </w:r>
      <w:r w:rsidR="006B66C6">
        <w:rPr>
          <w:rFonts w:ascii="Times New Roman" w:hAnsi="Times New Roman" w:cs="Times New Roman"/>
          <w:sz w:val="24"/>
          <w:szCs w:val="24"/>
          <w:lang w:val="es-AR"/>
        </w:rPr>
        <w:t xml:space="preserve"> Goico, a quién en la historia local se lo considera como uno de los colaboradores en la constitución de los núcleos urbanos de esta zona, al donar tierras para las fundaciones</w:t>
      </w:r>
      <w:r w:rsidR="00180970">
        <w:rPr>
          <w:rFonts w:ascii="Times New Roman" w:hAnsi="Times New Roman" w:cs="Times New Roman"/>
          <w:sz w:val="24"/>
          <w:szCs w:val="24"/>
          <w:lang w:val="es-AR"/>
        </w:rPr>
        <w:t xml:space="preserve">. Además, según los relatos históricos esta tribu se caracterizó por colaborar con las fuerzas militares asentadas en la frontera sur mendocina, </w:t>
      </w:r>
      <w:r>
        <w:rPr>
          <w:rFonts w:ascii="Times New Roman" w:hAnsi="Times New Roman" w:cs="Times New Roman"/>
          <w:sz w:val="24"/>
          <w:szCs w:val="24"/>
          <w:lang w:val="es-AR"/>
        </w:rPr>
        <w:t xml:space="preserve">siendo considerada </w:t>
      </w:r>
      <w:r w:rsidR="00180970">
        <w:rPr>
          <w:rFonts w:ascii="Times New Roman" w:hAnsi="Times New Roman" w:cs="Times New Roman"/>
          <w:sz w:val="24"/>
          <w:szCs w:val="24"/>
          <w:lang w:val="es-AR"/>
        </w:rPr>
        <w:t xml:space="preserve">una tribu aliada. </w:t>
      </w:r>
      <w:r>
        <w:rPr>
          <w:rFonts w:ascii="Times New Roman" w:hAnsi="Times New Roman" w:cs="Times New Roman"/>
          <w:sz w:val="24"/>
          <w:szCs w:val="24"/>
          <w:lang w:val="es-AR"/>
        </w:rPr>
        <w:t>La presencia de los Goico</w:t>
      </w:r>
      <w:r w:rsidR="00180970">
        <w:rPr>
          <w:rFonts w:ascii="Times New Roman" w:hAnsi="Times New Roman" w:cs="Times New Roman"/>
          <w:sz w:val="24"/>
          <w:szCs w:val="24"/>
          <w:lang w:val="es-AR"/>
        </w:rPr>
        <w:t xml:space="preserve"> en la zona aparece documentada ya desde el siglo XVIII. Se los ha identificado como parte de los Pehuenches y, en otros casos, de los Puelches de Cuyo o Puelches Algarroberos</w:t>
      </w:r>
      <w:r w:rsidR="00D80506">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407643310"/>
          <w:citation/>
        </w:sdtPr>
        <w:sdtEndPr/>
        <w:sdtContent>
          <w:r w:rsidR="005F2A08">
            <w:rPr>
              <w:rFonts w:ascii="Times New Roman" w:hAnsi="Times New Roman" w:cs="Times New Roman"/>
              <w:sz w:val="24"/>
              <w:szCs w:val="24"/>
              <w:lang w:val="es-AR"/>
            </w:rPr>
            <w:fldChar w:fldCharType="begin"/>
          </w:r>
          <w:r w:rsidR="0003299C">
            <w:rPr>
              <w:rFonts w:ascii="Times New Roman" w:hAnsi="Times New Roman" w:cs="Times New Roman"/>
              <w:sz w:val="24"/>
              <w:szCs w:val="24"/>
              <w:lang w:val="es-AR"/>
            </w:rPr>
            <w:instrText xml:space="preserve"> CITATION Lag84 \l 11274 </w:instrText>
          </w:r>
          <w:r w:rsidR="005F2A08">
            <w:rPr>
              <w:rFonts w:ascii="Times New Roman" w:hAnsi="Times New Roman" w:cs="Times New Roman"/>
              <w:sz w:val="24"/>
              <w:szCs w:val="24"/>
              <w:lang w:val="es-AR"/>
            </w:rPr>
            <w:fldChar w:fldCharType="separate"/>
          </w:r>
          <w:r w:rsidR="0003299C" w:rsidRPr="0003299C">
            <w:rPr>
              <w:rFonts w:ascii="Times New Roman" w:hAnsi="Times New Roman" w:cs="Times New Roman"/>
              <w:noProof/>
              <w:sz w:val="24"/>
              <w:szCs w:val="24"/>
              <w:lang w:val="es-AR"/>
            </w:rPr>
            <w:t>(Lagiglia, 1984)</w:t>
          </w:r>
          <w:r w:rsidR="005F2A08">
            <w:rPr>
              <w:rFonts w:ascii="Times New Roman" w:hAnsi="Times New Roman" w:cs="Times New Roman"/>
              <w:sz w:val="24"/>
              <w:szCs w:val="24"/>
              <w:lang w:val="es-AR"/>
            </w:rPr>
            <w:fldChar w:fldCharType="end"/>
          </w:r>
        </w:sdtContent>
      </w:sdt>
      <w:r w:rsidR="00180970">
        <w:rPr>
          <w:rFonts w:ascii="Times New Roman" w:hAnsi="Times New Roman" w:cs="Times New Roman"/>
          <w:sz w:val="24"/>
          <w:szCs w:val="24"/>
          <w:lang w:val="es-AR"/>
        </w:rPr>
        <w:t>. Una zona donde se encontraba</w:t>
      </w:r>
      <w:r w:rsidR="008E06FD">
        <w:rPr>
          <w:rFonts w:ascii="Times New Roman" w:hAnsi="Times New Roman" w:cs="Times New Roman"/>
          <w:sz w:val="24"/>
          <w:szCs w:val="24"/>
          <w:lang w:val="es-AR"/>
        </w:rPr>
        <w:t>n</w:t>
      </w:r>
      <w:r w:rsidR="00180970">
        <w:rPr>
          <w:rFonts w:ascii="Times New Roman" w:hAnsi="Times New Roman" w:cs="Times New Roman"/>
          <w:sz w:val="24"/>
          <w:szCs w:val="24"/>
          <w:lang w:val="es-AR"/>
        </w:rPr>
        <w:t xml:space="preserve"> parte de sus tolderías, eran las salinas del Diamante. Tier</w:t>
      </w:r>
      <w:r w:rsidR="008E06FD">
        <w:rPr>
          <w:rFonts w:ascii="Times New Roman" w:hAnsi="Times New Roman" w:cs="Times New Roman"/>
          <w:sz w:val="24"/>
          <w:szCs w:val="24"/>
          <w:lang w:val="es-AR"/>
        </w:rPr>
        <w:t>ras que luego fuero</w:t>
      </w:r>
      <w:r>
        <w:rPr>
          <w:rFonts w:ascii="Times New Roman" w:hAnsi="Times New Roman" w:cs="Times New Roman"/>
          <w:sz w:val="24"/>
          <w:szCs w:val="24"/>
          <w:lang w:val="es-AR"/>
        </w:rPr>
        <w:t>n vendidas al sacerdote Manuel Marco</w:t>
      </w:r>
      <w:r w:rsidR="008E06FD">
        <w:rPr>
          <w:rFonts w:ascii="Times New Roman" w:hAnsi="Times New Roman" w:cs="Times New Roman"/>
          <w:sz w:val="24"/>
          <w:szCs w:val="24"/>
          <w:lang w:val="es-AR"/>
        </w:rPr>
        <w:t xml:space="preserve">. En base a las fuentes es posible realizar una genealogía de los caciques Goico, ya que, como se dijo, sus acciones son relevantes para el desarrollo posterior de los primeros asentamientos en el oasis sur. </w:t>
      </w:r>
      <w:r w:rsidR="008949AA">
        <w:rPr>
          <w:rFonts w:ascii="Times New Roman" w:hAnsi="Times New Roman" w:cs="Times New Roman"/>
          <w:sz w:val="24"/>
          <w:szCs w:val="24"/>
          <w:lang w:val="es-AR"/>
        </w:rPr>
        <w:t>Al respecto, se puede establecer la</w:t>
      </w:r>
      <w:r>
        <w:rPr>
          <w:rFonts w:ascii="Times New Roman" w:hAnsi="Times New Roman" w:cs="Times New Roman"/>
          <w:sz w:val="24"/>
          <w:szCs w:val="24"/>
          <w:lang w:val="es-AR"/>
        </w:rPr>
        <w:t xml:space="preserve"> siguiente línea de genealógica</w:t>
      </w:r>
      <w:r w:rsidR="00AB6A2B">
        <w:rPr>
          <w:rFonts w:ascii="Times New Roman" w:hAnsi="Times New Roman" w:cs="Times New Roman"/>
          <w:sz w:val="24"/>
          <w:szCs w:val="24"/>
          <w:lang w:val="es-AR"/>
        </w:rPr>
        <w:t xml:space="preserve"> (Grafico</w:t>
      </w:r>
      <w:r w:rsidR="004518D5">
        <w:rPr>
          <w:rFonts w:ascii="Times New Roman" w:hAnsi="Times New Roman" w:cs="Times New Roman"/>
          <w:sz w:val="24"/>
          <w:szCs w:val="24"/>
          <w:lang w:val="es-AR"/>
        </w:rPr>
        <w:t xml:space="preserve"> </w:t>
      </w:r>
      <w:r w:rsidR="006E3820">
        <w:rPr>
          <w:rFonts w:ascii="Times New Roman" w:hAnsi="Times New Roman" w:cs="Times New Roman"/>
          <w:sz w:val="24"/>
          <w:szCs w:val="24"/>
          <w:lang w:val="es-AR"/>
        </w:rPr>
        <w:t>0</w:t>
      </w:r>
      <w:r w:rsidR="004518D5">
        <w:rPr>
          <w:rFonts w:ascii="Times New Roman" w:hAnsi="Times New Roman" w:cs="Times New Roman"/>
          <w:sz w:val="24"/>
          <w:szCs w:val="24"/>
          <w:lang w:val="es-AR"/>
        </w:rPr>
        <w:t>1)</w:t>
      </w:r>
      <w:r>
        <w:rPr>
          <w:rFonts w:ascii="Times New Roman" w:hAnsi="Times New Roman" w:cs="Times New Roman"/>
          <w:sz w:val="24"/>
          <w:szCs w:val="24"/>
          <w:lang w:val="es-AR"/>
        </w:rPr>
        <w:t>, la cual no da cuenta de la descendencia directa, sino, más bien, de la importancia dentro de dicha línea</w:t>
      </w:r>
      <w:r w:rsidR="008949AA">
        <w:rPr>
          <w:rFonts w:ascii="Times New Roman" w:hAnsi="Times New Roman" w:cs="Times New Roman"/>
          <w:sz w:val="24"/>
          <w:szCs w:val="24"/>
          <w:lang w:val="es-AR"/>
        </w:rPr>
        <w:t>:</w:t>
      </w:r>
    </w:p>
    <w:p w14:paraId="6BDB54E5" w14:textId="77777777" w:rsidR="004518D5" w:rsidRDefault="004518D5" w:rsidP="00AB6A2B">
      <w:pPr>
        <w:spacing w:line="360" w:lineRule="auto"/>
        <w:ind w:firstLine="720"/>
        <w:jc w:val="both"/>
        <w:rPr>
          <w:rFonts w:ascii="Times New Roman" w:hAnsi="Times New Roman" w:cs="Times New Roman"/>
          <w:sz w:val="24"/>
          <w:szCs w:val="24"/>
          <w:lang w:val="es-AR"/>
        </w:rPr>
      </w:pPr>
    </w:p>
    <w:p w14:paraId="13B6ADAC" w14:textId="61A822B6" w:rsidR="00D80506" w:rsidRDefault="00D80506" w:rsidP="00AB6A2B">
      <w:pPr>
        <w:spacing w:line="360" w:lineRule="auto"/>
        <w:rPr>
          <w:rFonts w:ascii="Times New Roman" w:hAnsi="Times New Roman" w:cs="Times New Roman"/>
          <w:sz w:val="24"/>
          <w:szCs w:val="24"/>
          <w:lang w:val="es-AR"/>
        </w:rPr>
      </w:pPr>
    </w:p>
    <w:p w14:paraId="0A4896BB" w14:textId="746CB9BC" w:rsidR="00AB6A2B" w:rsidRDefault="00AB6A2B" w:rsidP="00AB6A2B">
      <w:pPr>
        <w:spacing w:line="360" w:lineRule="auto"/>
        <w:rPr>
          <w:rFonts w:ascii="Times New Roman" w:hAnsi="Times New Roman" w:cs="Times New Roman"/>
          <w:sz w:val="24"/>
          <w:szCs w:val="24"/>
          <w:lang w:val="es-AR"/>
        </w:rPr>
      </w:pPr>
    </w:p>
    <w:p w14:paraId="0A1E609B" w14:textId="77777777" w:rsidR="00AB6A2B" w:rsidRDefault="00AB6A2B" w:rsidP="00AB6A2B">
      <w:pPr>
        <w:spacing w:line="360" w:lineRule="auto"/>
        <w:rPr>
          <w:rFonts w:ascii="Times New Roman" w:hAnsi="Times New Roman" w:cs="Times New Roman"/>
          <w:sz w:val="24"/>
          <w:szCs w:val="24"/>
          <w:lang w:val="es-AR"/>
        </w:rPr>
      </w:pPr>
    </w:p>
    <w:p w14:paraId="455FAA39" w14:textId="70406E71" w:rsidR="004518D5" w:rsidRDefault="006E3820" w:rsidP="00AB6A2B">
      <w:pPr>
        <w:spacing w:line="360" w:lineRule="auto"/>
        <w:ind w:firstLine="720"/>
        <w:jc w:val="center"/>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Línea genealógica. </w:t>
      </w:r>
      <w:r w:rsidR="00AB6A2B">
        <w:rPr>
          <w:rFonts w:ascii="Times New Roman" w:hAnsi="Times New Roman" w:cs="Times New Roman"/>
          <w:sz w:val="24"/>
          <w:szCs w:val="24"/>
          <w:lang w:val="es-AR"/>
        </w:rPr>
        <w:t>Grafico</w:t>
      </w:r>
      <w:r w:rsidR="004518D5">
        <w:rPr>
          <w:rFonts w:ascii="Times New Roman" w:hAnsi="Times New Roman" w:cs="Times New Roman"/>
          <w:sz w:val="24"/>
          <w:szCs w:val="24"/>
          <w:lang w:val="es-AR"/>
        </w:rPr>
        <w:t xml:space="preserve"> 1.</w:t>
      </w:r>
    </w:p>
    <w:p w14:paraId="021218C3" w14:textId="77777777" w:rsidR="008949AA" w:rsidRDefault="008949AA" w:rsidP="00AB6A2B">
      <w:pPr>
        <w:spacing w:line="360" w:lineRule="auto"/>
        <w:jc w:val="both"/>
        <w:rPr>
          <w:rFonts w:ascii="Times New Roman" w:hAnsi="Times New Roman" w:cs="Times New Roman"/>
          <w:sz w:val="24"/>
          <w:szCs w:val="24"/>
          <w:lang w:val="es-AR"/>
        </w:rPr>
      </w:pPr>
      <w:r>
        <w:rPr>
          <w:rFonts w:ascii="Times New Roman" w:hAnsi="Times New Roman" w:cs="Times New Roman"/>
          <w:noProof/>
          <w:sz w:val="24"/>
          <w:szCs w:val="24"/>
        </w:rPr>
        <w:drawing>
          <wp:inline distT="0" distB="0" distL="0" distR="0" wp14:anchorId="612B898C" wp14:editId="5E48AE74">
            <wp:extent cx="5486400" cy="3200400"/>
            <wp:effectExtent l="38100" t="19050" r="3810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4CB255" w14:textId="77777777" w:rsidR="00306C23" w:rsidRDefault="0003299C" w:rsidP="00AB6A2B">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Fuente: Langhoff, 2019, en base a </w:t>
      </w:r>
      <w:proofErr w:type="spellStart"/>
      <w:r>
        <w:rPr>
          <w:rFonts w:ascii="Times New Roman" w:hAnsi="Times New Roman" w:cs="Times New Roman"/>
          <w:sz w:val="24"/>
          <w:szCs w:val="24"/>
          <w:lang w:val="es-AR"/>
        </w:rPr>
        <w:t>Lagiglia</w:t>
      </w:r>
      <w:proofErr w:type="spellEnd"/>
      <w:r>
        <w:rPr>
          <w:rFonts w:ascii="Times New Roman" w:hAnsi="Times New Roman" w:cs="Times New Roman"/>
          <w:sz w:val="24"/>
          <w:szCs w:val="24"/>
          <w:lang w:val="es-AR"/>
        </w:rPr>
        <w:t xml:space="preserve"> (1984).</w:t>
      </w:r>
    </w:p>
    <w:p w14:paraId="186210EB" w14:textId="77777777" w:rsidR="001704E5" w:rsidRDefault="001704E5" w:rsidP="00AB6A2B">
      <w:pPr>
        <w:spacing w:line="360" w:lineRule="auto"/>
        <w:ind w:firstLine="720"/>
        <w:jc w:val="both"/>
        <w:rPr>
          <w:rFonts w:ascii="Times New Roman" w:hAnsi="Times New Roman" w:cs="Times New Roman"/>
          <w:sz w:val="24"/>
          <w:szCs w:val="24"/>
          <w:lang w:val="es-AR"/>
        </w:rPr>
      </w:pPr>
      <w:r w:rsidRPr="001704E5">
        <w:rPr>
          <w:rFonts w:ascii="Times New Roman" w:hAnsi="Times New Roman" w:cs="Times New Roman"/>
          <w:sz w:val="24"/>
          <w:szCs w:val="24"/>
          <w:lang w:val="es-AR"/>
        </w:rPr>
        <w:t>Este proceso militar de expansión de las fronteras y ocupación de tierras, formó parte de la construcción del Estado nacional. En este marco, a fines del siglo XIX, también se crearon las primeras desigualdades entre provincias que, en algunos aspectos, perduran hasta la actualidad. Por ejemplo, Mendoza conforma el grupo de las primeras 14 provincias, mientras que cuando se incorporan los territorios nacionales, la actual provincia de La Pampa se mantuvo como Territorio Nacional de La Pampa Central hasta 1951, en que se produjo la provincialización. En esta primera situación de desigualdad territorial se produjeron las primeras tensiones por el río Atuel, que luego desembocaron en el conflicto irresuelto.</w:t>
      </w:r>
    </w:p>
    <w:p w14:paraId="052FCE06" w14:textId="77777777" w:rsidR="001704E5" w:rsidRDefault="001704E5"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Como se señaló anteriormente, las transacciones de tierra de parte de los Goico con los criollos, permitió asegurar una nueva ocupación del espacio, que aún no tenía un uso productivo. En parte por las condiciones semiáridas y, además, por estar expuestas a los avances de las parcialidades indígenas </w:t>
      </w:r>
      <w:r w:rsidR="00B96900">
        <w:rPr>
          <w:rFonts w:ascii="Times New Roman" w:hAnsi="Times New Roman" w:cs="Times New Roman"/>
          <w:sz w:val="24"/>
          <w:szCs w:val="24"/>
          <w:lang w:val="es-AR"/>
        </w:rPr>
        <w:t xml:space="preserve">que no eran aliadas. </w:t>
      </w:r>
    </w:p>
    <w:p w14:paraId="02C8E904" w14:textId="5A9A7AE7" w:rsidR="00A77DBA" w:rsidRDefault="00B96900"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Uno de los caciques que transaccionó parte de sus tierras fue Vicente Goico, en 1827, precisamente aquellas ubicadas </w:t>
      </w:r>
      <w:r w:rsidRPr="00B96900">
        <w:rPr>
          <w:rFonts w:ascii="Times New Roman" w:hAnsi="Times New Roman" w:cs="Times New Roman"/>
          <w:i/>
          <w:sz w:val="24"/>
          <w:szCs w:val="24"/>
          <w:lang w:val="es-AR"/>
        </w:rPr>
        <w:t xml:space="preserve">“al sud del río Diamante hasta el río Atuel y la confluencia de este con el Salado… y el segundo de la inmensa zona de campos que se extienden desde </w:t>
      </w:r>
      <w:r w:rsidRPr="00B96900">
        <w:rPr>
          <w:rFonts w:ascii="Times New Roman" w:hAnsi="Times New Roman" w:cs="Times New Roman"/>
          <w:i/>
          <w:sz w:val="24"/>
          <w:szCs w:val="24"/>
          <w:lang w:val="es-AR"/>
        </w:rPr>
        <w:lastRenderedPageBreak/>
        <w:t xml:space="preserve">la margen derecha del río </w:t>
      </w:r>
      <w:proofErr w:type="spellStart"/>
      <w:r w:rsidRPr="00B96900">
        <w:rPr>
          <w:rFonts w:ascii="Times New Roman" w:hAnsi="Times New Roman" w:cs="Times New Roman"/>
          <w:i/>
          <w:sz w:val="24"/>
          <w:szCs w:val="24"/>
          <w:lang w:val="es-AR"/>
        </w:rPr>
        <w:t>Atuel</w:t>
      </w:r>
      <w:proofErr w:type="spellEnd"/>
      <w:r w:rsidRPr="00B96900">
        <w:rPr>
          <w:rFonts w:ascii="Times New Roman" w:hAnsi="Times New Roman" w:cs="Times New Roman"/>
          <w:i/>
          <w:sz w:val="24"/>
          <w:szCs w:val="24"/>
          <w:lang w:val="es-AR"/>
        </w:rPr>
        <w:t xml:space="preserve"> hasta </w:t>
      </w:r>
      <w:proofErr w:type="spellStart"/>
      <w:r w:rsidRPr="00B96900">
        <w:rPr>
          <w:rFonts w:ascii="Times New Roman" w:hAnsi="Times New Roman" w:cs="Times New Roman"/>
          <w:i/>
          <w:sz w:val="24"/>
          <w:szCs w:val="24"/>
          <w:lang w:val="es-AR"/>
        </w:rPr>
        <w:t>Aysol</w:t>
      </w:r>
      <w:proofErr w:type="spellEnd"/>
      <w:r w:rsidRPr="00B96900">
        <w:rPr>
          <w:rFonts w:ascii="Times New Roman" w:hAnsi="Times New Roman" w:cs="Times New Roman"/>
          <w:i/>
          <w:sz w:val="24"/>
          <w:szCs w:val="24"/>
          <w:lang w:val="es-AR"/>
        </w:rPr>
        <w:t xml:space="preserve"> (…) en el punto llamado Soitué, nombre del algarrobo en el idioma Pehuenche”</w:t>
      </w:r>
      <w:r>
        <w:rPr>
          <w:rFonts w:ascii="Times New Roman" w:hAnsi="Times New Roman" w:cs="Times New Roman"/>
          <w:sz w:val="24"/>
          <w:szCs w:val="24"/>
          <w:lang w:val="es-AR"/>
        </w:rPr>
        <w:t xml:space="preserve"> (Morales </w:t>
      </w:r>
      <w:proofErr w:type="spellStart"/>
      <w:r>
        <w:rPr>
          <w:rFonts w:ascii="Times New Roman" w:hAnsi="Times New Roman" w:cs="Times New Roman"/>
          <w:sz w:val="24"/>
          <w:szCs w:val="24"/>
          <w:lang w:val="es-AR"/>
        </w:rPr>
        <w:t>Guiñazú</w:t>
      </w:r>
      <w:proofErr w:type="spellEnd"/>
      <w:r>
        <w:rPr>
          <w:rFonts w:ascii="Times New Roman" w:hAnsi="Times New Roman" w:cs="Times New Roman"/>
          <w:sz w:val="24"/>
          <w:szCs w:val="24"/>
          <w:lang w:val="es-AR"/>
        </w:rPr>
        <w:t xml:space="preserve"> en </w:t>
      </w:r>
      <w:proofErr w:type="spellStart"/>
      <w:r>
        <w:rPr>
          <w:rFonts w:ascii="Times New Roman" w:hAnsi="Times New Roman" w:cs="Times New Roman"/>
          <w:sz w:val="24"/>
          <w:szCs w:val="24"/>
          <w:lang w:val="es-AR"/>
        </w:rPr>
        <w:t>Saurina</w:t>
      </w:r>
      <w:proofErr w:type="spellEnd"/>
      <w:r>
        <w:rPr>
          <w:rFonts w:ascii="Times New Roman" w:hAnsi="Times New Roman" w:cs="Times New Roman"/>
          <w:sz w:val="24"/>
          <w:szCs w:val="24"/>
          <w:lang w:val="es-AR"/>
        </w:rPr>
        <w:t xml:space="preserve"> y Quiles, 2012: 22). En realidad, el cacique le regalo estas 10 leguas al alférez Ángel Báez</w:t>
      </w:r>
      <w:r w:rsidR="00B92591">
        <w:rPr>
          <w:rFonts w:ascii="Times New Roman" w:hAnsi="Times New Roman" w:cs="Times New Roman"/>
          <w:sz w:val="24"/>
          <w:szCs w:val="24"/>
          <w:lang w:val="es-AR"/>
        </w:rPr>
        <w:t>, en calidad de amistad y las atenciones ofrecidas. Estas tierras a lo largo del siglo XIX pasaran, en estos casos por</w:t>
      </w:r>
      <w:r w:rsidR="0093030A">
        <w:rPr>
          <w:rFonts w:ascii="Times New Roman" w:hAnsi="Times New Roman" w:cs="Times New Roman"/>
          <w:sz w:val="24"/>
          <w:szCs w:val="24"/>
          <w:lang w:val="es-AR"/>
        </w:rPr>
        <w:t xml:space="preserve"> ventas, hasta llegar a las manos de</w:t>
      </w:r>
      <w:r w:rsidR="00B92591">
        <w:rPr>
          <w:rFonts w:ascii="Times New Roman" w:hAnsi="Times New Roman" w:cs="Times New Roman"/>
          <w:sz w:val="24"/>
          <w:szCs w:val="24"/>
          <w:lang w:val="es-AR"/>
        </w:rPr>
        <w:t xml:space="preserve"> Diego de Alvear</w:t>
      </w:r>
      <w:r w:rsidR="00AB6A2B">
        <w:rPr>
          <w:rFonts w:ascii="Times New Roman" w:hAnsi="Times New Roman" w:cs="Times New Roman"/>
          <w:sz w:val="24"/>
          <w:szCs w:val="24"/>
          <w:lang w:val="es-AR"/>
        </w:rPr>
        <w:t xml:space="preserve"> (Grafico </w:t>
      </w:r>
      <w:r w:rsidR="007A425C">
        <w:rPr>
          <w:rFonts w:ascii="Times New Roman" w:hAnsi="Times New Roman" w:cs="Times New Roman"/>
          <w:sz w:val="24"/>
          <w:szCs w:val="24"/>
          <w:lang w:val="es-AR"/>
        </w:rPr>
        <w:t>0</w:t>
      </w:r>
      <w:r w:rsidR="00A23FA2">
        <w:rPr>
          <w:rFonts w:ascii="Times New Roman" w:hAnsi="Times New Roman" w:cs="Times New Roman"/>
          <w:sz w:val="24"/>
          <w:szCs w:val="24"/>
          <w:lang w:val="es-AR"/>
        </w:rPr>
        <w:t>2)</w:t>
      </w:r>
      <w:r w:rsidR="00B92591">
        <w:rPr>
          <w:rFonts w:ascii="Times New Roman" w:hAnsi="Times New Roman" w:cs="Times New Roman"/>
          <w:sz w:val="24"/>
          <w:szCs w:val="24"/>
          <w:lang w:val="es-AR"/>
        </w:rPr>
        <w:t xml:space="preserve">. </w:t>
      </w:r>
    </w:p>
    <w:p w14:paraId="709FE0F4" w14:textId="54ED5DF1" w:rsidR="00AE489C" w:rsidRDefault="007A425C" w:rsidP="00AB6A2B">
      <w:pPr>
        <w:spacing w:line="360" w:lineRule="auto"/>
        <w:ind w:firstLine="720"/>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Propietarios de las tierras que vendió Vicente </w:t>
      </w:r>
      <w:proofErr w:type="spellStart"/>
      <w:r>
        <w:rPr>
          <w:rFonts w:ascii="Times New Roman" w:hAnsi="Times New Roman" w:cs="Times New Roman"/>
          <w:sz w:val="24"/>
          <w:szCs w:val="24"/>
          <w:lang w:val="es-AR"/>
        </w:rPr>
        <w:t>Goico</w:t>
      </w:r>
      <w:proofErr w:type="spellEnd"/>
      <w:r>
        <w:rPr>
          <w:rFonts w:ascii="Times New Roman" w:hAnsi="Times New Roman" w:cs="Times New Roman"/>
          <w:sz w:val="24"/>
          <w:szCs w:val="24"/>
          <w:lang w:val="es-AR"/>
        </w:rPr>
        <w:t xml:space="preserve"> al sur de General Alvear. </w:t>
      </w:r>
      <w:r w:rsidR="00AB6A2B">
        <w:rPr>
          <w:rFonts w:ascii="Times New Roman" w:hAnsi="Times New Roman" w:cs="Times New Roman"/>
          <w:sz w:val="24"/>
          <w:szCs w:val="24"/>
          <w:lang w:val="es-AR"/>
        </w:rPr>
        <w:t>Grafico</w:t>
      </w:r>
      <w:r w:rsidR="00D06748">
        <w:rPr>
          <w:rFonts w:ascii="Times New Roman" w:hAnsi="Times New Roman" w:cs="Times New Roman"/>
          <w:sz w:val="24"/>
          <w:szCs w:val="24"/>
          <w:lang w:val="es-AR"/>
        </w:rPr>
        <w:t xml:space="preserve"> 2. </w:t>
      </w:r>
    </w:p>
    <w:p w14:paraId="4085F66D" w14:textId="77777777" w:rsidR="00A23FA2" w:rsidRDefault="00A23FA2"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noProof/>
          <w:sz w:val="24"/>
          <w:szCs w:val="24"/>
        </w:rPr>
        <w:drawing>
          <wp:inline distT="0" distB="0" distL="0" distR="0" wp14:anchorId="255975E1" wp14:editId="740BF521">
            <wp:extent cx="5486400" cy="3200400"/>
            <wp:effectExtent l="0" t="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E4B9D9E" w14:textId="62F016F5" w:rsidR="00A23FA2" w:rsidRDefault="00AE489C" w:rsidP="00AB6A2B">
      <w:pPr>
        <w:spacing w:line="360" w:lineRule="auto"/>
        <w:ind w:firstLine="720"/>
        <w:jc w:val="center"/>
        <w:rPr>
          <w:rFonts w:ascii="Times New Roman" w:hAnsi="Times New Roman" w:cs="Times New Roman"/>
          <w:sz w:val="24"/>
          <w:szCs w:val="24"/>
          <w:lang w:val="es-AR"/>
        </w:rPr>
      </w:pPr>
      <w:r>
        <w:rPr>
          <w:rFonts w:ascii="Times New Roman" w:hAnsi="Times New Roman" w:cs="Times New Roman"/>
          <w:sz w:val="24"/>
          <w:szCs w:val="24"/>
          <w:lang w:val="es-AR"/>
        </w:rPr>
        <w:t>Fuente: Langhoff</w:t>
      </w:r>
      <w:r w:rsidR="0017044B">
        <w:rPr>
          <w:rFonts w:ascii="Times New Roman" w:hAnsi="Times New Roman" w:cs="Times New Roman"/>
          <w:sz w:val="24"/>
          <w:szCs w:val="24"/>
          <w:lang w:val="es-AR"/>
        </w:rPr>
        <w:t xml:space="preserve"> (2019)</w:t>
      </w:r>
      <w:r>
        <w:rPr>
          <w:rFonts w:ascii="Times New Roman" w:hAnsi="Times New Roman" w:cs="Times New Roman"/>
          <w:sz w:val="24"/>
          <w:szCs w:val="24"/>
          <w:lang w:val="es-AR"/>
        </w:rPr>
        <w:t xml:space="preserve">, en base a </w:t>
      </w:r>
      <w:r w:rsidR="0017044B">
        <w:rPr>
          <w:rFonts w:ascii="Times New Roman" w:hAnsi="Times New Roman" w:cs="Times New Roman"/>
          <w:sz w:val="24"/>
          <w:szCs w:val="24"/>
          <w:lang w:val="es-AR"/>
        </w:rPr>
        <w:t xml:space="preserve">Sucesión Diego de Alvear, mensura del agrimensor </w:t>
      </w:r>
      <w:proofErr w:type="spellStart"/>
      <w:r w:rsidR="0017044B">
        <w:rPr>
          <w:rFonts w:ascii="Times New Roman" w:hAnsi="Times New Roman" w:cs="Times New Roman"/>
          <w:sz w:val="24"/>
          <w:szCs w:val="24"/>
          <w:lang w:val="es-AR"/>
        </w:rPr>
        <w:t>Dabadie</w:t>
      </w:r>
      <w:proofErr w:type="spellEnd"/>
      <w:r w:rsidR="0017044B">
        <w:rPr>
          <w:rFonts w:ascii="Times New Roman" w:hAnsi="Times New Roman" w:cs="Times New Roman"/>
          <w:sz w:val="24"/>
          <w:szCs w:val="24"/>
          <w:lang w:val="es-AR"/>
        </w:rPr>
        <w:t>, 18</w:t>
      </w:r>
      <w:r w:rsidR="0031088A">
        <w:rPr>
          <w:rFonts w:ascii="Times New Roman" w:hAnsi="Times New Roman" w:cs="Times New Roman"/>
          <w:sz w:val="24"/>
          <w:szCs w:val="24"/>
          <w:lang w:val="es-AR"/>
        </w:rPr>
        <w:t>84.</w:t>
      </w:r>
      <w:r w:rsidR="00C41D88">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161386908"/>
          <w:citation/>
        </w:sdtPr>
        <w:sdtEndPr/>
        <w:sdtContent>
          <w:r w:rsidR="00C41D88">
            <w:rPr>
              <w:rFonts w:ascii="Times New Roman" w:hAnsi="Times New Roman" w:cs="Times New Roman"/>
              <w:sz w:val="24"/>
              <w:szCs w:val="24"/>
              <w:lang w:val="es-AR"/>
            </w:rPr>
            <w:fldChar w:fldCharType="begin"/>
          </w:r>
          <w:r w:rsidR="00C41D88">
            <w:rPr>
              <w:rFonts w:ascii="Times New Roman" w:hAnsi="Times New Roman" w:cs="Times New Roman"/>
              <w:sz w:val="24"/>
              <w:szCs w:val="24"/>
              <w:lang w:val="es-AR"/>
            </w:rPr>
            <w:instrText xml:space="preserve"> CITATION Dir86 \l 11274 </w:instrText>
          </w:r>
          <w:r w:rsidR="00C41D88">
            <w:rPr>
              <w:rFonts w:ascii="Times New Roman" w:hAnsi="Times New Roman" w:cs="Times New Roman"/>
              <w:sz w:val="24"/>
              <w:szCs w:val="24"/>
              <w:lang w:val="es-AR"/>
            </w:rPr>
            <w:fldChar w:fldCharType="separate"/>
          </w:r>
          <w:r w:rsidR="00C41D88" w:rsidRPr="00C41D88">
            <w:rPr>
              <w:rFonts w:ascii="Times New Roman" w:hAnsi="Times New Roman" w:cs="Times New Roman"/>
              <w:noProof/>
              <w:sz w:val="24"/>
              <w:szCs w:val="24"/>
              <w:lang w:val="es-AR"/>
            </w:rPr>
            <w:t>(Geodesia., 1886)</w:t>
          </w:r>
          <w:r w:rsidR="00C41D88">
            <w:rPr>
              <w:rFonts w:ascii="Times New Roman" w:hAnsi="Times New Roman" w:cs="Times New Roman"/>
              <w:sz w:val="24"/>
              <w:szCs w:val="24"/>
              <w:lang w:val="es-AR"/>
            </w:rPr>
            <w:fldChar w:fldCharType="end"/>
          </w:r>
        </w:sdtContent>
      </w:sdt>
      <w:r w:rsidR="0017044B">
        <w:rPr>
          <w:rFonts w:ascii="Times New Roman" w:hAnsi="Times New Roman" w:cs="Times New Roman"/>
          <w:sz w:val="24"/>
          <w:szCs w:val="24"/>
          <w:lang w:val="es-AR"/>
        </w:rPr>
        <w:t>.</w:t>
      </w:r>
    </w:p>
    <w:p w14:paraId="65EAB76C" w14:textId="77777777" w:rsidR="00B96900" w:rsidRDefault="00B92591" w:rsidP="00AB6A2B">
      <w:pPr>
        <w:spacing w:line="360" w:lineRule="auto"/>
        <w:ind w:firstLine="720"/>
        <w:jc w:val="both"/>
        <w:rPr>
          <w:rFonts w:ascii="Times New Roman" w:hAnsi="Times New Roman" w:cs="Times New Roman"/>
          <w:sz w:val="24"/>
          <w:szCs w:val="24"/>
          <w:lang w:val="es-AR"/>
        </w:rPr>
      </w:pPr>
      <w:r>
        <w:rPr>
          <w:rFonts w:ascii="Times New Roman" w:hAnsi="Times New Roman" w:cs="Times New Roman"/>
          <w:sz w:val="24"/>
          <w:szCs w:val="24"/>
          <w:lang w:val="es-AR"/>
        </w:rPr>
        <w:t>Los sucesores de Alvear comenzaran a lotear y vender parte de las mismas, a fines de siglo e inicios del XX. Entonces las propiedades de Alvear abarcaban desde el sur de las localidades de San Rafael y Gral. Alvear hasta el territorio nacional de La Pampa.</w:t>
      </w:r>
      <w:r w:rsidR="00886509">
        <w:rPr>
          <w:rFonts w:ascii="Times New Roman" w:hAnsi="Times New Roman" w:cs="Times New Roman"/>
          <w:sz w:val="24"/>
          <w:szCs w:val="24"/>
          <w:lang w:val="es-AR"/>
        </w:rPr>
        <w:t xml:space="preserve"> Para este momento se había sancionado la Ley de Fronteras (1878)</w:t>
      </w:r>
      <w:r w:rsidR="00A77DBA">
        <w:rPr>
          <w:rFonts w:ascii="Times New Roman" w:hAnsi="Times New Roman" w:cs="Times New Roman"/>
          <w:sz w:val="24"/>
          <w:szCs w:val="24"/>
          <w:lang w:val="es-AR"/>
        </w:rPr>
        <w:t xml:space="preserve">. </w:t>
      </w:r>
      <w:r w:rsidR="00315D17">
        <w:rPr>
          <w:rFonts w:ascii="Times New Roman" w:hAnsi="Times New Roman" w:cs="Times New Roman"/>
          <w:sz w:val="24"/>
          <w:szCs w:val="24"/>
          <w:lang w:val="es-AR"/>
        </w:rPr>
        <w:t xml:space="preserve">Estas extensas propiedades permanecían incultas, pero estaban bordeadas por los cauces abundantes del Atuel al oeste y del Salado al este. </w:t>
      </w:r>
    </w:p>
    <w:p w14:paraId="788BA257" w14:textId="77777777" w:rsidR="00CA6D56" w:rsidRDefault="00CA6D56" w:rsidP="00AB6A2B">
      <w:pPr>
        <w:spacing w:line="360" w:lineRule="auto"/>
        <w:jc w:val="both"/>
        <w:rPr>
          <w:rFonts w:ascii="Times New Roman" w:hAnsi="Times New Roman" w:cs="Times New Roman"/>
          <w:b/>
          <w:sz w:val="24"/>
          <w:szCs w:val="24"/>
          <w:lang w:val="es-AR"/>
        </w:rPr>
      </w:pPr>
      <w:r>
        <w:rPr>
          <w:rFonts w:ascii="Times New Roman" w:hAnsi="Times New Roman" w:cs="Times New Roman"/>
          <w:b/>
          <w:sz w:val="24"/>
          <w:szCs w:val="24"/>
          <w:lang w:val="es-AR"/>
        </w:rPr>
        <w:t>El agua, tierra y conocimiento.</w:t>
      </w:r>
    </w:p>
    <w:p w14:paraId="1FDFEA54" w14:textId="6004FD32" w:rsidR="00CA6D56" w:rsidRDefault="00CA6D56" w:rsidP="00AB6A2B">
      <w:pPr>
        <w:spacing w:line="360" w:lineRule="auto"/>
        <w:jc w:val="both"/>
        <w:rPr>
          <w:rFonts w:ascii="Times New Roman" w:hAnsi="Times New Roman" w:cs="Times New Roman"/>
          <w:sz w:val="24"/>
          <w:szCs w:val="24"/>
          <w:lang w:val="es-AR"/>
        </w:rPr>
      </w:pPr>
      <w:r>
        <w:rPr>
          <w:rFonts w:ascii="Times New Roman" w:hAnsi="Times New Roman" w:cs="Times New Roman"/>
          <w:b/>
          <w:sz w:val="24"/>
          <w:szCs w:val="24"/>
          <w:lang w:val="es-AR"/>
        </w:rPr>
        <w:lastRenderedPageBreak/>
        <w:tab/>
      </w:r>
      <w:r>
        <w:rPr>
          <w:rFonts w:ascii="Times New Roman" w:hAnsi="Times New Roman" w:cs="Times New Roman"/>
          <w:sz w:val="24"/>
          <w:szCs w:val="24"/>
          <w:lang w:val="es-AR"/>
        </w:rPr>
        <w:t>En la tarea de conformar y organizar el Estado nacional, el interior se vio profundamente transformado. La integración del país a la nueva configuración del mercado mu</w:t>
      </w:r>
      <w:r w:rsidR="00DA3FD9">
        <w:rPr>
          <w:rFonts w:ascii="Times New Roman" w:hAnsi="Times New Roman" w:cs="Times New Roman"/>
          <w:sz w:val="24"/>
          <w:szCs w:val="24"/>
          <w:lang w:val="es-AR"/>
        </w:rPr>
        <w:t>ndial comandada por Inglaterra, como productor d</w:t>
      </w:r>
      <w:r w:rsidR="0058677B">
        <w:rPr>
          <w:rFonts w:ascii="Times New Roman" w:hAnsi="Times New Roman" w:cs="Times New Roman"/>
          <w:sz w:val="24"/>
          <w:szCs w:val="24"/>
          <w:lang w:val="es-AR"/>
        </w:rPr>
        <w:t>e diversas materias primas, creó</w:t>
      </w:r>
      <w:r w:rsidR="00DA3FD9">
        <w:rPr>
          <w:rFonts w:ascii="Times New Roman" w:hAnsi="Times New Roman" w:cs="Times New Roman"/>
          <w:sz w:val="24"/>
          <w:szCs w:val="24"/>
          <w:lang w:val="es-AR"/>
        </w:rPr>
        <w:t xml:space="preserve"> nuevas territorialidades</w:t>
      </w:r>
      <w:r w:rsidR="00F72A4E">
        <w:rPr>
          <w:rFonts w:ascii="Times New Roman" w:hAnsi="Times New Roman" w:cs="Times New Roman"/>
          <w:sz w:val="24"/>
          <w:szCs w:val="24"/>
          <w:lang w:val="es-AR"/>
        </w:rPr>
        <w:t>. Las mismas estaban marcadas por las inversiones, principalmente puertos y ferrocarriles; la ampliación de las ciudades y el advenimiento del desarrollo industrial</w:t>
      </w:r>
      <w:r w:rsidR="00597B1B">
        <w:rPr>
          <w:rFonts w:ascii="Times New Roman" w:hAnsi="Times New Roman" w:cs="Times New Roman"/>
          <w:sz w:val="24"/>
          <w:szCs w:val="24"/>
          <w:lang w:val="es-AR"/>
        </w:rPr>
        <w:t xml:space="preserve"> </w:t>
      </w:r>
      <w:r w:rsidR="00F72A4E">
        <w:rPr>
          <w:rFonts w:ascii="Times New Roman" w:hAnsi="Times New Roman" w:cs="Times New Roman"/>
          <w:sz w:val="24"/>
          <w:szCs w:val="24"/>
          <w:lang w:val="es-AR"/>
        </w:rPr>
        <w:t>y el desarrollo de diversas producciones regionales. Puede hablarse de una especialización</w:t>
      </w:r>
      <w:r w:rsidR="0058677B">
        <w:rPr>
          <w:rFonts w:ascii="Times New Roman" w:hAnsi="Times New Roman" w:cs="Times New Roman"/>
          <w:sz w:val="24"/>
          <w:szCs w:val="24"/>
          <w:lang w:val="es-AR"/>
        </w:rPr>
        <w:t>,</w:t>
      </w:r>
      <w:r w:rsidR="00F72A4E">
        <w:rPr>
          <w:rFonts w:ascii="Times New Roman" w:hAnsi="Times New Roman" w:cs="Times New Roman"/>
          <w:sz w:val="24"/>
          <w:szCs w:val="24"/>
          <w:lang w:val="es-AR"/>
        </w:rPr>
        <w:t xml:space="preserve"> en el interior del país, para la producción de determinados productos de origen primario. Estas nuevas configuraciones fueron posibles por las políticas del gobierno nacional y la creación de un aparato administrativo que trabajó en diversas áreas. Y, por otra parte, del capital privado que canalizo su presencia por medio de las inversiones. Además, es conveniente agregar el crecimiento de la población, favorecida por las políticas de inmigración, que va a crear y dejar su impronta tanto en el medio urbano como en el rural. </w:t>
      </w:r>
    </w:p>
    <w:p w14:paraId="6C2D62C4" w14:textId="77777777" w:rsidR="00F72A4E" w:rsidRDefault="00F72A4E"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En el caso de Mendoza, </w:t>
      </w:r>
      <w:r w:rsidR="00BB379B">
        <w:rPr>
          <w:rFonts w:ascii="Times New Roman" w:hAnsi="Times New Roman" w:cs="Times New Roman"/>
          <w:sz w:val="24"/>
          <w:szCs w:val="24"/>
          <w:lang w:val="es-AR"/>
        </w:rPr>
        <w:t>se debe destacar la sanción en 1884 de la Ley de Aguas, la cual fue una herramienta esencial para organizar el riego. En este caso el agua y su manejo comenzaron a configurar un nuevo territorio hidrosocial. A la vez que se comenzó a complejizar el ciclo hidrosocial con el aumento de las demandas del agua en el contexto de una incipiente producción capitalista, donde se crea localmente la antítesis agua/desierto</w:t>
      </w:r>
      <w:r w:rsidR="00694B0B">
        <w:rPr>
          <w:rFonts w:ascii="Times New Roman" w:hAnsi="Times New Roman" w:cs="Times New Roman"/>
          <w:sz w:val="24"/>
          <w:szCs w:val="24"/>
          <w:lang w:val="es-AR"/>
        </w:rPr>
        <w:t xml:space="preserve">. </w:t>
      </w:r>
      <w:r w:rsidR="00EF5C17">
        <w:rPr>
          <w:rFonts w:ascii="Times New Roman" w:hAnsi="Times New Roman" w:cs="Times New Roman"/>
          <w:sz w:val="24"/>
          <w:szCs w:val="24"/>
          <w:lang w:val="es-AR"/>
        </w:rPr>
        <w:t>Esta ley</w:t>
      </w:r>
      <w:r w:rsidR="00453C96">
        <w:rPr>
          <w:rFonts w:ascii="Times New Roman" w:hAnsi="Times New Roman" w:cs="Times New Roman"/>
          <w:sz w:val="24"/>
          <w:szCs w:val="24"/>
          <w:lang w:val="es-AR"/>
        </w:rPr>
        <w:t xml:space="preserve"> contribuyó a </w:t>
      </w:r>
      <w:r w:rsidR="00A52207">
        <w:rPr>
          <w:rFonts w:ascii="Times New Roman" w:hAnsi="Times New Roman" w:cs="Times New Roman"/>
          <w:sz w:val="24"/>
          <w:szCs w:val="24"/>
          <w:lang w:val="es-AR"/>
        </w:rPr>
        <w:t>organizar los usos del agua otorgando derechos de riego que se adquirían junto con la tierra. Puede decirse que es un antecedente de un mercado del agua</w:t>
      </w:r>
      <w:r w:rsidR="00A52207">
        <w:rPr>
          <w:rStyle w:val="Refdenotaalpie"/>
          <w:rFonts w:ascii="Times New Roman" w:hAnsi="Times New Roman" w:cs="Times New Roman"/>
          <w:sz w:val="24"/>
          <w:szCs w:val="24"/>
          <w:lang w:val="es-AR"/>
        </w:rPr>
        <w:footnoteReference w:id="1"/>
      </w:r>
      <w:r w:rsidR="00A52207">
        <w:rPr>
          <w:rFonts w:ascii="Times New Roman" w:hAnsi="Times New Roman" w:cs="Times New Roman"/>
          <w:sz w:val="24"/>
          <w:szCs w:val="24"/>
          <w:lang w:val="es-AR"/>
        </w:rPr>
        <w:t xml:space="preserve">a nivel nacional. </w:t>
      </w:r>
    </w:p>
    <w:p w14:paraId="2432F9A2" w14:textId="77777777" w:rsidR="00A52207" w:rsidRDefault="00A52207"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Junto </w:t>
      </w:r>
      <w:r w:rsidR="00AC2130">
        <w:rPr>
          <w:rFonts w:ascii="Times New Roman" w:hAnsi="Times New Roman" w:cs="Times New Roman"/>
          <w:sz w:val="24"/>
          <w:szCs w:val="24"/>
          <w:lang w:val="es-AR"/>
        </w:rPr>
        <w:t>con</w:t>
      </w:r>
      <w:r w:rsidR="0058677B">
        <w:rPr>
          <w:rFonts w:ascii="Times New Roman" w:hAnsi="Times New Roman" w:cs="Times New Roman"/>
          <w:sz w:val="24"/>
          <w:szCs w:val="24"/>
          <w:lang w:val="es-AR"/>
        </w:rPr>
        <w:t xml:space="preserve"> al otorgamiento</w:t>
      </w:r>
      <w:r>
        <w:rPr>
          <w:rFonts w:ascii="Times New Roman" w:hAnsi="Times New Roman" w:cs="Times New Roman"/>
          <w:sz w:val="24"/>
          <w:szCs w:val="24"/>
          <w:lang w:val="es-AR"/>
        </w:rPr>
        <w:t xml:space="preserve"> de derechos de agua</w:t>
      </w:r>
      <w:r w:rsidR="0058677B">
        <w:rPr>
          <w:rFonts w:ascii="Times New Roman" w:hAnsi="Times New Roman" w:cs="Times New Roman"/>
          <w:sz w:val="24"/>
          <w:szCs w:val="24"/>
          <w:lang w:val="es-AR"/>
        </w:rPr>
        <w:t>,</w:t>
      </w:r>
      <w:r>
        <w:rPr>
          <w:rFonts w:ascii="Times New Roman" w:hAnsi="Times New Roman" w:cs="Times New Roman"/>
          <w:sz w:val="24"/>
          <w:szCs w:val="24"/>
          <w:lang w:val="es-AR"/>
        </w:rPr>
        <w:t xml:space="preserve"> también contribuyeron otras estructuras que consolidaron este territorio: la incorporación y asentamiento de población inmigrante con conocimientos técnicos en el área vitícola, y, consiguientemente, la conexión de esta zona con el puerto de Buenos Aires por medio del ferrocarril.</w:t>
      </w:r>
      <w:r w:rsidR="00B05DA6">
        <w:rPr>
          <w:rFonts w:ascii="Times New Roman" w:hAnsi="Times New Roman" w:cs="Times New Roman"/>
          <w:sz w:val="24"/>
          <w:szCs w:val="24"/>
          <w:lang w:val="es-AR"/>
        </w:rPr>
        <w:t xml:space="preserve"> Estos elementos contribuyeron a crear</w:t>
      </w:r>
      <w:r w:rsidR="00AC2130">
        <w:rPr>
          <w:rFonts w:ascii="Times New Roman" w:hAnsi="Times New Roman" w:cs="Times New Roman"/>
          <w:sz w:val="24"/>
          <w:szCs w:val="24"/>
          <w:lang w:val="es-AR"/>
        </w:rPr>
        <w:t xml:space="preserve"> un área de alto dinamismo y crecimiento en el cauce medio del río Atuel, en detrimento del cauce inferior ya dentro del territorio nacional de La Pampa. Sector </w:t>
      </w:r>
      <w:r w:rsidR="00AC2130">
        <w:rPr>
          <w:rFonts w:ascii="Times New Roman" w:hAnsi="Times New Roman" w:cs="Times New Roman"/>
          <w:sz w:val="24"/>
          <w:szCs w:val="24"/>
          <w:lang w:val="es-AR"/>
        </w:rPr>
        <w:lastRenderedPageBreak/>
        <w:t>este que siguió otra forma de organización territorial, en este marco de producción capitalista, asociada a la falta de los caudales suficientes para arraigar población y producir.</w:t>
      </w:r>
    </w:p>
    <w:p w14:paraId="529F7C37" w14:textId="1B211707" w:rsidR="00AC2130" w:rsidRDefault="00AC2130"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De los elementos mencionados en el párrafo anterior, fueron esenciales para la configuración de este territorio hidrosocial, el conocimiento que portaban muchos de los inmigrantes que se asentaron en el sur mendocino. Hasta entrados los finales del siglo XIX, Mendoza se especializaba en la cría y venta de ganado vacuno a Chile, por las condiciones de algunos de sus valles</w:t>
      </w:r>
      <w:r w:rsidR="007D59DD">
        <w:rPr>
          <w:rFonts w:ascii="Times New Roman" w:hAnsi="Times New Roman" w:cs="Times New Roman"/>
          <w:sz w:val="24"/>
          <w:szCs w:val="24"/>
          <w:lang w:val="es-AR"/>
        </w:rPr>
        <w:t xml:space="preserve">, siendo las plantaciones de vid un cultivo secundario </w:t>
      </w:r>
      <w:sdt>
        <w:sdtPr>
          <w:rPr>
            <w:rFonts w:ascii="Times New Roman" w:hAnsi="Times New Roman" w:cs="Times New Roman"/>
            <w:sz w:val="24"/>
            <w:szCs w:val="24"/>
            <w:lang w:val="es-AR"/>
          </w:rPr>
          <w:id w:val="-1196222446"/>
          <w:citation/>
        </w:sdtPr>
        <w:sdtEndPr/>
        <w:sdtContent>
          <w:r w:rsidR="005F2A08">
            <w:rPr>
              <w:rFonts w:ascii="Times New Roman" w:hAnsi="Times New Roman" w:cs="Times New Roman"/>
              <w:sz w:val="24"/>
              <w:szCs w:val="24"/>
              <w:lang w:val="es-AR"/>
            </w:rPr>
            <w:fldChar w:fldCharType="begin"/>
          </w:r>
          <w:r w:rsidR="00C77BBB">
            <w:rPr>
              <w:rFonts w:ascii="Times New Roman" w:hAnsi="Times New Roman" w:cs="Times New Roman"/>
              <w:sz w:val="24"/>
              <w:szCs w:val="24"/>
              <w:lang w:val="es-AR"/>
            </w:rPr>
            <w:instrText xml:space="preserve">CITATION Jor \l 11274 </w:instrText>
          </w:r>
          <w:r w:rsidR="005F2A08">
            <w:rPr>
              <w:rFonts w:ascii="Times New Roman" w:hAnsi="Times New Roman" w:cs="Times New Roman"/>
              <w:sz w:val="24"/>
              <w:szCs w:val="24"/>
              <w:lang w:val="es-AR"/>
            </w:rPr>
            <w:fldChar w:fldCharType="separate"/>
          </w:r>
          <w:r w:rsidR="00C77BBB" w:rsidRPr="00C77BBB">
            <w:rPr>
              <w:rFonts w:ascii="Times New Roman" w:hAnsi="Times New Roman" w:cs="Times New Roman"/>
              <w:noProof/>
              <w:sz w:val="24"/>
              <w:szCs w:val="24"/>
              <w:lang w:val="es-AR"/>
            </w:rPr>
            <w:t>(Jorba, R.; Fresia. I. )</w:t>
          </w:r>
          <w:r w:rsidR="005F2A08">
            <w:rPr>
              <w:rFonts w:ascii="Times New Roman" w:hAnsi="Times New Roman" w:cs="Times New Roman"/>
              <w:sz w:val="24"/>
              <w:szCs w:val="24"/>
              <w:lang w:val="es-AR"/>
            </w:rPr>
            <w:fldChar w:fldCharType="end"/>
          </w:r>
        </w:sdtContent>
      </w:sdt>
      <w:r>
        <w:rPr>
          <w:rFonts w:ascii="Times New Roman" w:hAnsi="Times New Roman" w:cs="Times New Roman"/>
          <w:sz w:val="24"/>
          <w:szCs w:val="24"/>
          <w:lang w:val="es-AR"/>
        </w:rPr>
        <w:t>. Esta condición comenzó a variar cuando se especializa la zona de la pampa húmeda en la producción de pasturas y ganado. Coincidentemente, otro factor influye para que se produzca u</w:t>
      </w:r>
      <w:r w:rsidR="007D59DD">
        <w:rPr>
          <w:rFonts w:ascii="Times New Roman" w:hAnsi="Times New Roman" w:cs="Times New Roman"/>
          <w:sz w:val="24"/>
          <w:szCs w:val="24"/>
          <w:lang w:val="es-AR"/>
        </w:rPr>
        <w:t xml:space="preserve">n cambio en la economía cuyana: en la segunda mitad de siglo XIX los viñedos europeos sufrieron el ataque de la </w:t>
      </w:r>
      <w:proofErr w:type="spellStart"/>
      <w:r w:rsidR="007D59DD" w:rsidRPr="007D59DD">
        <w:rPr>
          <w:rFonts w:ascii="Times New Roman" w:hAnsi="Times New Roman" w:cs="Times New Roman"/>
          <w:i/>
          <w:sz w:val="24"/>
          <w:szCs w:val="24"/>
          <w:lang w:val="es-AR"/>
        </w:rPr>
        <w:t>Phylloxera</w:t>
      </w:r>
      <w:proofErr w:type="spellEnd"/>
      <w:r w:rsidR="007D59DD" w:rsidRPr="007D59DD">
        <w:rPr>
          <w:rFonts w:ascii="Times New Roman" w:hAnsi="Times New Roman" w:cs="Times New Roman"/>
          <w:i/>
          <w:sz w:val="24"/>
          <w:szCs w:val="24"/>
          <w:lang w:val="es-AR"/>
        </w:rPr>
        <w:t xml:space="preserve"> </w:t>
      </w:r>
      <w:proofErr w:type="spellStart"/>
      <w:r w:rsidR="007D59DD" w:rsidRPr="007D59DD">
        <w:rPr>
          <w:rFonts w:ascii="Times New Roman" w:hAnsi="Times New Roman" w:cs="Times New Roman"/>
          <w:i/>
          <w:sz w:val="24"/>
          <w:szCs w:val="24"/>
          <w:lang w:val="es-AR"/>
        </w:rPr>
        <w:t>vastatrix</w:t>
      </w:r>
      <w:proofErr w:type="spellEnd"/>
      <w:r w:rsidR="007D59DD">
        <w:rPr>
          <w:rFonts w:ascii="Times New Roman" w:hAnsi="Times New Roman" w:cs="Times New Roman"/>
          <w:i/>
          <w:sz w:val="24"/>
          <w:szCs w:val="24"/>
          <w:lang w:val="es-AR"/>
        </w:rPr>
        <w:t>,</w:t>
      </w:r>
      <w:r w:rsidR="00A9603F">
        <w:rPr>
          <w:rFonts w:ascii="Times New Roman" w:hAnsi="Times New Roman" w:cs="Times New Roman"/>
          <w:i/>
          <w:sz w:val="24"/>
          <w:szCs w:val="24"/>
          <w:lang w:val="es-AR"/>
        </w:rPr>
        <w:t xml:space="preserve"> </w:t>
      </w:r>
      <w:r w:rsidR="00C77BBB">
        <w:rPr>
          <w:rFonts w:ascii="Times New Roman" w:hAnsi="Times New Roman" w:cs="Times New Roman"/>
          <w:sz w:val="24"/>
          <w:szCs w:val="24"/>
          <w:lang w:val="es-AR"/>
        </w:rPr>
        <w:t>(</w:t>
      </w:r>
      <w:proofErr w:type="spellStart"/>
      <w:r w:rsidR="00C77BBB">
        <w:rPr>
          <w:rFonts w:ascii="Times New Roman" w:hAnsi="Times New Roman" w:cs="Times New Roman"/>
          <w:sz w:val="24"/>
          <w:szCs w:val="24"/>
          <w:lang w:val="es-AR"/>
        </w:rPr>
        <w:t>Jorba</w:t>
      </w:r>
      <w:proofErr w:type="spellEnd"/>
      <w:r w:rsidR="00C77BBB">
        <w:rPr>
          <w:rFonts w:ascii="Times New Roman" w:hAnsi="Times New Roman" w:cs="Times New Roman"/>
          <w:sz w:val="24"/>
          <w:szCs w:val="24"/>
          <w:lang w:val="es-AR"/>
        </w:rPr>
        <w:t xml:space="preserve">; Fresia, </w:t>
      </w:r>
      <w:proofErr w:type="spellStart"/>
      <w:r w:rsidR="00C77BBB">
        <w:rPr>
          <w:rFonts w:ascii="Times New Roman" w:hAnsi="Times New Roman" w:cs="Times New Roman"/>
          <w:sz w:val="24"/>
          <w:szCs w:val="24"/>
          <w:lang w:val="es-AR"/>
        </w:rPr>
        <w:t>op</w:t>
      </w:r>
      <w:proofErr w:type="spellEnd"/>
      <w:r w:rsidR="00C77BBB">
        <w:rPr>
          <w:rFonts w:ascii="Times New Roman" w:hAnsi="Times New Roman" w:cs="Times New Roman"/>
          <w:sz w:val="24"/>
          <w:szCs w:val="24"/>
          <w:lang w:val="es-AR"/>
        </w:rPr>
        <w:t>. Cit.)</w:t>
      </w:r>
      <w:r w:rsidR="00597B1B">
        <w:rPr>
          <w:rFonts w:ascii="Times New Roman" w:hAnsi="Times New Roman" w:cs="Times New Roman"/>
          <w:sz w:val="24"/>
          <w:szCs w:val="24"/>
          <w:lang w:val="es-AR"/>
        </w:rPr>
        <w:t xml:space="preserve"> </w:t>
      </w:r>
      <w:r w:rsidR="007D59DD">
        <w:rPr>
          <w:rFonts w:ascii="Times New Roman" w:hAnsi="Times New Roman" w:cs="Times New Roman"/>
          <w:sz w:val="24"/>
          <w:szCs w:val="24"/>
          <w:lang w:val="es-AR"/>
        </w:rPr>
        <w:t>insecto que diezmo las plantaciones, por lo que esta plaga sumada a la situación de</w:t>
      </w:r>
      <w:r w:rsidR="00C77BBB">
        <w:rPr>
          <w:rFonts w:ascii="Times New Roman" w:hAnsi="Times New Roman" w:cs="Times New Roman"/>
          <w:sz w:val="24"/>
          <w:szCs w:val="24"/>
          <w:lang w:val="es-AR"/>
        </w:rPr>
        <w:t xml:space="preserve"> pobreza de esas zonas europeas, confluyeron para</w:t>
      </w:r>
      <w:r w:rsidR="0058677B">
        <w:rPr>
          <w:rFonts w:ascii="Times New Roman" w:hAnsi="Times New Roman" w:cs="Times New Roman"/>
          <w:sz w:val="24"/>
          <w:szCs w:val="24"/>
          <w:lang w:val="es-AR"/>
        </w:rPr>
        <w:t xml:space="preserve"> qué</w:t>
      </w:r>
      <w:r w:rsidR="00C77BBB">
        <w:rPr>
          <w:rFonts w:ascii="Times New Roman" w:hAnsi="Times New Roman" w:cs="Times New Roman"/>
          <w:sz w:val="24"/>
          <w:szCs w:val="24"/>
          <w:lang w:val="es-AR"/>
        </w:rPr>
        <w:t xml:space="preserve"> dentro del colectivo inmigrante, una parte contara con los conocimientos técnico-culturales relacionados con su cultivo. </w:t>
      </w:r>
    </w:p>
    <w:p w14:paraId="4B6D24F1" w14:textId="3890AAD0" w:rsidR="00C77BBB" w:rsidRDefault="00C77BBB"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En este punto es </w:t>
      </w:r>
      <w:r w:rsidR="00597B1B">
        <w:rPr>
          <w:rFonts w:ascii="Times New Roman" w:hAnsi="Times New Roman" w:cs="Times New Roman"/>
          <w:sz w:val="24"/>
          <w:szCs w:val="24"/>
          <w:lang w:val="es-AR"/>
        </w:rPr>
        <w:t>necesario diferenciar la calidad de manejo respecto a la vinicultura entre los inmigrantes</w:t>
      </w:r>
      <w:r>
        <w:rPr>
          <w:rFonts w:ascii="Times New Roman" w:hAnsi="Times New Roman" w:cs="Times New Roman"/>
          <w:sz w:val="24"/>
          <w:szCs w:val="24"/>
          <w:lang w:val="es-AR"/>
        </w:rPr>
        <w:t xml:space="preserve"> que se instalaron en la zona de estudio. Por un lado, quienes solo tenían su fuerza de tr</w:t>
      </w:r>
      <w:r w:rsidR="00014271">
        <w:rPr>
          <w:rFonts w:ascii="Times New Roman" w:hAnsi="Times New Roman" w:cs="Times New Roman"/>
          <w:sz w:val="24"/>
          <w:szCs w:val="24"/>
          <w:lang w:val="es-AR"/>
        </w:rPr>
        <w:t>abajo y contaban con los</w:t>
      </w:r>
      <w:r>
        <w:rPr>
          <w:rFonts w:ascii="Times New Roman" w:hAnsi="Times New Roman" w:cs="Times New Roman"/>
          <w:sz w:val="24"/>
          <w:szCs w:val="24"/>
          <w:lang w:val="es-AR"/>
        </w:rPr>
        <w:t xml:space="preserve"> conocimientos vitícolas, es decir una amplia mayoría de este grupo. Y, por otra parte, quienes contaban con algún capital económico, conocimientos técnicos adquiridos académicament</w:t>
      </w:r>
      <w:r w:rsidR="00014271">
        <w:rPr>
          <w:rFonts w:ascii="Times New Roman" w:hAnsi="Times New Roman" w:cs="Times New Roman"/>
          <w:sz w:val="24"/>
          <w:szCs w:val="24"/>
          <w:lang w:val="es-AR"/>
        </w:rPr>
        <w:t>e (como el caso de manejos</w:t>
      </w:r>
      <w:r>
        <w:rPr>
          <w:rFonts w:ascii="Times New Roman" w:hAnsi="Times New Roman" w:cs="Times New Roman"/>
          <w:sz w:val="24"/>
          <w:szCs w:val="24"/>
          <w:lang w:val="es-AR"/>
        </w:rPr>
        <w:t xml:space="preserve"> hidráulicos), además del conocimiento del cultivo por tradición familiar.</w:t>
      </w:r>
      <w:r w:rsidR="00181757">
        <w:rPr>
          <w:rFonts w:ascii="Times New Roman" w:hAnsi="Times New Roman" w:cs="Times New Roman"/>
          <w:sz w:val="24"/>
          <w:szCs w:val="24"/>
          <w:lang w:val="es-AR"/>
        </w:rPr>
        <w:t xml:space="preserve"> En el segundo grupo es donde, además, se conj</w:t>
      </w:r>
      <w:r w:rsidR="00014271">
        <w:rPr>
          <w:rFonts w:ascii="Times New Roman" w:hAnsi="Times New Roman" w:cs="Times New Roman"/>
          <w:sz w:val="24"/>
          <w:szCs w:val="24"/>
          <w:lang w:val="es-AR"/>
        </w:rPr>
        <w:t>ugan el capital</w:t>
      </w:r>
      <w:r w:rsidR="00181757">
        <w:rPr>
          <w:rFonts w:ascii="Times New Roman" w:hAnsi="Times New Roman" w:cs="Times New Roman"/>
          <w:sz w:val="24"/>
          <w:szCs w:val="24"/>
          <w:lang w:val="es-AR"/>
        </w:rPr>
        <w:t xml:space="preserve"> técnico con las relaciones sociales que establecieron con miembros de la elite mendocina (Izuel con la familia Benegas, principalmente). Estas relaciones contribuyeron a cimentar su poder y a</w:t>
      </w:r>
      <w:r w:rsidR="00014271">
        <w:rPr>
          <w:rFonts w:ascii="Times New Roman" w:hAnsi="Times New Roman" w:cs="Times New Roman"/>
          <w:sz w:val="24"/>
          <w:szCs w:val="24"/>
          <w:lang w:val="es-AR"/>
        </w:rPr>
        <w:t xml:space="preserve"> que accedieran a</w:t>
      </w:r>
      <w:r w:rsidR="00181757">
        <w:rPr>
          <w:rFonts w:ascii="Times New Roman" w:hAnsi="Times New Roman" w:cs="Times New Roman"/>
          <w:sz w:val="24"/>
          <w:szCs w:val="24"/>
          <w:lang w:val="es-AR"/>
        </w:rPr>
        <w:t xml:space="preserve"> ocupar puestos dentro de instituciones y d</w:t>
      </w:r>
      <w:r w:rsidR="00014271">
        <w:rPr>
          <w:rFonts w:ascii="Times New Roman" w:hAnsi="Times New Roman" w:cs="Times New Roman"/>
          <w:sz w:val="24"/>
          <w:szCs w:val="24"/>
          <w:lang w:val="es-AR"/>
        </w:rPr>
        <w:t>e la administración pública, los cuales</w:t>
      </w:r>
      <w:r w:rsidR="00181757">
        <w:rPr>
          <w:rFonts w:ascii="Times New Roman" w:hAnsi="Times New Roman" w:cs="Times New Roman"/>
          <w:sz w:val="24"/>
          <w:szCs w:val="24"/>
          <w:lang w:val="es-AR"/>
        </w:rPr>
        <w:t xml:space="preserve"> contribuyeron a darles un lugar de preeminencia como actores sociales dentro del territorio hidrosocial (como el caso de Balbino Arizu y Sotero </w:t>
      </w:r>
      <w:r w:rsidR="00FE7024">
        <w:rPr>
          <w:rFonts w:ascii="Times New Roman" w:hAnsi="Times New Roman" w:cs="Times New Roman"/>
          <w:sz w:val="24"/>
          <w:szCs w:val="24"/>
          <w:lang w:val="es-AR"/>
        </w:rPr>
        <w:t>Simeón</w:t>
      </w:r>
      <w:r w:rsidR="00181757">
        <w:rPr>
          <w:rFonts w:ascii="Times New Roman" w:hAnsi="Times New Roman" w:cs="Times New Roman"/>
          <w:sz w:val="24"/>
          <w:szCs w:val="24"/>
          <w:lang w:val="es-AR"/>
        </w:rPr>
        <w:t xml:space="preserve"> Arizu). A su vez les permitió incidir dentro del ciclo hidrosocial en relación al control del agua y la elaboración de un imaginario en torno al agua y, específicamente, al río Atuel (Arizu y Cremaschi). </w:t>
      </w:r>
    </w:p>
    <w:p w14:paraId="352F1F06" w14:textId="77777777" w:rsidR="005162B2" w:rsidRDefault="005162B2"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r>
      <w:r w:rsidR="00FE7024">
        <w:rPr>
          <w:rFonts w:ascii="Times New Roman" w:hAnsi="Times New Roman" w:cs="Times New Roman"/>
          <w:sz w:val="24"/>
          <w:szCs w:val="24"/>
          <w:lang w:val="es-AR"/>
        </w:rPr>
        <w:t xml:space="preserve">En el oasis sur mendocino, este segundo grupo </w:t>
      </w:r>
      <w:r w:rsidR="006F19E0">
        <w:rPr>
          <w:rFonts w:ascii="Times New Roman" w:hAnsi="Times New Roman" w:cs="Times New Roman"/>
          <w:sz w:val="24"/>
          <w:szCs w:val="24"/>
          <w:lang w:val="es-AR"/>
        </w:rPr>
        <w:t xml:space="preserve">pudo profundizar su acción transformadora sobre el territorio, al concentrar, con el correr del tiempo, tierras, capital, </w:t>
      </w:r>
      <w:r w:rsidR="006F19E0">
        <w:rPr>
          <w:rFonts w:ascii="Times New Roman" w:hAnsi="Times New Roman" w:cs="Times New Roman"/>
          <w:sz w:val="24"/>
          <w:szCs w:val="24"/>
          <w:lang w:val="es-AR"/>
        </w:rPr>
        <w:lastRenderedPageBreak/>
        <w:t>manejo del agua y, en cierta forma, asumir algunas responsabilidades que correspondían al Estado, como se verá en el caso de la bodega Arizu y su acción en Villa Atuel. Al respecto, es en esta localidad donde se centra parte de la atención de este trabajo, para luego ver el caso de San Rafael con la bodega La Abeja (Iselin) y General Alvear con la bodega Cremaschi. En el caso de Villa Atuel se utilizó aguas del río homónimo, en tanto que en los otros dos casos también se utilizaban las del río Diamante</w:t>
      </w:r>
      <w:r w:rsidR="006F19E0">
        <w:rPr>
          <w:rStyle w:val="Refdenotaalpie"/>
          <w:rFonts w:ascii="Times New Roman" w:hAnsi="Times New Roman" w:cs="Times New Roman"/>
          <w:sz w:val="24"/>
          <w:szCs w:val="24"/>
          <w:lang w:val="es-AR"/>
        </w:rPr>
        <w:footnoteReference w:id="2"/>
      </w:r>
      <w:r w:rsidR="006F19E0">
        <w:rPr>
          <w:rFonts w:ascii="Times New Roman" w:hAnsi="Times New Roman" w:cs="Times New Roman"/>
          <w:sz w:val="24"/>
          <w:szCs w:val="24"/>
          <w:lang w:val="es-AR"/>
        </w:rPr>
        <w:t xml:space="preserve">. </w:t>
      </w:r>
      <w:r w:rsidR="00CA7372">
        <w:rPr>
          <w:rFonts w:ascii="Times New Roman" w:hAnsi="Times New Roman" w:cs="Times New Roman"/>
          <w:sz w:val="24"/>
          <w:szCs w:val="24"/>
          <w:lang w:val="es-AR"/>
        </w:rPr>
        <w:t>Cabe acla</w:t>
      </w:r>
      <w:r w:rsidR="0005408A">
        <w:rPr>
          <w:rFonts w:ascii="Times New Roman" w:hAnsi="Times New Roman" w:cs="Times New Roman"/>
          <w:sz w:val="24"/>
          <w:szCs w:val="24"/>
          <w:lang w:val="es-AR"/>
        </w:rPr>
        <w:t>rar que este trabajo se dedica</w:t>
      </w:r>
      <w:r w:rsidR="00CA7372">
        <w:rPr>
          <w:rFonts w:ascii="Times New Roman" w:hAnsi="Times New Roman" w:cs="Times New Roman"/>
          <w:sz w:val="24"/>
          <w:szCs w:val="24"/>
          <w:lang w:val="es-AR"/>
        </w:rPr>
        <w:t xml:space="preserve"> a este segundo grupo dentro del colectivo de los inmigrantes. </w:t>
      </w:r>
    </w:p>
    <w:p w14:paraId="6BC5EB1D" w14:textId="77777777" w:rsidR="00075C5E" w:rsidRDefault="00CA7372"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r>
      <w:r w:rsidR="0005408A">
        <w:rPr>
          <w:rFonts w:ascii="Times New Roman" w:hAnsi="Times New Roman" w:cs="Times New Roman"/>
          <w:sz w:val="24"/>
          <w:szCs w:val="24"/>
          <w:lang w:val="es-AR"/>
        </w:rPr>
        <w:t xml:space="preserve">A inicios de la primera década del siglo XX, gobernaba la provincia Emilio </w:t>
      </w:r>
      <w:proofErr w:type="spellStart"/>
      <w:r w:rsidR="0005408A">
        <w:rPr>
          <w:rFonts w:ascii="Times New Roman" w:hAnsi="Times New Roman" w:cs="Times New Roman"/>
          <w:sz w:val="24"/>
          <w:szCs w:val="24"/>
          <w:lang w:val="es-AR"/>
        </w:rPr>
        <w:t>Civit</w:t>
      </w:r>
      <w:proofErr w:type="spellEnd"/>
      <w:r w:rsidR="0005408A">
        <w:rPr>
          <w:rFonts w:ascii="Times New Roman" w:hAnsi="Times New Roman" w:cs="Times New Roman"/>
          <w:sz w:val="24"/>
          <w:szCs w:val="24"/>
          <w:lang w:val="es-AR"/>
        </w:rPr>
        <w:t>, quién además se dedicaba a la actividad vitiviníc</w:t>
      </w:r>
      <w:r w:rsidR="0058677B">
        <w:rPr>
          <w:rFonts w:ascii="Times New Roman" w:hAnsi="Times New Roman" w:cs="Times New Roman"/>
          <w:sz w:val="24"/>
          <w:szCs w:val="24"/>
          <w:lang w:val="es-AR"/>
        </w:rPr>
        <w:t>ola. Bajo su mandato se sancionó</w:t>
      </w:r>
      <w:r w:rsidR="0005408A">
        <w:rPr>
          <w:rFonts w:ascii="Times New Roman" w:hAnsi="Times New Roman" w:cs="Times New Roman"/>
          <w:sz w:val="24"/>
          <w:szCs w:val="24"/>
          <w:lang w:val="es-AR"/>
        </w:rPr>
        <w:t xml:space="preserve"> la ley </w:t>
      </w:r>
      <w:r w:rsidR="0005408A" w:rsidRPr="0058677B">
        <w:rPr>
          <w:rFonts w:ascii="Times New Roman" w:hAnsi="Times New Roman" w:cs="Times New Roman"/>
          <w:sz w:val="24"/>
          <w:szCs w:val="24"/>
          <w:lang w:val="es-AR"/>
        </w:rPr>
        <w:t>prov</w:t>
      </w:r>
      <w:r w:rsidR="00360947" w:rsidRPr="0058677B">
        <w:rPr>
          <w:rFonts w:ascii="Times New Roman" w:hAnsi="Times New Roman" w:cs="Times New Roman"/>
          <w:sz w:val="24"/>
          <w:szCs w:val="24"/>
          <w:lang w:val="es-AR"/>
        </w:rPr>
        <w:t>incial N°515, por medio de la cual se crea el pueblo de Villa Atuel</w:t>
      </w:r>
      <w:r w:rsidR="00360947">
        <w:rPr>
          <w:rFonts w:ascii="Times New Roman" w:hAnsi="Times New Roman" w:cs="Times New Roman"/>
          <w:sz w:val="24"/>
          <w:szCs w:val="24"/>
          <w:lang w:val="es-AR"/>
        </w:rPr>
        <w:t>. En el marco de est</w:t>
      </w:r>
      <w:r w:rsidR="0005408A">
        <w:rPr>
          <w:rFonts w:ascii="Times New Roman" w:hAnsi="Times New Roman" w:cs="Times New Roman"/>
          <w:sz w:val="24"/>
          <w:szCs w:val="24"/>
          <w:lang w:val="es-AR"/>
        </w:rPr>
        <w:t>a ley, Bernardino Izuel consigue una concesión para el riego de 5000 ha. Con la obligación de ceder 50 ha</w:t>
      </w:r>
      <w:r w:rsidR="00360947">
        <w:rPr>
          <w:rFonts w:ascii="Times New Roman" w:hAnsi="Times New Roman" w:cs="Times New Roman"/>
          <w:sz w:val="24"/>
          <w:szCs w:val="24"/>
          <w:lang w:val="es-AR"/>
        </w:rPr>
        <w:t>.</w:t>
      </w:r>
      <w:r w:rsidR="000F68B8">
        <w:rPr>
          <w:rFonts w:ascii="Times New Roman" w:hAnsi="Times New Roman" w:cs="Times New Roman"/>
          <w:sz w:val="24"/>
          <w:szCs w:val="24"/>
          <w:lang w:val="es-AR"/>
        </w:rPr>
        <w:t xml:space="preserve"> para la fundación de este</w:t>
      </w:r>
      <w:r w:rsidR="0005408A">
        <w:rPr>
          <w:rFonts w:ascii="Times New Roman" w:hAnsi="Times New Roman" w:cs="Times New Roman"/>
          <w:sz w:val="24"/>
          <w:szCs w:val="24"/>
          <w:lang w:val="es-AR"/>
        </w:rPr>
        <w:t xml:space="preserve"> pueblo</w:t>
      </w:r>
      <w:r w:rsidR="00360947">
        <w:rPr>
          <w:rFonts w:ascii="Times New Roman" w:hAnsi="Times New Roman" w:cs="Times New Roman"/>
          <w:sz w:val="24"/>
          <w:szCs w:val="24"/>
          <w:lang w:val="es-AR"/>
        </w:rPr>
        <w:t xml:space="preserve">, contribuyen en el aporte de tierras los </w:t>
      </w:r>
      <w:proofErr w:type="spellStart"/>
      <w:r w:rsidR="00360947">
        <w:rPr>
          <w:rFonts w:ascii="Times New Roman" w:hAnsi="Times New Roman" w:cs="Times New Roman"/>
          <w:sz w:val="24"/>
          <w:szCs w:val="24"/>
          <w:lang w:val="es-AR"/>
        </w:rPr>
        <w:t>Arizú</w:t>
      </w:r>
      <w:proofErr w:type="spellEnd"/>
      <w:r w:rsidR="00360947">
        <w:rPr>
          <w:rFonts w:ascii="Times New Roman" w:hAnsi="Times New Roman" w:cs="Times New Roman"/>
          <w:sz w:val="24"/>
          <w:szCs w:val="24"/>
          <w:lang w:val="es-AR"/>
        </w:rPr>
        <w:t>, también con 50 ha.</w:t>
      </w:r>
      <w:sdt>
        <w:sdtPr>
          <w:rPr>
            <w:rFonts w:ascii="Times New Roman" w:hAnsi="Times New Roman" w:cs="Times New Roman"/>
            <w:sz w:val="24"/>
            <w:szCs w:val="24"/>
            <w:lang w:val="es-AR"/>
          </w:rPr>
          <w:id w:val="1354226711"/>
          <w:citation/>
        </w:sdtPr>
        <w:sdtEndPr/>
        <w:sdtContent>
          <w:r w:rsidR="005F2A08">
            <w:rPr>
              <w:rFonts w:ascii="Times New Roman" w:hAnsi="Times New Roman" w:cs="Times New Roman"/>
              <w:sz w:val="24"/>
              <w:szCs w:val="24"/>
              <w:lang w:val="es-AR"/>
            </w:rPr>
            <w:fldChar w:fldCharType="begin"/>
          </w:r>
          <w:r w:rsidR="0005408A">
            <w:rPr>
              <w:rFonts w:ascii="Times New Roman" w:hAnsi="Times New Roman" w:cs="Times New Roman"/>
              <w:sz w:val="24"/>
              <w:szCs w:val="24"/>
              <w:lang w:val="es-AR"/>
            </w:rPr>
            <w:instrText xml:space="preserve"> CITATION Sau12 \l 11274 </w:instrText>
          </w:r>
          <w:r w:rsidR="005F2A08">
            <w:rPr>
              <w:rFonts w:ascii="Times New Roman" w:hAnsi="Times New Roman" w:cs="Times New Roman"/>
              <w:sz w:val="24"/>
              <w:szCs w:val="24"/>
              <w:lang w:val="es-AR"/>
            </w:rPr>
            <w:fldChar w:fldCharType="separate"/>
          </w:r>
          <w:r w:rsidR="0005408A" w:rsidRPr="0005408A">
            <w:rPr>
              <w:rFonts w:ascii="Times New Roman" w:hAnsi="Times New Roman" w:cs="Times New Roman"/>
              <w:noProof/>
              <w:sz w:val="24"/>
              <w:szCs w:val="24"/>
              <w:lang w:val="es-AR"/>
            </w:rPr>
            <w:t>(Saurina, 2012)</w:t>
          </w:r>
          <w:r w:rsidR="005F2A08">
            <w:rPr>
              <w:rFonts w:ascii="Times New Roman" w:hAnsi="Times New Roman" w:cs="Times New Roman"/>
              <w:sz w:val="24"/>
              <w:szCs w:val="24"/>
              <w:lang w:val="es-AR"/>
            </w:rPr>
            <w:fldChar w:fldCharType="end"/>
          </w:r>
        </w:sdtContent>
      </w:sdt>
      <w:r w:rsidR="005A6595">
        <w:rPr>
          <w:rFonts w:ascii="Times New Roman" w:hAnsi="Times New Roman" w:cs="Times New Roman"/>
          <w:sz w:val="24"/>
          <w:szCs w:val="24"/>
          <w:lang w:val="es-AR"/>
        </w:rPr>
        <w:t>. Izuel es un personaje de relevancia en la creación del oasis, dado que construyó el Canal Matriz, que lleva su nombre, para utilizar las aguas del río Atuel para riego</w:t>
      </w:r>
      <w:r w:rsidR="005878AF">
        <w:rPr>
          <w:rFonts w:ascii="Times New Roman" w:hAnsi="Times New Roman" w:cs="Times New Roman"/>
          <w:sz w:val="24"/>
          <w:szCs w:val="24"/>
          <w:lang w:val="es-AR"/>
        </w:rPr>
        <w:t>, finalizándolo en 1905</w:t>
      </w:r>
      <w:r w:rsidR="005A6595">
        <w:rPr>
          <w:rFonts w:ascii="Times New Roman" w:hAnsi="Times New Roman" w:cs="Times New Roman"/>
          <w:sz w:val="24"/>
          <w:szCs w:val="24"/>
          <w:lang w:val="es-AR"/>
        </w:rPr>
        <w:t xml:space="preserve">. </w:t>
      </w:r>
      <w:r w:rsidR="005878AF">
        <w:rPr>
          <w:rFonts w:ascii="Times New Roman" w:hAnsi="Times New Roman" w:cs="Times New Roman"/>
          <w:sz w:val="24"/>
          <w:szCs w:val="24"/>
          <w:lang w:val="es-AR"/>
        </w:rPr>
        <w:t>Bernardino Izuel era originario</w:t>
      </w:r>
      <w:r w:rsidR="005A6595">
        <w:rPr>
          <w:rFonts w:ascii="Times New Roman" w:hAnsi="Times New Roman" w:cs="Times New Roman"/>
          <w:sz w:val="24"/>
          <w:szCs w:val="24"/>
          <w:lang w:val="es-AR"/>
        </w:rPr>
        <w:t xml:space="preserve"> de España, específicamente del País Vasco. Allí se formó profesionalmente en el área hidráulica. </w:t>
      </w:r>
      <w:r w:rsidR="00075C5E">
        <w:rPr>
          <w:rFonts w:ascii="Times New Roman" w:hAnsi="Times New Roman" w:cs="Times New Roman"/>
          <w:sz w:val="24"/>
          <w:szCs w:val="24"/>
          <w:lang w:val="es-AR"/>
        </w:rPr>
        <w:t>Viajó a Argentina en vistas de las posibilidades que brindaba el país entonces. En esta aventura entusiasmo a Balbino Arizu, quien, junto a uno de sus hermanos, se embarcó en la empresa. Ya en Mendoza trabajaron en viñedos de Tiburcio Benegas, en la bodega El Trapiche. Benegas se transformó en una vía de contacto y relación con el poder provincial. Aquí comenzaron a trabajar en la zona de Mendoza capital, allí se estaba ampliando la red de canales, donde fue de vital importancia el aporte de Izuel. Paralelamente, el sur mendocino comenzó a mostrarse como una zona atractiva y con muy buenas posibilidades para las plantaciones. Es así que progresivamente los Arizu van a adquirir tierras y, a su vez, Izuel contribuirá con la canalización.</w:t>
      </w:r>
      <w:r w:rsidR="00A431D7">
        <w:rPr>
          <w:rFonts w:ascii="Times New Roman" w:hAnsi="Times New Roman" w:cs="Times New Roman"/>
          <w:sz w:val="24"/>
          <w:szCs w:val="24"/>
          <w:lang w:val="es-AR"/>
        </w:rPr>
        <w:t xml:space="preserve"> En la zona</w:t>
      </w:r>
      <w:r w:rsidR="0058677B">
        <w:rPr>
          <w:rFonts w:ascii="Times New Roman" w:hAnsi="Times New Roman" w:cs="Times New Roman"/>
          <w:sz w:val="24"/>
          <w:szCs w:val="24"/>
          <w:lang w:val="es-AR"/>
        </w:rPr>
        <w:t xml:space="preserve"> de San Rafael lograron concentrar</w:t>
      </w:r>
      <w:r w:rsidR="00A431D7">
        <w:rPr>
          <w:rFonts w:ascii="Times New Roman" w:hAnsi="Times New Roman" w:cs="Times New Roman"/>
          <w:sz w:val="24"/>
          <w:szCs w:val="24"/>
          <w:lang w:val="es-AR"/>
        </w:rPr>
        <w:t xml:space="preserve"> unas 12.569 ha. </w:t>
      </w:r>
      <w:sdt>
        <w:sdtPr>
          <w:rPr>
            <w:rFonts w:ascii="Times New Roman" w:hAnsi="Times New Roman" w:cs="Times New Roman"/>
            <w:sz w:val="24"/>
            <w:szCs w:val="24"/>
            <w:lang w:val="es-AR"/>
          </w:rPr>
          <w:id w:val="-1796901665"/>
          <w:citation/>
        </w:sdtPr>
        <w:sdtEndPr/>
        <w:sdtContent>
          <w:r w:rsidR="005F2A08">
            <w:rPr>
              <w:rFonts w:ascii="Times New Roman" w:hAnsi="Times New Roman" w:cs="Times New Roman"/>
              <w:sz w:val="24"/>
              <w:szCs w:val="24"/>
              <w:lang w:val="es-AR"/>
            </w:rPr>
            <w:fldChar w:fldCharType="begin"/>
          </w:r>
          <w:r w:rsidR="00C1678A">
            <w:rPr>
              <w:rFonts w:ascii="Times New Roman" w:hAnsi="Times New Roman" w:cs="Times New Roman"/>
              <w:sz w:val="24"/>
              <w:szCs w:val="24"/>
              <w:lang w:val="es-AR"/>
            </w:rPr>
            <w:instrText xml:space="preserve"> CITATION Mat12 \l 11274 </w:instrText>
          </w:r>
          <w:r w:rsidR="005F2A08">
            <w:rPr>
              <w:rFonts w:ascii="Times New Roman" w:hAnsi="Times New Roman" w:cs="Times New Roman"/>
              <w:sz w:val="24"/>
              <w:szCs w:val="24"/>
              <w:lang w:val="es-AR"/>
            </w:rPr>
            <w:fldChar w:fldCharType="separate"/>
          </w:r>
          <w:r w:rsidR="00C1678A" w:rsidRPr="00C1678A">
            <w:rPr>
              <w:rFonts w:ascii="Times New Roman" w:hAnsi="Times New Roman" w:cs="Times New Roman"/>
              <w:noProof/>
              <w:sz w:val="24"/>
              <w:szCs w:val="24"/>
              <w:lang w:val="es-AR"/>
            </w:rPr>
            <w:t>(Mateu, 2012)</w:t>
          </w:r>
          <w:r w:rsidR="005F2A08">
            <w:rPr>
              <w:rFonts w:ascii="Times New Roman" w:hAnsi="Times New Roman" w:cs="Times New Roman"/>
              <w:sz w:val="24"/>
              <w:szCs w:val="24"/>
              <w:lang w:val="es-AR"/>
            </w:rPr>
            <w:fldChar w:fldCharType="end"/>
          </w:r>
        </w:sdtContent>
      </w:sdt>
      <w:r w:rsidR="00A431D7">
        <w:rPr>
          <w:rFonts w:ascii="Times New Roman" w:hAnsi="Times New Roman" w:cs="Times New Roman"/>
          <w:sz w:val="24"/>
          <w:szCs w:val="24"/>
          <w:lang w:val="es-AR"/>
        </w:rPr>
        <w:t xml:space="preserve">, invertir en esta zona les facilitaba conseguir derechos de agua definitivos. En tal sentido y como se indicó previamente, la ley de aguas mendocina, facilitó la mercantilización incipiente del agua en un medio semiárido, incentivando el poblamiento y </w:t>
      </w:r>
      <w:r w:rsidR="00A431D7">
        <w:rPr>
          <w:rFonts w:ascii="Times New Roman" w:hAnsi="Times New Roman" w:cs="Times New Roman"/>
          <w:sz w:val="24"/>
          <w:szCs w:val="24"/>
          <w:lang w:val="es-AR"/>
        </w:rPr>
        <w:lastRenderedPageBreak/>
        <w:t xml:space="preserve">el desarrollo de actividades productivas especializadas como la vinicultura (San Rafael), la fruticultura (General Alvear) y, en menor medida, la horticultura. </w:t>
      </w:r>
    </w:p>
    <w:p w14:paraId="22D9B1BF" w14:textId="1666EF5A" w:rsidR="005A6595" w:rsidRDefault="0052223B"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r>
      <w:r w:rsidR="00AB6A2B">
        <w:rPr>
          <w:rFonts w:ascii="Times New Roman" w:hAnsi="Times New Roman" w:cs="Times New Roman"/>
          <w:sz w:val="24"/>
          <w:szCs w:val="24"/>
          <w:lang w:val="es-AR"/>
        </w:rPr>
        <w:t>En el grafico</w:t>
      </w:r>
      <w:r w:rsidR="0058677B">
        <w:rPr>
          <w:rFonts w:ascii="Times New Roman" w:hAnsi="Times New Roman" w:cs="Times New Roman"/>
          <w:sz w:val="24"/>
          <w:szCs w:val="24"/>
          <w:lang w:val="es-AR"/>
        </w:rPr>
        <w:t xml:space="preserve"> </w:t>
      </w:r>
      <w:r w:rsidR="007A425C">
        <w:rPr>
          <w:rFonts w:ascii="Times New Roman" w:hAnsi="Times New Roman" w:cs="Times New Roman"/>
          <w:sz w:val="24"/>
          <w:szCs w:val="24"/>
          <w:lang w:val="es-AR"/>
        </w:rPr>
        <w:t>0</w:t>
      </w:r>
      <w:r w:rsidR="0058677B">
        <w:rPr>
          <w:rFonts w:ascii="Times New Roman" w:hAnsi="Times New Roman" w:cs="Times New Roman"/>
          <w:sz w:val="24"/>
          <w:szCs w:val="24"/>
          <w:lang w:val="es-AR"/>
        </w:rPr>
        <w:t>3</w:t>
      </w:r>
      <w:r w:rsidR="00075C5E">
        <w:rPr>
          <w:rFonts w:ascii="Times New Roman" w:hAnsi="Times New Roman" w:cs="Times New Roman"/>
          <w:sz w:val="24"/>
          <w:szCs w:val="24"/>
          <w:lang w:val="es-AR"/>
        </w:rPr>
        <w:t>, se sintetizan las acciones que fue</w:t>
      </w:r>
      <w:r w:rsidR="000F68B8">
        <w:rPr>
          <w:rFonts w:ascii="Times New Roman" w:hAnsi="Times New Roman" w:cs="Times New Roman"/>
          <w:sz w:val="24"/>
          <w:szCs w:val="24"/>
          <w:lang w:val="es-AR"/>
        </w:rPr>
        <w:t>ron</w:t>
      </w:r>
      <w:r w:rsidR="00075C5E">
        <w:rPr>
          <w:rFonts w:ascii="Times New Roman" w:hAnsi="Times New Roman" w:cs="Times New Roman"/>
          <w:sz w:val="24"/>
          <w:szCs w:val="24"/>
          <w:lang w:val="es-AR"/>
        </w:rPr>
        <w:t xml:space="preserve"> desarrollando los hermanos Balbino y Sotero Arizu</w:t>
      </w:r>
      <w:r w:rsidR="004518D5">
        <w:rPr>
          <w:rFonts w:ascii="Times New Roman" w:hAnsi="Times New Roman" w:cs="Times New Roman"/>
          <w:sz w:val="24"/>
          <w:szCs w:val="24"/>
          <w:lang w:val="es-AR"/>
        </w:rPr>
        <w:t xml:space="preserve"> en Mendoza. </w:t>
      </w:r>
      <w:r w:rsidR="003E5FA9">
        <w:rPr>
          <w:rFonts w:ascii="Times New Roman" w:hAnsi="Times New Roman" w:cs="Times New Roman"/>
          <w:sz w:val="24"/>
          <w:szCs w:val="24"/>
          <w:lang w:val="es-AR"/>
        </w:rPr>
        <w:t xml:space="preserve">En ella es posible observar como la familia gracias al conocimiento generacional sobre </w:t>
      </w:r>
      <w:r w:rsidR="008C2CBC">
        <w:rPr>
          <w:rFonts w:ascii="Times New Roman" w:hAnsi="Times New Roman" w:cs="Times New Roman"/>
          <w:sz w:val="24"/>
          <w:szCs w:val="24"/>
          <w:lang w:val="es-AR"/>
        </w:rPr>
        <w:t>vinicultura, los primeros contactos con Benegas (gobernador de Mendoza y parte de la elite) junto al aporte de Izuel en la construcción de canales en el sur, generó un acrecentamiento de su capital, convirtiéndola en 1936, en el “paño de viñedos más grande del mundo” (</w:t>
      </w:r>
      <w:proofErr w:type="spellStart"/>
      <w:r w:rsidR="008C2CBC">
        <w:rPr>
          <w:rFonts w:ascii="Times New Roman" w:hAnsi="Times New Roman" w:cs="Times New Roman"/>
          <w:sz w:val="24"/>
          <w:szCs w:val="24"/>
          <w:lang w:val="es-AR"/>
        </w:rPr>
        <w:t>Saurina</w:t>
      </w:r>
      <w:proofErr w:type="spellEnd"/>
      <w:r w:rsidR="008C2CBC">
        <w:rPr>
          <w:rFonts w:ascii="Times New Roman" w:hAnsi="Times New Roman" w:cs="Times New Roman"/>
          <w:sz w:val="24"/>
          <w:szCs w:val="24"/>
          <w:lang w:val="es-AR"/>
        </w:rPr>
        <w:t xml:space="preserve">, </w:t>
      </w:r>
      <w:proofErr w:type="spellStart"/>
      <w:r w:rsidR="008C2CBC">
        <w:rPr>
          <w:rFonts w:ascii="Times New Roman" w:hAnsi="Times New Roman" w:cs="Times New Roman"/>
          <w:sz w:val="24"/>
          <w:szCs w:val="24"/>
          <w:lang w:val="es-AR"/>
        </w:rPr>
        <w:t>op</w:t>
      </w:r>
      <w:proofErr w:type="spellEnd"/>
      <w:r w:rsidR="008C2CBC">
        <w:rPr>
          <w:rFonts w:ascii="Times New Roman" w:hAnsi="Times New Roman" w:cs="Times New Roman"/>
          <w:sz w:val="24"/>
          <w:szCs w:val="24"/>
          <w:lang w:val="es-AR"/>
        </w:rPr>
        <w:t>. Cit.) con 2900 has. Cultivadas.</w:t>
      </w:r>
    </w:p>
    <w:p w14:paraId="1484A9C2" w14:textId="24A8AEEE" w:rsidR="004518D5" w:rsidRDefault="007A425C" w:rsidP="00AB6A2B">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Hermanos </w:t>
      </w:r>
      <w:proofErr w:type="spellStart"/>
      <w:r>
        <w:rPr>
          <w:rFonts w:ascii="Times New Roman" w:hAnsi="Times New Roman" w:cs="Times New Roman"/>
          <w:sz w:val="24"/>
          <w:szCs w:val="24"/>
          <w:lang w:val="es-AR"/>
        </w:rPr>
        <w:t>Arizu</w:t>
      </w:r>
      <w:proofErr w:type="spellEnd"/>
      <w:r>
        <w:rPr>
          <w:rFonts w:ascii="Times New Roman" w:hAnsi="Times New Roman" w:cs="Times New Roman"/>
          <w:sz w:val="24"/>
          <w:szCs w:val="24"/>
          <w:lang w:val="es-AR"/>
        </w:rPr>
        <w:t xml:space="preserve"> y su desarrollo económico y político en Mendoza. </w:t>
      </w:r>
      <w:r w:rsidR="00AB6A2B">
        <w:rPr>
          <w:rFonts w:ascii="Times New Roman" w:hAnsi="Times New Roman" w:cs="Times New Roman"/>
          <w:sz w:val="24"/>
          <w:szCs w:val="24"/>
          <w:lang w:val="es-AR"/>
        </w:rPr>
        <w:t>Grafico</w:t>
      </w:r>
      <w:r w:rsidR="00D06748">
        <w:rPr>
          <w:rFonts w:ascii="Times New Roman" w:hAnsi="Times New Roman" w:cs="Times New Roman"/>
          <w:sz w:val="24"/>
          <w:szCs w:val="24"/>
          <w:lang w:val="es-AR"/>
        </w:rPr>
        <w:t xml:space="preserve"> </w:t>
      </w:r>
      <w:r w:rsidR="0058677B">
        <w:rPr>
          <w:rFonts w:ascii="Times New Roman" w:hAnsi="Times New Roman" w:cs="Times New Roman"/>
          <w:sz w:val="24"/>
          <w:szCs w:val="24"/>
          <w:lang w:val="es-AR"/>
        </w:rPr>
        <w:t>3</w:t>
      </w:r>
      <w:r w:rsidR="004518D5">
        <w:rPr>
          <w:rFonts w:ascii="Times New Roman" w:hAnsi="Times New Roman" w:cs="Times New Roman"/>
          <w:sz w:val="24"/>
          <w:szCs w:val="24"/>
          <w:lang w:val="es-AR"/>
        </w:rPr>
        <w:t>.</w:t>
      </w:r>
      <w:r w:rsidR="00D06748">
        <w:rPr>
          <w:rFonts w:ascii="Times New Roman" w:hAnsi="Times New Roman" w:cs="Times New Roman"/>
          <w:sz w:val="24"/>
          <w:szCs w:val="24"/>
          <w:lang w:val="es-AR"/>
        </w:rPr>
        <w:t xml:space="preserve"> </w:t>
      </w:r>
    </w:p>
    <w:p w14:paraId="407121E3" w14:textId="77777777" w:rsidR="00075C5E" w:rsidRDefault="0047745B" w:rsidP="00AB6A2B">
      <w:pPr>
        <w:spacing w:line="360" w:lineRule="auto"/>
        <w:jc w:val="both"/>
        <w:rPr>
          <w:rFonts w:ascii="Times New Roman" w:hAnsi="Times New Roman" w:cs="Times New Roman"/>
          <w:sz w:val="24"/>
          <w:szCs w:val="24"/>
          <w:lang w:val="es-AR"/>
        </w:rPr>
      </w:pPr>
      <w:r>
        <w:rPr>
          <w:rFonts w:ascii="Times New Roman" w:hAnsi="Times New Roman" w:cs="Times New Roman"/>
          <w:noProof/>
          <w:sz w:val="24"/>
          <w:szCs w:val="24"/>
        </w:rPr>
        <w:drawing>
          <wp:inline distT="0" distB="0" distL="0" distR="0" wp14:anchorId="09C7DC44" wp14:editId="5359D81F">
            <wp:extent cx="5486400" cy="3200400"/>
            <wp:effectExtent l="0" t="0" r="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F2DD3F6" w14:textId="77777777" w:rsidR="005A6595" w:rsidRPr="007D59DD" w:rsidRDefault="005A6595" w:rsidP="00AB6A2B">
      <w:pPr>
        <w:spacing w:line="360" w:lineRule="auto"/>
        <w:jc w:val="both"/>
        <w:rPr>
          <w:rFonts w:ascii="Times New Roman" w:hAnsi="Times New Roman" w:cs="Times New Roman"/>
          <w:sz w:val="24"/>
          <w:szCs w:val="24"/>
          <w:lang w:val="es-AR"/>
        </w:rPr>
      </w:pPr>
    </w:p>
    <w:p w14:paraId="2C295DAF" w14:textId="0CB8DD16" w:rsidR="0003299C" w:rsidRDefault="008C2CBC" w:rsidP="00AB6A2B">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Esta extensión de plantaciones era regada con las aguas del Atuel. En el mapa</w:t>
      </w:r>
      <w:r w:rsidR="007A425C">
        <w:rPr>
          <w:rFonts w:ascii="Times New Roman" w:hAnsi="Times New Roman" w:cs="Times New Roman"/>
          <w:sz w:val="24"/>
          <w:szCs w:val="24"/>
          <w:lang w:val="es-AR"/>
        </w:rPr>
        <w:t xml:space="preserve"> (Foto</w:t>
      </w:r>
      <w:r w:rsidR="00D06748">
        <w:rPr>
          <w:rFonts w:ascii="Times New Roman" w:hAnsi="Times New Roman" w:cs="Times New Roman"/>
          <w:sz w:val="24"/>
          <w:szCs w:val="24"/>
          <w:lang w:val="es-AR"/>
        </w:rPr>
        <w:t xml:space="preserve"> </w:t>
      </w:r>
      <w:r w:rsidR="007A425C">
        <w:rPr>
          <w:rFonts w:ascii="Times New Roman" w:hAnsi="Times New Roman" w:cs="Times New Roman"/>
          <w:sz w:val="24"/>
          <w:szCs w:val="24"/>
          <w:lang w:val="es-AR"/>
        </w:rPr>
        <w:t>0</w:t>
      </w:r>
      <w:r w:rsidR="00D06748">
        <w:rPr>
          <w:rFonts w:ascii="Times New Roman" w:hAnsi="Times New Roman" w:cs="Times New Roman"/>
          <w:sz w:val="24"/>
          <w:szCs w:val="24"/>
          <w:lang w:val="es-AR"/>
        </w:rPr>
        <w:t>2</w:t>
      </w:r>
      <w:r w:rsidR="000F68B8">
        <w:rPr>
          <w:rFonts w:ascii="Times New Roman" w:hAnsi="Times New Roman" w:cs="Times New Roman"/>
          <w:sz w:val="24"/>
          <w:szCs w:val="24"/>
          <w:lang w:val="es-AR"/>
        </w:rPr>
        <w:t>)</w:t>
      </w:r>
      <w:r>
        <w:rPr>
          <w:rFonts w:ascii="Times New Roman" w:hAnsi="Times New Roman" w:cs="Times New Roman"/>
          <w:sz w:val="24"/>
          <w:szCs w:val="24"/>
          <w:lang w:val="es-AR"/>
        </w:rPr>
        <w:t xml:space="preserve"> elaborado por </w:t>
      </w:r>
      <w:proofErr w:type="spellStart"/>
      <w:r>
        <w:rPr>
          <w:rFonts w:ascii="Times New Roman" w:hAnsi="Times New Roman" w:cs="Times New Roman"/>
          <w:sz w:val="24"/>
          <w:szCs w:val="24"/>
          <w:lang w:val="es-AR"/>
        </w:rPr>
        <w:t>Stappenbeck</w:t>
      </w:r>
      <w:proofErr w:type="spellEnd"/>
      <w:r>
        <w:rPr>
          <w:rFonts w:ascii="Times New Roman" w:hAnsi="Times New Roman" w:cs="Times New Roman"/>
          <w:sz w:val="24"/>
          <w:szCs w:val="24"/>
          <w:lang w:val="es-AR"/>
        </w:rPr>
        <w:t xml:space="preserve"> en 1913, se puede observar como estaban entonces dispuestas las propiedades, quiénes eran los dueños y como las tie</w:t>
      </w:r>
      <w:r w:rsidR="00B910EA">
        <w:rPr>
          <w:rFonts w:ascii="Times New Roman" w:hAnsi="Times New Roman" w:cs="Times New Roman"/>
          <w:sz w:val="24"/>
          <w:szCs w:val="24"/>
          <w:lang w:val="es-AR"/>
        </w:rPr>
        <w:t>rras de Arizu y la familia Lima,</w:t>
      </w:r>
      <w:r>
        <w:rPr>
          <w:rFonts w:ascii="Times New Roman" w:hAnsi="Times New Roman" w:cs="Times New Roman"/>
          <w:sz w:val="24"/>
          <w:szCs w:val="24"/>
          <w:lang w:val="es-AR"/>
        </w:rPr>
        <w:t xml:space="preserve"> eran regadas por las aguas que traía el canal Matriz Izuel. </w:t>
      </w:r>
    </w:p>
    <w:p w14:paraId="49FBC9D5" w14:textId="0EF104BA" w:rsidR="008C2CBC" w:rsidRDefault="007A425C" w:rsidP="00AB6A2B">
      <w:pPr>
        <w:spacing w:line="36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Tierras de </w:t>
      </w:r>
      <w:proofErr w:type="spellStart"/>
      <w:r>
        <w:rPr>
          <w:rFonts w:ascii="Times New Roman" w:hAnsi="Times New Roman" w:cs="Times New Roman"/>
          <w:sz w:val="24"/>
          <w:szCs w:val="24"/>
          <w:lang w:val="es-AR"/>
        </w:rPr>
        <w:t>Arizu</w:t>
      </w:r>
      <w:proofErr w:type="spellEnd"/>
      <w:r>
        <w:rPr>
          <w:rFonts w:ascii="Times New Roman" w:hAnsi="Times New Roman" w:cs="Times New Roman"/>
          <w:sz w:val="24"/>
          <w:szCs w:val="24"/>
          <w:lang w:val="es-AR"/>
        </w:rPr>
        <w:t xml:space="preserve"> y canales que las irrigaban</w:t>
      </w:r>
      <w:bookmarkStart w:id="0" w:name="_GoBack"/>
      <w:bookmarkEnd w:id="0"/>
      <w:r>
        <w:rPr>
          <w:rFonts w:ascii="Times New Roman" w:hAnsi="Times New Roman" w:cs="Times New Roman"/>
          <w:sz w:val="24"/>
          <w:szCs w:val="24"/>
          <w:lang w:val="es-AR"/>
        </w:rPr>
        <w:t xml:space="preserve">. </w:t>
      </w:r>
      <w:r w:rsidR="00AB6A2B">
        <w:rPr>
          <w:rFonts w:ascii="Times New Roman" w:hAnsi="Times New Roman" w:cs="Times New Roman"/>
          <w:sz w:val="24"/>
          <w:szCs w:val="24"/>
          <w:lang w:val="es-AR"/>
        </w:rPr>
        <w:t xml:space="preserve">Foto </w:t>
      </w:r>
      <w:r w:rsidR="00D06748">
        <w:rPr>
          <w:rFonts w:ascii="Times New Roman" w:hAnsi="Times New Roman" w:cs="Times New Roman"/>
          <w:sz w:val="24"/>
          <w:szCs w:val="24"/>
          <w:lang w:val="es-AR"/>
        </w:rPr>
        <w:t>2</w:t>
      </w:r>
      <w:r w:rsidR="008C2CBC">
        <w:rPr>
          <w:rFonts w:ascii="Times New Roman" w:hAnsi="Times New Roman" w:cs="Times New Roman"/>
          <w:sz w:val="24"/>
          <w:szCs w:val="24"/>
          <w:lang w:val="es-AR"/>
        </w:rPr>
        <w:t>.</w:t>
      </w:r>
    </w:p>
    <w:p w14:paraId="5B7AC040" w14:textId="77777777" w:rsidR="008C2CBC" w:rsidRDefault="004705FD" w:rsidP="00AB6A2B">
      <w:pPr>
        <w:spacing w:line="360" w:lineRule="auto"/>
        <w:rPr>
          <w:color w:val="FF0000"/>
          <w:lang w:val="es-AR"/>
        </w:rPr>
      </w:pPr>
      <w:r w:rsidRPr="008756EE">
        <w:rPr>
          <w:rFonts w:ascii="Times New Roman" w:hAnsi="Times New Roman" w:cs="Times New Roman"/>
          <w:noProof/>
          <w:sz w:val="24"/>
          <w:szCs w:val="24"/>
        </w:rPr>
        <w:lastRenderedPageBreak/>
        <w:drawing>
          <wp:inline distT="0" distB="0" distL="0" distR="0" wp14:anchorId="38C4F8AD" wp14:editId="7784CF66">
            <wp:extent cx="5612130" cy="7929880"/>
            <wp:effectExtent l="0" t="0" r="7620" b="0"/>
            <wp:docPr id="4" name="Imagen 4" descr="C:\Users\laura\Pictures\Stappenbeck interven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Pictures\Stappenbeck intervenid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929880"/>
                    </a:xfrm>
                    <a:prstGeom prst="rect">
                      <a:avLst/>
                    </a:prstGeom>
                    <a:noFill/>
                    <a:ln>
                      <a:noFill/>
                    </a:ln>
                  </pic:spPr>
                </pic:pic>
              </a:graphicData>
            </a:graphic>
          </wp:inline>
        </w:drawing>
      </w:r>
    </w:p>
    <w:p w14:paraId="0F2E4938" w14:textId="77777777" w:rsidR="004705FD" w:rsidRDefault="004705FD" w:rsidP="00AB6A2B">
      <w:pPr>
        <w:spacing w:line="360" w:lineRule="auto"/>
        <w:jc w:val="center"/>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lastRenderedPageBreak/>
        <w:t xml:space="preserve">Fuente: Langhoff, 2019, sobre mapa de </w:t>
      </w:r>
      <w:proofErr w:type="spellStart"/>
      <w:r>
        <w:rPr>
          <w:rFonts w:ascii="Times New Roman" w:hAnsi="Times New Roman" w:cs="Times New Roman"/>
          <w:color w:val="000000" w:themeColor="text1"/>
          <w:sz w:val="24"/>
          <w:szCs w:val="24"/>
          <w:lang w:val="es-AR"/>
        </w:rPr>
        <w:t>Stappenbeck</w:t>
      </w:r>
      <w:proofErr w:type="spellEnd"/>
      <w:r>
        <w:rPr>
          <w:rFonts w:ascii="Times New Roman" w:hAnsi="Times New Roman" w:cs="Times New Roman"/>
          <w:color w:val="000000" w:themeColor="text1"/>
          <w:sz w:val="24"/>
          <w:szCs w:val="24"/>
          <w:lang w:val="es-AR"/>
        </w:rPr>
        <w:t xml:space="preserve"> (1913).</w:t>
      </w:r>
    </w:p>
    <w:p w14:paraId="7DBBA762" w14:textId="07686C72" w:rsidR="000F68B8" w:rsidRDefault="000F68B8"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ab/>
      </w:r>
      <w:r w:rsidR="00597B1B">
        <w:rPr>
          <w:rFonts w:ascii="Times New Roman" w:hAnsi="Times New Roman" w:cs="Times New Roman"/>
          <w:color w:val="000000" w:themeColor="text1"/>
          <w:sz w:val="24"/>
          <w:szCs w:val="24"/>
          <w:lang w:val="es-AR"/>
        </w:rPr>
        <w:t xml:space="preserve">Como se puede observar, </w:t>
      </w:r>
      <w:r>
        <w:rPr>
          <w:rFonts w:ascii="Times New Roman" w:hAnsi="Times New Roman" w:cs="Times New Roman"/>
          <w:color w:val="000000" w:themeColor="text1"/>
          <w:sz w:val="24"/>
          <w:szCs w:val="24"/>
          <w:lang w:val="es-AR"/>
        </w:rPr>
        <w:t>Arizu tuvo un rol fundamental en la conformación de Villa Atuel. Fue una empleadora de inmigrantes de origen español, muchos de la zona vasca, que llegaron gracias a las facilidades que les ofrecían los Arizu como trabajo y posibilidades de asegurarse un futuro. A cambio esta mano de obra contaba con una cierta especialización en la elaboración de toneles, trabajo en viñas, construcción de materiales específicos de la vinicultura, además de contribuir al naciente pueb</w:t>
      </w:r>
      <w:r w:rsidR="00C74C96">
        <w:rPr>
          <w:rFonts w:ascii="Times New Roman" w:hAnsi="Times New Roman" w:cs="Times New Roman"/>
          <w:color w:val="000000" w:themeColor="text1"/>
          <w:sz w:val="24"/>
          <w:szCs w:val="24"/>
          <w:lang w:val="es-AR"/>
        </w:rPr>
        <w:t xml:space="preserve">lo con oficios necesarios en una localidad entonces alejada de los grandes centros como la ciudad de Mendoza. </w:t>
      </w:r>
    </w:p>
    <w:p w14:paraId="231143BA" w14:textId="77777777" w:rsidR="00C74C96" w:rsidRDefault="00C74C96"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ab/>
        <w:t>Los documentos consultados muestran como en esta zona</w:t>
      </w:r>
      <w:r w:rsidR="0058677B">
        <w:rPr>
          <w:rFonts w:ascii="Times New Roman" w:hAnsi="Times New Roman" w:cs="Times New Roman"/>
          <w:color w:val="000000" w:themeColor="text1"/>
          <w:sz w:val="24"/>
          <w:szCs w:val="24"/>
          <w:lang w:val="es-AR"/>
        </w:rPr>
        <w:t xml:space="preserve"> mientras se</w:t>
      </w:r>
      <w:r>
        <w:rPr>
          <w:rFonts w:ascii="Times New Roman" w:hAnsi="Times New Roman" w:cs="Times New Roman"/>
          <w:color w:val="000000" w:themeColor="text1"/>
          <w:sz w:val="24"/>
          <w:szCs w:val="24"/>
          <w:lang w:val="es-AR"/>
        </w:rPr>
        <w:t xml:space="preserve"> expandían las plantaciones, se fue generando una representación de la concreción del oasis como un triunfo de la mano del hombre sobre la naturaleza, más específicamente sobre el desierto</w:t>
      </w:r>
      <w:r w:rsidR="00CC614B">
        <w:rPr>
          <w:rFonts w:ascii="Times New Roman" w:hAnsi="Times New Roman" w:cs="Times New Roman"/>
          <w:color w:val="000000" w:themeColor="text1"/>
          <w:sz w:val="24"/>
          <w:szCs w:val="24"/>
          <w:lang w:val="es-AR"/>
        </w:rPr>
        <w:t xml:space="preserve">. </w:t>
      </w:r>
      <w:r w:rsidR="004004F2">
        <w:rPr>
          <w:rFonts w:ascii="Times New Roman" w:hAnsi="Times New Roman" w:cs="Times New Roman"/>
          <w:color w:val="000000" w:themeColor="text1"/>
          <w:sz w:val="24"/>
          <w:szCs w:val="24"/>
          <w:lang w:val="es-AR"/>
        </w:rPr>
        <w:t>Es así que d</w:t>
      </w:r>
      <w:r w:rsidR="0058677B">
        <w:rPr>
          <w:rFonts w:ascii="Times New Roman" w:hAnsi="Times New Roman" w:cs="Times New Roman"/>
          <w:color w:val="000000" w:themeColor="text1"/>
          <w:sz w:val="24"/>
          <w:szCs w:val="24"/>
          <w:lang w:val="es-AR"/>
        </w:rPr>
        <w:t>entro de la historia de Villa At</w:t>
      </w:r>
      <w:r w:rsidR="004004F2">
        <w:rPr>
          <w:rFonts w:ascii="Times New Roman" w:hAnsi="Times New Roman" w:cs="Times New Roman"/>
          <w:color w:val="000000" w:themeColor="text1"/>
          <w:sz w:val="24"/>
          <w:szCs w:val="24"/>
          <w:lang w:val="es-AR"/>
        </w:rPr>
        <w:t>uel adquiere especial relevancia la figura y labor de Izuel, describiéndose su obra como una proeza para irrigar tierras hasta ese momento secas. Así se va conformando una genealogía de los “héroes del agua”.</w:t>
      </w:r>
    </w:p>
    <w:p w14:paraId="68600A6A" w14:textId="77777777" w:rsidR="00363CDE" w:rsidRDefault="00C02FCA"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ab/>
        <w:t>Junto con los Arizu e Izuel, también en la primera mitad del siglo XX se desarrollaron dos prósperas bodegas, de entre las tantas que utilizaban el agua del Atuel. Por un lado la bodega de Iselin, La Abeja</w:t>
      </w:r>
      <w:r>
        <w:rPr>
          <w:rStyle w:val="Refdenotaalpie"/>
          <w:rFonts w:ascii="Times New Roman" w:hAnsi="Times New Roman" w:cs="Times New Roman"/>
          <w:color w:val="000000" w:themeColor="text1"/>
          <w:sz w:val="24"/>
          <w:szCs w:val="24"/>
          <w:lang w:val="es-AR"/>
        </w:rPr>
        <w:footnoteReference w:id="3"/>
      </w:r>
      <w:r w:rsidR="00FA3C0E">
        <w:rPr>
          <w:rFonts w:ascii="Times New Roman" w:hAnsi="Times New Roman" w:cs="Times New Roman"/>
          <w:color w:val="000000" w:themeColor="text1"/>
          <w:sz w:val="24"/>
          <w:szCs w:val="24"/>
          <w:lang w:val="es-AR"/>
        </w:rPr>
        <w:t xml:space="preserve">, en San Rafael y la bodega Faraón en General Alvear, propiedad de </w:t>
      </w:r>
      <w:r w:rsidR="00363CDE">
        <w:rPr>
          <w:rFonts w:ascii="Times New Roman" w:hAnsi="Times New Roman" w:cs="Times New Roman"/>
          <w:color w:val="000000" w:themeColor="text1"/>
          <w:sz w:val="24"/>
          <w:szCs w:val="24"/>
          <w:lang w:val="es-AR"/>
        </w:rPr>
        <w:t>Cremaschi</w:t>
      </w:r>
      <w:r>
        <w:rPr>
          <w:rFonts w:ascii="Times New Roman" w:hAnsi="Times New Roman" w:cs="Times New Roman"/>
          <w:color w:val="000000" w:themeColor="text1"/>
          <w:sz w:val="24"/>
          <w:szCs w:val="24"/>
          <w:lang w:val="es-AR"/>
        </w:rPr>
        <w:t xml:space="preserve">. </w:t>
      </w:r>
      <w:r w:rsidR="00442CDD">
        <w:rPr>
          <w:rFonts w:ascii="Times New Roman" w:hAnsi="Times New Roman" w:cs="Times New Roman"/>
          <w:color w:val="000000" w:themeColor="text1"/>
          <w:sz w:val="24"/>
          <w:szCs w:val="24"/>
          <w:lang w:val="es-AR"/>
        </w:rPr>
        <w:t xml:space="preserve">Iselin era de origen francés de buena posición económica y conocimientos en la vinicultura. </w:t>
      </w:r>
      <w:r w:rsidR="00192B14">
        <w:rPr>
          <w:rFonts w:ascii="Times New Roman" w:hAnsi="Times New Roman" w:cs="Times New Roman"/>
          <w:color w:val="000000" w:themeColor="text1"/>
          <w:sz w:val="24"/>
          <w:szCs w:val="24"/>
          <w:lang w:val="es-AR"/>
        </w:rPr>
        <w:t>Esto</w:t>
      </w:r>
      <w:r w:rsidR="00442CDD">
        <w:rPr>
          <w:rFonts w:ascii="Times New Roman" w:hAnsi="Times New Roman" w:cs="Times New Roman"/>
          <w:color w:val="000000" w:themeColor="text1"/>
          <w:sz w:val="24"/>
          <w:szCs w:val="24"/>
          <w:lang w:val="es-AR"/>
        </w:rPr>
        <w:t xml:space="preserve"> le facilitó comprar tierras en la zona de San Rafael e incentivar la colonización, como hizo con la </w:t>
      </w:r>
      <w:r w:rsidR="00223BB1">
        <w:rPr>
          <w:rFonts w:ascii="Times New Roman" w:hAnsi="Times New Roman" w:cs="Times New Roman"/>
          <w:color w:val="000000" w:themeColor="text1"/>
          <w:sz w:val="24"/>
          <w:szCs w:val="24"/>
          <w:lang w:val="es-AR"/>
        </w:rPr>
        <w:t>Colonia Italiana, compuesta por trabajadores italianos a los que les pago con tierras e impulsor de la Colonia Francesa. Pero una de sus intervenciones claves fue para conseguir que el ferrocarril llegara a San Rafael. Ello sucedi</w:t>
      </w:r>
      <w:r w:rsidR="00192B14">
        <w:rPr>
          <w:rFonts w:ascii="Times New Roman" w:hAnsi="Times New Roman" w:cs="Times New Roman"/>
          <w:color w:val="000000" w:themeColor="text1"/>
          <w:sz w:val="24"/>
          <w:szCs w:val="24"/>
          <w:lang w:val="es-AR"/>
        </w:rPr>
        <w:t>ó en 1903</w:t>
      </w:r>
      <w:r w:rsidR="00223BB1">
        <w:rPr>
          <w:rFonts w:ascii="Times New Roman" w:hAnsi="Times New Roman" w:cs="Times New Roman"/>
          <w:color w:val="000000" w:themeColor="text1"/>
          <w:sz w:val="24"/>
          <w:szCs w:val="24"/>
          <w:lang w:val="es-AR"/>
        </w:rPr>
        <w:t>. El tren facilitó el transporte de la producción, de pasajeros y la llegada de compradores interesados en adquirir tierras. Este medio de comunicación agregó valor, junto con la tecnología aplicada al agua (canales, compuertas, t</w:t>
      </w:r>
      <w:r w:rsidR="00192B14">
        <w:rPr>
          <w:rFonts w:ascii="Times New Roman" w:hAnsi="Times New Roman" w:cs="Times New Roman"/>
          <w:color w:val="000000" w:themeColor="text1"/>
          <w:sz w:val="24"/>
          <w:szCs w:val="24"/>
          <w:lang w:val="es-AR"/>
        </w:rPr>
        <w:t xml:space="preserve">écnicas de riego) al oasis sur. Por ley N°262 San Rafael fue declarada cabecera del departamento homónimo. </w:t>
      </w:r>
    </w:p>
    <w:p w14:paraId="477C682A" w14:textId="400AEC6C" w:rsidR="00D33C6B" w:rsidRDefault="00192B14"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En tanto, l</w:t>
      </w:r>
      <w:r w:rsidR="00363CDE">
        <w:rPr>
          <w:rFonts w:ascii="Times New Roman" w:hAnsi="Times New Roman" w:cs="Times New Roman"/>
          <w:color w:val="000000" w:themeColor="text1"/>
          <w:sz w:val="24"/>
          <w:szCs w:val="24"/>
          <w:lang w:val="es-AR"/>
        </w:rPr>
        <w:t>a bodega Faraón f</w:t>
      </w:r>
      <w:r w:rsidR="007315D3">
        <w:rPr>
          <w:rFonts w:ascii="Times New Roman" w:hAnsi="Times New Roman" w:cs="Times New Roman"/>
          <w:color w:val="000000" w:themeColor="text1"/>
          <w:sz w:val="24"/>
          <w:szCs w:val="24"/>
          <w:lang w:val="es-AR"/>
        </w:rPr>
        <w:t xml:space="preserve">ue fundada por Anselmo Cremaschi, un inmigrante de origen italiano y su esposa. Él fallece en 1925 y lo hereda su hijo Víctor quien era ingeniero </w:t>
      </w:r>
      <w:r w:rsidR="007315D3">
        <w:rPr>
          <w:rFonts w:ascii="Times New Roman" w:hAnsi="Times New Roman" w:cs="Times New Roman"/>
          <w:color w:val="000000" w:themeColor="text1"/>
          <w:sz w:val="24"/>
          <w:szCs w:val="24"/>
          <w:lang w:val="es-AR"/>
        </w:rPr>
        <w:lastRenderedPageBreak/>
        <w:t>civil y aplicó sus conocimientos para producir grandes cambios en la fabricación del vino</w:t>
      </w:r>
      <w:r w:rsidR="00A9603F">
        <w:rPr>
          <w:rFonts w:ascii="Times New Roman" w:hAnsi="Times New Roman" w:cs="Times New Roman"/>
          <w:color w:val="000000" w:themeColor="text1"/>
          <w:sz w:val="24"/>
          <w:szCs w:val="24"/>
          <w:lang w:val="es-AR"/>
        </w:rPr>
        <w:t xml:space="preserve"> </w:t>
      </w:r>
      <w:sdt>
        <w:sdtPr>
          <w:rPr>
            <w:rFonts w:ascii="Times New Roman" w:hAnsi="Times New Roman" w:cs="Times New Roman"/>
            <w:color w:val="000000" w:themeColor="text1"/>
            <w:sz w:val="24"/>
            <w:szCs w:val="24"/>
            <w:lang w:val="es-AR"/>
          </w:rPr>
          <w:id w:val="-1207410355"/>
          <w:citation/>
        </w:sdtPr>
        <w:sdtEndPr/>
        <w:sdtContent>
          <w:r w:rsidR="005F2A08">
            <w:rPr>
              <w:rFonts w:ascii="Times New Roman" w:hAnsi="Times New Roman" w:cs="Times New Roman"/>
              <w:color w:val="000000" w:themeColor="text1"/>
              <w:sz w:val="24"/>
              <w:szCs w:val="24"/>
              <w:lang w:val="es-AR"/>
            </w:rPr>
            <w:fldChar w:fldCharType="begin"/>
          </w:r>
          <w:r w:rsidR="00FA3C0E">
            <w:rPr>
              <w:rFonts w:ascii="Times New Roman" w:hAnsi="Times New Roman" w:cs="Times New Roman"/>
              <w:color w:val="000000" w:themeColor="text1"/>
              <w:sz w:val="24"/>
              <w:szCs w:val="24"/>
              <w:lang w:val="es-AR"/>
            </w:rPr>
            <w:instrText xml:space="preserve"> CITATION Mar12 \l 11274 </w:instrText>
          </w:r>
          <w:r w:rsidR="005F2A08">
            <w:rPr>
              <w:rFonts w:ascii="Times New Roman" w:hAnsi="Times New Roman" w:cs="Times New Roman"/>
              <w:color w:val="000000" w:themeColor="text1"/>
              <w:sz w:val="24"/>
              <w:szCs w:val="24"/>
              <w:lang w:val="es-AR"/>
            </w:rPr>
            <w:fldChar w:fldCharType="separate"/>
          </w:r>
          <w:r w:rsidR="00FA3C0E" w:rsidRPr="00FA3C0E">
            <w:rPr>
              <w:rFonts w:ascii="Times New Roman" w:hAnsi="Times New Roman" w:cs="Times New Roman"/>
              <w:noProof/>
              <w:color w:val="000000" w:themeColor="text1"/>
              <w:sz w:val="24"/>
              <w:szCs w:val="24"/>
              <w:lang w:val="es-AR"/>
            </w:rPr>
            <w:t>(Izuel, 2012)</w:t>
          </w:r>
          <w:r w:rsidR="005F2A08">
            <w:rPr>
              <w:rFonts w:ascii="Times New Roman" w:hAnsi="Times New Roman" w:cs="Times New Roman"/>
              <w:color w:val="000000" w:themeColor="text1"/>
              <w:sz w:val="24"/>
              <w:szCs w:val="24"/>
              <w:lang w:val="es-AR"/>
            </w:rPr>
            <w:fldChar w:fldCharType="end"/>
          </w:r>
        </w:sdtContent>
      </w:sdt>
      <w:r w:rsidR="007315D3">
        <w:rPr>
          <w:rFonts w:ascii="Times New Roman" w:hAnsi="Times New Roman" w:cs="Times New Roman"/>
          <w:color w:val="000000" w:themeColor="text1"/>
          <w:sz w:val="24"/>
          <w:szCs w:val="24"/>
          <w:lang w:val="es-AR"/>
        </w:rPr>
        <w:t>. Fue el Sistema de Fermentación Continua</w:t>
      </w:r>
      <w:r w:rsidR="007315D3">
        <w:rPr>
          <w:rStyle w:val="Refdenotaalpie"/>
          <w:rFonts w:ascii="Times New Roman" w:hAnsi="Times New Roman" w:cs="Times New Roman"/>
          <w:color w:val="000000" w:themeColor="text1"/>
          <w:sz w:val="24"/>
          <w:szCs w:val="24"/>
          <w:lang w:val="es-AR"/>
        </w:rPr>
        <w:footnoteReference w:id="4"/>
      </w:r>
      <w:r w:rsidR="007315D3">
        <w:rPr>
          <w:rFonts w:ascii="Times New Roman" w:hAnsi="Times New Roman" w:cs="Times New Roman"/>
          <w:color w:val="000000" w:themeColor="text1"/>
          <w:sz w:val="24"/>
          <w:szCs w:val="24"/>
          <w:lang w:val="es-AR"/>
        </w:rPr>
        <w:t>, en 1948, el cual fue patentado a nivel mundial y se aplicó también en otras bodegas mendocinas.</w:t>
      </w:r>
    </w:p>
    <w:p w14:paraId="0AB4DD11" w14:textId="77777777" w:rsidR="00D33C6B" w:rsidRDefault="009629A0"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 xml:space="preserve">En este último caso, </w:t>
      </w:r>
      <w:r w:rsidR="003E7E4C">
        <w:rPr>
          <w:rFonts w:ascii="Times New Roman" w:hAnsi="Times New Roman" w:cs="Times New Roman"/>
          <w:color w:val="000000" w:themeColor="text1"/>
          <w:sz w:val="24"/>
          <w:szCs w:val="24"/>
          <w:lang w:val="es-AR"/>
        </w:rPr>
        <w:t>el rol de</w:t>
      </w:r>
      <w:r w:rsidR="00192B14">
        <w:rPr>
          <w:rFonts w:ascii="Times New Roman" w:hAnsi="Times New Roman" w:cs="Times New Roman"/>
          <w:color w:val="000000" w:themeColor="text1"/>
          <w:sz w:val="24"/>
          <w:szCs w:val="24"/>
          <w:lang w:val="es-AR"/>
        </w:rPr>
        <w:t xml:space="preserve"> dos</w:t>
      </w:r>
      <w:r w:rsidR="007315D3">
        <w:rPr>
          <w:rFonts w:ascii="Times New Roman" w:hAnsi="Times New Roman" w:cs="Times New Roman"/>
          <w:color w:val="000000" w:themeColor="text1"/>
          <w:sz w:val="24"/>
          <w:szCs w:val="24"/>
          <w:lang w:val="es-AR"/>
        </w:rPr>
        <w:t xml:space="preserve"> integrantes de las familias</w:t>
      </w:r>
      <w:r w:rsidR="003E7E4C">
        <w:rPr>
          <w:rFonts w:ascii="Times New Roman" w:hAnsi="Times New Roman" w:cs="Times New Roman"/>
          <w:color w:val="000000" w:themeColor="text1"/>
          <w:sz w:val="24"/>
          <w:szCs w:val="24"/>
          <w:lang w:val="es-AR"/>
        </w:rPr>
        <w:t xml:space="preserve"> Cremaschi</w:t>
      </w:r>
      <w:r w:rsidR="007315D3">
        <w:rPr>
          <w:rFonts w:ascii="Times New Roman" w:hAnsi="Times New Roman" w:cs="Times New Roman"/>
          <w:color w:val="000000" w:themeColor="text1"/>
          <w:sz w:val="24"/>
          <w:szCs w:val="24"/>
          <w:lang w:val="es-AR"/>
        </w:rPr>
        <w:t xml:space="preserve"> y Arizu, Plácido y Sotero Simeón, </w:t>
      </w:r>
      <w:r w:rsidR="00FA3C0E">
        <w:rPr>
          <w:rFonts w:ascii="Times New Roman" w:hAnsi="Times New Roman" w:cs="Times New Roman"/>
          <w:color w:val="000000" w:themeColor="text1"/>
          <w:sz w:val="24"/>
          <w:szCs w:val="24"/>
          <w:lang w:val="es-AR"/>
        </w:rPr>
        <w:t>respectivamente</w:t>
      </w:r>
      <w:r w:rsidR="007315D3">
        <w:rPr>
          <w:rFonts w:ascii="Times New Roman" w:hAnsi="Times New Roman" w:cs="Times New Roman"/>
          <w:color w:val="000000" w:themeColor="text1"/>
          <w:sz w:val="24"/>
          <w:szCs w:val="24"/>
          <w:lang w:val="es-AR"/>
        </w:rPr>
        <w:t>,</w:t>
      </w:r>
      <w:r w:rsidR="00E56959">
        <w:rPr>
          <w:rFonts w:ascii="Times New Roman" w:hAnsi="Times New Roman" w:cs="Times New Roman"/>
          <w:color w:val="000000" w:themeColor="text1"/>
          <w:sz w:val="24"/>
          <w:szCs w:val="24"/>
          <w:lang w:val="es-AR"/>
        </w:rPr>
        <w:t xml:space="preserve"> se destaca al producirse</w:t>
      </w:r>
      <w:r w:rsidR="003E7E4C">
        <w:rPr>
          <w:rFonts w:ascii="Times New Roman" w:hAnsi="Times New Roman" w:cs="Times New Roman"/>
          <w:color w:val="000000" w:themeColor="text1"/>
          <w:sz w:val="24"/>
          <w:szCs w:val="24"/>
          <w:lang w:val="es-AR"/>
        </w:rPr>
        <w:t xml:space="preserve"> el primer reclamo a nivel nacional por parte del territorio naciona</w:t>
      </w:r>
      <w:r w:rsidR="00E56959">
        <w:rPr>
          <w:rFonts w:ascii="Times New Roman" w:hAnsi="Times New Roman" w:cs="Times New Roman"/>
          <w:color w:val="000000" w:themeColor="text1"/>
          <w:sz w:val="24"/>
          <w:szCs w:val="24"/>
          <w:lang w:val="es-AR"/>
        </w:rPr>
        <w:t>l de La Pampa, cuando se generó</w:t>
      </w:r>
      <w:r w:rsidR="003E7E4C">
        <w:rPr>
          <w:rFonts w:ascii="Times New Roman" w:hAnsi="Times New Roman" w:cs="Times New Roman"/>
          <w:color w:val="000000" w:themeColor="text1"/>
          <w:sz w:val="24"/>
          <w:szCs w:val="24"/>
          <w:lang w:val="es-AR"/>
        </w:rPr>
        <w:t xml:space="preserve"> la interrupción del río con la construcción de la represa el Nihuil en 1948-47.</w:t>
      </w:r>
      <w:r w:rsidR="00D33C6B">
        <w:rPr>
          <w:rFonts w:ascii="Times New Roman" w:hAnsi="Times New Roman" w:cs="Times New Roman"/>
          <w:color w:val="000000" w:themeColor="text1"/>
          <w:sz w:val="24"/>
          <w:szCs w:val="24"/>
          <w:lang w:val="es-AR"/>
        </w:rPr>
        <w:t xml:space="preserve"> Como resultado de este reclamo, la Dirección del Agua y Energía Eléctrica promulgó la resolución 50/49. La misma disponía tres sueltas anuales de agua con un volumen de 27.5 hectómetros cúbicos. En este marco es que desde el Departamento General de Irrigación (DGI) responde elaborando un documento donde proponen al gobierno mendocino no acatar la resolución. </w:t>
      </w:r>
    </w:p>
    <w:p w14:paraId="5791856E" w14:textId="77777777" w:rsidR="00C02FCA" w:rsidRDefault="003E7E4C"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 xml:space="preserve"> Tanto Cremaschi como Sotero Simeón Arizu (hijo de Sotero y sobrino de Balbino) formaron parte del</w:t>
      </w:r>
      <w:r w:rsidR="00E56959">
        <w:rPr>
          <w:rFonts w:ascii="Times New Roman" w:hAnsi="Times New Roman" w:cs="Times New Roman"/>
          <w:color w:val="000000" w:themeColor="text1"/>
          <w:sz w:val="24"/>
          <w:szCs w:val="24"/>
          <w:lang w:val="es-AR"/>
        </w:rPr>
        <w:t xml:space="preserve"> Tribunal Administrativo del</w:t>
      </w:r>
      <w:r w:rsidR="00D33C6B">
        <w:rPr>
          <w:rFonts w:ascii="Times New Roman" w:hAnsi="Times New Roman" w:cs="Times New Roman"/>
          <w:color w:val="000000" w:themeColor="text1"/>
          <w:sz w:val="24"/>
          <w:szCs w:val="24"/>
          <w:lang w:val="es-AR"/>
        </w:rPr>
        <w:t xml:space="preserve"> DGI</w:t>
      </w:r>
      <w:r>
        <w:rPr>
          <w:rFonts w:ascii="Times New Roman" w:hAnsi="Times New Roman" w:cs="Times New Roman"/>
          <w:color w:val="000000" w:themeColor="text1"/>
          <w:sz w:val="24"/>
          <w:szCs w:val="24"/>
          <w:lang w:val="es-AR"/>
        </w:rPr>
        <w:t xml:space="preserve"> de M</w:t>
      </w:r>
      <w:r w:rsidR="00FA3C0E">
        <w:rPr>
          <w:rFonts w:ascii="Times New Roman" w:hAnsi="Times New Roman" w:cs="Times New Roman"/>
          <w:color w:val="000000" w:themeColor="text1"/>
          <w:sz w:val="24"/>
          <w:szCs w:val="24"/>
          <w:lang w:val="es-AR"/>
        </w:rPr>
        <w:t>endoza. En el contexto en que se hace público</w:t>
      </w:r>
      <w:r>
        <w:rPr>
          <w:rFonts w:ascii="Times New Roman" w:hAnsi="Times New Roman" w:cs="Times New Roman"/>
          <w:color w:val="000000" w:themeColor="text1"/>
          <w:sz w:val="24"/>
          <w:szCs w:val="24"/>
          <w:lang w:val="es-AR"/>
        </w:rPr>
        <w:t xml:space="preserve"> el plant</w:t>
      </w:r>
      <w:r w:rsidR="00E56959">
        <w:rPr>
          <w:rFonts w:ascii="Times New Roman" w:hAnsi="Times New Roman" w:cs="Times New Roman"/>
          <w:color w:val="000000" w:themeColor="text1"/>
          <w:sz w:val="24"/>
          <w:szCs w:val="24"/>
          <w:lang w:val="es-AR"/>
        </w:rPr>
        <w:t>eo territoriano pampeano, emitieron</w:t>
      </w:r>
      <w:r>
        <w:rPr>
          <w:rFonts w:ascii="Times New Roman" w:hAnsi="Times New Roman" w:cs="Times New Roman"/>
          <w:color w:val="000000" w:themeColor="text1"/>
          <w:sz w:val="24"/>
          <w:szCs w:val="24"/>
          <w:lang w:val="es-AR"/>
        </w:rPr>
        <w:t xml:space="preserve"> un </w:t>
      </w:r>
      <w:r w:rsidR="00E56959">
        <w:rPr>
          <w:rFonts w:ascii="Times New Roman" w:hAnsi="Times New Roman" w:cs="Times New Roman"/>
          <w:color w:val="000000" w:themeColor="text1"/>
          <w:sz w:val="24"/>
          <w:szCs w:val="24"/>
          <w:lang w:val="es-AR"/>
        </w:rPr>
        <w:t>documento donde</w:t>
      </w:r>
      <w:r w:rsidRPr="00E56959">
        <w:rPr>
          <w:rFonts w:ascii="Times New Roman" w:hAnsi="Times New Roman" w:cs="Times New Roman"/>
          <w:color w:val="000000" w:themeColor="text1"/>
          <w:sz w:val="24"/>
          <w:szCs w:val="24"/>
          <w:lang w:val="es-AR"/>
        </w:rPr>
        <w:t xml:space="preserve"> afirmaban</w:t>
      </w:r>
      <w:r>
        <w:rPr>
          <w:rFonts w:ascii="Times New Roman" w:hAnsi="Times New Roman" w:cs="Times New Roman"/>
          <w:color w:val="000000" w:themeColor="text1"/>
          <w:sz w:val="24"/>
          <w:szCs w:val="24"/>
          <w:lang w:val="es-AR"/>
        </w:rPr>
        <w:t xml:space="preserve"> que el río Atuel era un río exclusivamente mendocino, por lo tanto, no se unía al Salado en el oeste pampeano. De este modo desconocieron el reclamo y esgrimieron el fundamento que el gobierno mendocino utilizó a futuro.</w:t>
      </w:r>
    </w:p>
    <w:p w14:paraId="04B8A5E8" w14:textId="233F522F" w:rsidR="008309AE" w:rsidRDefault="008309AE"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 xml:space="preserve">Al respecto, </w:t>
      </w:r>
      <w:r w:rsidR="00886509">
        <w:rPr>
          <w:rFonts w:ascii="Times New Roman" w:hAnsi="Times New Roman" w:cs="Times New Roman"/>
          <w:color w:val="000000" w:themeColor="text1"/>
          <w:sz w:val="24"/>
          <w:szCs w:val="24"/>
          <w:lang w:val="es-AR"/>
        </w:rPr>
        <w:t xml:space="preserve">en </w:t>
      </w:r>
      <w:r w:rsidR="00E56959">
        <w:rPr>
          <w:rFonts w:ascii="Times New Roman" w:hAnsi="Times New Roman" w:cs="Times New Roman"/>
          <w:color w:val="000000" w:themeColor="text1"/>
          <w:sz w:val="24"/>
          <w:szCs w:val="24"/>
          <w:lang w:val="es-AR"/>
        </w:rPr>
        <w:t>dicho documento afirmaban textualmente que “</w:t>
      </w:r>
      <w:r w:rsidR="00E56959">
        <w:rPr>
          <w:rFonts w:ascii="Times New Roman" w:hAnsi="Times New Roman" w:cs="Times New Roman"/>
          <w:i/>
          <w:color w:val="000000" w:themeColor="text1"/>
          <w:sz w:val="24"/>
          <w:szCs w:val="24"/>
          <w:lang w:val="es-AR"/>
        </w:rPr>
        <w:t>el río Atuel constituye un curso de aguas públicas típicamente interno de la provincia de Mendoza y sometido por ende a su exclusiva jurisdicción, que ejerce sobre sus aguas públicas desde antes de nuestra emancipación y desde antes de</w:t>
      </w:r>
      <w:r w:rsidR="00C644CD">
        <w:rPr>
          <w:rFonts w:ascii="Times New Roman" w:hAnsi="Times New Roman" w:cs="Times New Roman"/>
          <w:i/>
          <w:color w:val="000000" w:themeColor="text1"/>
          <w:sz w:val="24"/>
          <w:szCs w:val="24"/>
          <w:lang w:val="es-AR"/>
        </w:rPr>
        <w:t xml:space="preserve"> nuestra organización política”</w:t>
      </w:r>
      <w:r w:rsidR="00C644CD">
        <w:rPr>
          <w:rFonts w:ascii="Times New Roman" w:hAnsi="Times New Roman" w:cs="Times New Roman"/>
          <w:color w:val="000000" w:themeColor="text1"/>
          <w:sz w:val="24"/>
          <w:szCs w:val="24"/>
          <w:lang w:val="es-AR"/>
        </w:rPr>
        <w:t xml:space="preserve"> </w:t>
      </w:r>
      <w:sdt>
        <w:sdtPr>
          <w:rPr>
            <w:rFonts w:ascii="Times New Roman" w:hAnsi="Times New Roman" w:cs="Times New Roman"/>
            <w:color w:val="000000" w:themeColor="text1"/>
            <w:sz w:val="24"/>
            <w:szCs w:val="24"/>
            <w:lang w:val="es-AR"/>
          </w:rPr>
          <w:id w:val="-1053384524"/>
          <w:citation/>
        </w:sdtPr>
        <w:sdtEndPr/>
        <w:sdtContent>
          <w:r w:rsidR="00C644CD">
            <w:rPr>
              <w:rFonts w:ascii="Times New Roman" w:hAnsi="Times New Roman" w:cs="Times New Roman"/>
              <w:color w:val="000000" w:themeColor="text1"/>
              <w:sz w:val="24"/>
              <w:szCs w:val="24"/>
              <w:lang w:val="es-AR"/>
            </w:rPr>
            <w:fldChar w:fldCharType="begin"/>
          </w:r>
          <w:r w:rsidR="00C644CD">
            <w:rPr>
              <w:rFonts w:ascii="Times New Roman" w:hAnsi="Times New Roman" w:cs="Times New Roman"/>
              <w:color w:val="000000" w:themeColor="text1"/>
              <w:sz w:val="24"/>
              <w:szCs w:val="24"/>
              <w:lang w:val="es-AR"/>
            </w:rPr>
            <w:instrText xml:space="preserve">CITATION Tri49 \p 6 \l 11274 </w:instrText>
          </w:r>
          <w:r w:rsidR="00C644CD">
            <w:rPr>
              <w:rFonts w:ascii="Times New Roman" w:hAnsi="Times New Roman" w:cs="Times New Roman"/>
              <w:color w:val="000000" w:themeColor="text1"/>
              <w:sz w:val="24"/>
              <w:szCs w:val="24"/>
              <w:lang w:val="es-AR"/>
            </w:rPr>
            <w:fldChar w:fldCharType="separate"/>
          </w:r>
          <w:r w:rsidR="00C644CD" w:rsidRPr="00C644CD">
            <w:rPr>
              <w:rFonts w:ascii="Times New Roman" w:hAnsi="Times New Roman" w:cs="Times New Roman"/>
              <w:noProof/>
              <w:color w:val="000000" w:themeColor="text1"/>
              <w:sz w:val="24"/>
              <w:szCs w:val="24"/>
              <w:lang w:val="es-AR"/>
            </w:rPr>
            <w:t>(Irrigación, 1949, pág. 6)</w:t>
          </w:r>
          <w:r w:rsidR="00C644CD">
            <w:rPr>
              <w:rFonts w:ascii="Times New Roman" w:hAnsi="Times New Roman" w:cs="Times New Roman"/>
              <w:color w:val="000000" w:themeColor="text1"/>
              <w:sz w:val="24"/>
              <w:szCs w:val="24"/>
              <w:lang w:val="es-AR"/>
            </w:rPr>
            <w:fldChar w:fldCharType="end"/>
          </w:r>
        </w:sdtContent>
      </w:sdt>
      <w:r w:rsidR="00E56959">
        <w:rPr>
          <w:rFonts w:ascii="Times New Roman" w:hAnsi="Times New Roman" w:cs="Times New Roman"/>
          <w:color w:val="000000" w:themeColor="text1"/>
          <w:sz w:val="24"/>
          <w:szCs w:val="24"/>
          <w:lang w:val="es-AR"/>
        </w:rPr>
        <w:t>. Esta afirmación desconoce los estudios geológicos e hidrológicos de décadas anteriores, que abarcaron toda la cuenca del Atuel y describían como el río ingresaba en territorio pampeano</w:t>
      </w:r>
      <w:r w:rsidR="00C41D88">
        <w:rPr>
          <w:rFonts w:ascii="Times New Roman" w:hAnsi="Times New Roman" w:cs="Times New Roman"/>
          <w:color w:val="000000" w:themeColor="text1"/>
          <w:sz w:val="24"/>
          <w:szCs w:val="24"/>
          <w:lang w:val="es-AR"/>
        </w:rPr>
        <w:t>,</w:t>
      </w:r>
      <w:r w:rsidR="00C644CD">
        <w:rPr>
          <w:rFonts w:ascii="Times New Roman" w:hAnsi="Times New Roman" w:cs="Times New Roman"/>
          <w:color w:val="000000" w:themeColor="text1"/>
          <w:sz w:val="24"/>
          <w:szCs w:val="24"/>
          <w:lang w:val="es-AR"/>
        </w:rPr>
        <w:t xml:space="preserve"> dentro de estos trabajos se pueden citar a </w:t>
      </w:r>
      <w:proofErr w:type="spellStart"/>
      <w:r w:rsidR="00C644CD">
        <w:rPr>
          <w:rFonts w:ascii="Times New Roman" w:hAnsi="Times New Roman" w:cs="Times New Roman"/>
          <w:color w:val="000000" w:themeColor="text1"/>
          <w:sz w:val="24"/>
          <w:szCs w:val="24"/>
          <w:lang w:val="es-AR"/>
        </w:rPr>
        <w:t>Stappenbeck</w:t>
      </w:r>
      <w:proofErr w:type="spellEnd"/>
      <w:r w:rsidR="00C644CD">
        <w:rPr>
          <w:rFonts w:ascii="Times New Roman" w:hAnsi="Times New Roman" w:cs="Times New Roman"/>
          <w:color w:val="000000" w:themeColor="text1"/>
          <w:sz w:val="24"/>
          <w:szCs w:val="24"/>
          <w:lang w:val="es-AR"/>
        </w:rPr>
        <w:t xml:space="preserve"> </w:t>
      </w:r>
      <w:sdt>
        <w:sdtPr>
          <w:rPr>
            <w:rFonts w:ascii="Times New Roman" w:hAnsi="Times New Roman" w:cs="Times New Roman"/>
            <w:color w:val="000000" w:themeColor="text1"/>
            <w:sz w:val="24"/>
            <w:szCs w:val="24"/>
            <w:lang w:val="es-AR"/>
          </w:rPr>
          <w:id w:val="-1864969480"/>
          <w:citation/>
        </w:sdtPr>
        <w:sdtEndPr/>
        <w:sdtContent>
          <w:r w:rsidR="00C41D88">
            <w:rPr>
              <w:rFonts w:ascii="Times New Roman" w:hAnsi="Times New Roman" w:cs="Times New Roman"/>
              <w:color w:val="000000" w:themeColor="text1"/>
              <w:sz w:val="24"/>
              <w:szCs w:val="24"/>
              <w:lang w:val="es-AR"/>
            </w:rPr>
            <w:fldChar w:fldCharType="begin"/>
          </w:r>
          <w:r w:rsidR="00C41D88">
            <w:rPr>
              <w:rFonts w:ascii="Times New Roman" w:hAnsi="Times New Roman" w:cs="Times New Roman"/>
              <w:color w:val="000000" w:themeColor="text1"/>
              <w:sz w:val="24"/>
              <w:szCs w:val="24"/>
              <w:lang w:val="es-AR"/>
            </w:rPr>
            <w:instrText xml:space="preserve"> CITATION Ric13 \l 11274 </w:instrText>
          </w:r>
          <w:r w:rsidR="00C41D88">
            <w:rPr>
              <w:rFonts w:ascii="Times New Roman" w:hAnsi="Times New Roman" w:cs="Times New Roman"/>
              <w:color w:val="000000" w:themeColor="text1"/>
              <w:sz w:val="24"/>
              <w:szCs w:val="24"/>
              <w:lang w:val="es-AR"/>
            </w:rPr>
            <w:fldChar w:fldCharType="separate"/>
          </w:r>
          <w:r w:rsidR="00C41D88" w:rsidRPr="00C41D88">
            <w:rPr>
              <w:rFonts w:ascii="Times New Roman" w:hAnsi="Times New Roman" w:cs="Times New Roman"/>
              <w:noProof/>
              <w:color w:val="000000" w:themeColor="text1"/>
              <w:sz w:val="24"/>
              <w:szCs w:val="24"/>
              <w:lang w:val="es-AR"/>
            </w:rPr>
            <w:t>(Stappenbeck, 1913)</w:t>
          </w:r>
          <w:r w:rsidR="00C41D88">
            <w:rPr>
              <w:rFonts w:ascii="Times New Roman" w:hAnsi="Times New Roman" w:cs="Times New Roman"/>
              <w:color w:val="000000" w:themeColor="text1"/>
              <w:sz w:val="24"/>
              <w:szCs w:val="24"/>
              <w:lang w:val="es-AR"/>
            </w:rPr>
            <w:fldChar w:fldCharType="end"/>
          </w:r>
        </w:sdtContent>
      </w:sdt>
      <w:r w:rsidR="00C41D88">
        <w:rPr>
          <w:rFonts w:ascii="Times New Roman" w:hAnsi="Times New Roman" w:cs="Times New Roman"/>
          <w:color w:val="000000" w:themeColor="text1"/>
          <w:sz w:val="24"/>
          <w:szCs w:val="24"/>
          <w:lang w:val="es-AR"/>
        </w:rPr>
        <w:t xml:space="preserve">, </w:t>
      </w:r>
      <w:proofErr w:type="spellStart"/>
      <w:r w:rsidR="00C41D88">
        <w:rPr>
          <w:rFonts w:ascii="Times New Roman" w:hAnsi="Times New Roman" w:cs="Times New Roman"/>
          <w:color w:val="000000" w:themeColor="text1"/>
          <w:sz w:val="24"/>
          <w:szCs w:val="24"/>
          <w:lang w:val="es-AR"/>
        </w:rPr>
        <w:t>Tapper</w:t>
      </w:r>
      <w:proofErr w:type="spellEnd"/>
      <w:r w:rsidR="00C41D88">
        <w:rPr>
          <w:rFonts w:ascii="Times New Roman" w:hAnsi="Times New Roman" w:cs="Times New Roman"/>
          <w:color w:val="000000" w:themeColor="text1"/>
          <w:sz w:val="24"/>
          <w:szCs w:val="24"/>
          <w:lang w:val="es-AR"/>
        </w:rPr>
        <w:t xml:space="preserve"> </w:t>
      </w:r>
      <w:sdt>
        <w:sdtPr>
          <w:rPr>
            <w:rFonts w:ascii="Times New Roman" w:hAnsi="Times New Roman" w:cs="Times New Roman"/>
            <w:color w:val="000000" w:themeColor="text1"/>
            <w:sz w:val="24"/>
            <w:szCs w:val="24"/>
            <w:lang w:val="es-AR"/>
          </w:rPr>
          <w:id w:val="-573817641"/>
          <w:citation/>
        </w:sdtPr>
        <w:sdtEndPr/>
        <w:sdtContent>
          <w:r w:rsidR="00C41D88">
            <w:rPr>
              <w:rFonts w:ascii="Times New Roman" w:hAnsi="Times New Roman" w:cs="Times New Roman"/>
              <w:color w:val="000000" w:themeColor="text1"/>
              <w:sz w:val="24"/>
              <w:szCs w:val="24"/>
              <w:lang w:val="es-AR"/>
            </w:rPr>
            <w:fldChar w:fldCharType="begin"/>
          </w:r>
          <w:r w:rsidR="00C41D88">
            <w:rPr>
              <w:rFonts w:ascii="Times New Roman" w:hAnsi="Times New Roman" w:cs="Times New Roman"/>
              <w:color w:val="000000" w:themeColor="text1"/>
              <w:sz w:val="24"/>
              <w:szCs w:val="24"/>
              <w:lang w:val="es-AR"/>
            </w:rPr>
            <w:instrText xml:space="preserve"> CITATION Fed31 \l 11274 </w:instrText>
          </w:r>
          <w:r w:rsidR="00C41D88">
            <w:rPr>
              <w:rFonts w:ascii="Times New Roman" w:hAnsi="Times New Roman" w:cs="Times New Roman"/>
              <w:color w:val="000000" w:themeColor="text1"/>
              <w:sz w:val="24"/>
              <w:szCs w:val="24"/>
              <w:lang w:val="es-AR"/>
            </w:rPr>
            <w:fldChar w:fldCharType="separate"/>
          </w:r>
          <w:r w:rsidR="00C41D88" w:rsidRPr="00C41D88">
            <w:rPr>
              <w:rFonts w:ascii="Times New Roman" w:hAnsi="Times New Roman" w:cs="Times New Roman"/>
              <w:noProof/>
              <w:color w:val="000000" w:themeColor="text1"/>
              <w:sz w:val="24"/>
              <w:szCs w:val="24"/>
              <w:lang w:val="es-AR"/>
            </w:rPr>
            <w:t>(Tapper, 1931)</w:t>
          </w:r>
          <w:r w:rsidR="00C41D88">
            <w:rPr>
              <w:rFonts w:ascii="Times New Roman" w:hAnsi="Times New Roman" w:cs="Times New Roman"/>
              <w:color w:val="000000" w:themeColor="text1"/>
              <w:sz w:val="24"/>
              <w:szCs w:val="24"/>
              <w:lang w:val="es-AR"/>
            </w:rPr>
            <w:fldChar w:fldCharType="end"/>
          </w:r>
        </w:sdtContent>
      </w:sdt>
      <w:r w:rsidR="00C41D88">
        <w:rPr>
          <w:rFonts w:ascii="Times New Roman" w:hAnsi="Times New Roman" w:cs="Times New Roman"/>
          <w:color w:val="000000" w:themeColor="text1"/>
          <w:sz w:val="24"/>
          <w:szCs w:val="24"/>
          <w:lang w:val="es-AR"/>
        </w:rPr>
        <w:t xml:space="preserve"> y </w:t>
      </w:r>
      <w:proofErr w:type="spellStart"/>
      <w:r w:rsidR="00C41D88">
        <w:rPr>
          <w:rFonts w:ascii="Times New Roman" w:hAnsi="Times New Roman" w:cs="Times New Roman"/>
          <w:color w:val="000000" w:themeColor="text1"/>
          <w:sz w:val="24"/>
          <w:szCs w:val="24"/>
          <w:lang w:val="es-AR"/>
        </w:rPr>
        <w:t>Dillon</w:t>
      </w:r>
      <w:proofErr w:type="spellEnd"/>
      <w:r w:rsidR="00C41D88">
        <w:rPr>
          <w:rFonts w:ascii="Times New Roman" w:hAnsi="Times New Roman" w:cs="Times New Roman"/>
          <w:color w:val="000000" w:themeColor="text1"/>
          <w:sz w:val="24"/>
          <w:szCs w:val="24"/>
          <w:lang w:val="es-AR"/>
        </w:rPr>
        <w:t xml:space="preserve"> </w:t>
      </w:r>
      <w:sdt>
        <w:sdtPr>
          <w:rPr>
            <w:rFonts w:ascii="Times New Roman" w:hAnsi="Times New Roman" w:cs="Times New Roman"/>
            <w:color w:val="000000" w:themeColor="text1"/>
            <w:sz w:val="24"/>
            <w:szCs w:val="24"/>
            <w:lang w:val="es-AR"/>
          </w:rPr>
          <w:id w:val="-1323039867"/>
          <w:citation/>
        </w:sdtPr>
        <w:sdtEndPr/>
        <w:sdtContent>
          <w:r w:rsidR="00C41D88">
            <w:rPr>
              <w:rFonts w:ascii="Times New Roman" w:hAnsi="Times New Roman" w:cs="Times New Roman"/>
              <w:color w:val="000000" w:themeColor="text1"/>
              <w:sz w:val="24"/>
              <w:szCs w:val="24"/>
              <w:lang w:val="es-AR"/>
            </w:rPr>
            <w:fldChar w:fldCharType="begin"/>
          </w:r>
          <w:r w:rsidR="00C41D88">
            <w:rPr>
              <w:rFonts w:ascii="Times New Roman" w:hAnsi="Times New Roman" w:cs="Times New Roman"/>
              <w:color w:val="000000" w:themeColor="text1"/>
              <w:sz w:val="24"/>
              <w:szCs w:val="24"/>
              <w:lang w:val="es-AR"/>
            </w:rPr>
            <w:instrText xml:space="preserve"> CITATION Min34 \l 11274 </w:instrText>
          </w:r>
          <w:r w:rsidR="00C41D88">
            <w:rPr>
              <w:rFonts w:ascii="Times New Roman" w:hAnsi="Times New Roman" w:cs="Times New Roman"/>
              <w:color w:val="000000" w:themeColor="text1"/>
              <w:sz w:val="24"/>
              <w:szCs w:val="24"/>
              <w:lang w:val="es-AR"/>
            </w:rPr>
            <w:fldChar w:fldCharType="separate"/>
          </w:r>
          <w:r w:rsidR="00C41D88" w:rsidRPr="00C41D88">
            <w:rPr>
              <w:rFonts w:ascii="Times New Roman" w:hAnsi="Times New Roman" w:cs="Times New Roman"/>
              <w:noProof/>
              <w:color w:val="000000" w:themeColor="text1"/>
              <w:sz w:val="24"/>
              <w:szCs w:val="24"/>
              <w:lang w:val="es-AR"/>
            </w:rPr>
            <w:t>(Nación., 1934)</w:t>
          </w:r>
          <w:r w:rsidR="00C41D88">
            <w:rPr>
              <w:rFonts w:ascii="Times New Roman" w:hAnsi="Times New Roman" w:cs="Times New Roman"/>
              <w:color w:val="000000" w:themeColor="text1"/>
              <w:sz w:val="24"/>
              <w:szCs w:val="24"/>
              <w:lang w:val="es-AR"/>
            </w:rPr>
            <w:fldChar w:fldCharType="end"/>
          </w:r>
        </w:sdtContent>
      </w:sdt>
      <w:r w:rsidR="00E56959">
        <w:rPr>
          <w:rFonts w:ascii="Times New Roman" w:hAnsi="Times New Roman" w:cs="Times New Roman"/>
          <w:color w:val="000000" w:themeColor="text1"/>
          <w:sz w:val="24"/>
          <w:szCs w:val="24"/>
          <w:lang w:val="es-AR"/>
        </w:rPr>
        <w:t xml:space="preserve">. </w:t>
      </w:r>
      <w:r w:rsidR="00E4047B">
        <w:rPr>
          <w:rFonts w:ascii="Times New Roman" w:hAnsi="Times New Roman" w:cs="Times New Roman"/>
          <w:color w:val="000000" w:themeColor="text1"/>
          <w:sz w:val="24"/>
          <w:szCs w:val="24"/>
          <w:lang w:val="es-AR"/>
        </w:rPr>
        <w:t xml:space="preserve">Conjuntamente, el documento aclara que la construcción de la represa El Nihuil pertenece al dominio público de Mendoza, pero contó el apoyo de la ley </w:t>
      </w:r>
      <w:r w:rsidR="00E4047B">
        <w:rPr>
          <w:rFonts w:ascii="Times New Roman" w:hAnsi="Times New Roman" w:cs="Times New Roman"/>
          <w:color w:val="000000" w:themeColor="text1"/>
          <w:sz w:val="24"/>
          <w:szCs w:val="24"/>
          <w:lang w:val="es-AR"/>
        </w:rPr>
        <w:lastRenderedPageBreak/>
        <w:t>Nacional 12650, con el fin de “</w:t>
      </w:r>
      <w:r w:rsidR="00E4047B">
        <w:rPr>
          <w:rFonts w:ascii="Times New Roman" w:hAnsi="Times New Roman" w:cs="Times New Roman"/>
          <w:i/>
          <w:color w:val="000000" w:themeColor="text1"/>
          <w:sz w:val="24"/>
          <w:szCs w:val="24"/>
          <w:lang w:val="es-AR"/>
        </w:rPr>
        <w:t xml:space="preserve">el aprovechamiento en primer término de los derechos empadronados en el río Atuel, tal como se expresa en los artículos 2° y 8° del contrato firmado entre los gobiernos de la nación y de la provincia de Mendoza con fecha 17 de junio de 1941” </w:t>
      </w:r>
      <w:r w:rsidR="00E4047B">
        <w:rPr>
          <w:rFonts w:ascii="Times New Roman" w:hAnsi="Times New Roman" w:cs="Times New Roman"/>
          <w:color w:val="000000" w:themeColor="text1"/>
          <w:sz w:val="24"/>
          <w:szCs w:val="24"/>
          <w:lang w:val="es-AR"/>
        </w:rPr>
        <w:t>(</w:t>
      </w:r>
      <w:proofErr w:type="spellStart"/>
      <w:r w:rsidR="00E4047B">
        <w:rPr>
          <w:rFonts w:ascii="Times New Roman" w:hAnsi="Times New Roman" w:cs="Times New Roman"/>
          <w:color w:val="000000" w:themeColor="text1"/>
          <w:sz w:val="24"/>
          <w:szCs w:val="24"/>
          <w:lang w:val="es-AR"/>
        </w:rPr>
        <w:t>Op.cit</w:t>
      </w:r>
      <w:proofErr w:type="spellEnd"/>
      <w:r w:rsidR="00E4047B">
        <w:rPr>
          <w:rFonts w:ascii="Times New Roman" w:hAnsi="Times New Roman" w:cs="Times New Roman"/>
          <w:color w:val="000000" w:themeColor="text1"/>
          <w:sz w:val="24"/>
          <w:szCs w:val="24"/>
          <w:lang w:val="es-AR"/>
        </w:rPr>
        <w:t xml:space="preserve">., 4). La postura negativa </w:t>
      </w:r>
      <w:r w:rsidR="00EE01A9">
        <w:rPr>
          <w:rFonts w:ascii="Times New Roman" w:hAnsi="Times New Roman" w:cs="Times New Roman"/>
          <w:color w:val="000000" w:themeColor="text1"/>
          <w:sz w:val="24"/>
          <w:szCs w:val="24"/>
          <w:lang w:val="es-AR"/>
        </w:rPr>
        <w:t xml:space="preserve">se fundamenta, además de afirmar que el río no es compartido, en las pérdidas que supondría entregar los 15 metros cúbicos durante 21 días al año a La Pampa, lo cual implicaría la sustracción de 2.100 ha. Para cultivos. </w:t>
      </w:r>
    </w:p>
    <w:p w14:paraId="3AC159B2" w14:textId="77777777" w:rsidR="00EE01A9" w:rsidRDefault="00EE01A9"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 xml:space="preserve">En este documento se expone algunos de los argumentos que sostendrá Mendoza ante los reclamos pampeanos: el no reconocimiento de la interprovincialidad del río; la pérdida de producción y, por ende, el impacto económico en la economía provincial y el desconocer las necesidades sociales, productivas y económicas ligadas al agua en el oeste pampeano. Esto último, según se aprecia en las fuentes, por considerar que los usos ligados a los ríos deben ser para riego o, luego, producción de energía, desconociendo la dinámica productiva pampeana ligada a la ganadería. </w:t>
      </w:r>
    </w:p>
    <w:p w14:paraId="269AE625" w14:textId="77777777" w:rsidR="00EE01A9" w:rsidRDefault="00EE01A9" w:rsidP="00AB6A2B">
      <w:pPr>
        <w:spacing w:line="360" w:lineRule="auto"/>
        <w:ind w:firstLine="720"/>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 xml:space="preserve">Por otra parte, queda expuesto que el sector económico </w:t>
      </w:r>
      <w:r w:rsidR="00D33C6B">
        <w:rPr>
          <w:rFonts w:ascii="Times New Roman" w:hAnsi="Times New Roman" w:cs="Times New Roman"/>
          <w:color w:val="000000" w:themeColor="text1"/>
          <w:sz w:val="24"/>
          <w:szCs w:val="24"/>
          <w:lang w:val="es-AR"/>
        </w:rPr>
        <w:t xml:space="preserve">mendocino, comenzó a ocupar puestos estratégicos en organismos como la Dirección General de Irrigación, lo cual puede comprenderse como una estrategia para proteger sus intereses económicos. </w:t>
      </w:r>
    </w:p>
    <w:p w14:paraId="1F7BE32C" w14:textId="77777777" w:rsidR="003E7E4C" w:rsidRDefault="00192B14" w:rsidP="00AB6A2B">
      <w:pPr>
        <w:spacing w:line="360" w:lineRule="auto"/>
        <w:jc w:val="both"/>
        <w:rPr>
          <w:rFonts w:ascii="Times New Roman" w:hAnsi="Times New Roman" w:cs="Times New Roman"/>
          <w:b/>
          <w:color w:val="000000" w:themeColor="text1"/>
          <w:sz w:val="24"/>
          <w:szCs w:val="24"/>
          <w:lang w:val="es-AR"/>
        </w:rPr>
      </w:pPr>
      <w:r>
        <w:rPr>
          <w:rFonts w:ascii="Times New Roman" w:hAnsi="Times New Roman" w:cs="Times New Roman"/>
          <w:color w:val="000000" w:themeColor="text1"/>
          <w:sz w:val="24"/>
          <w:szCs w:val="24"/>
          <w:lang w:val="es-AR"/>
        </w:rPr>
        <w:tab/>
      </w:r>
      <w:r w:rsidRPr="00192B14">
        <w:rPr>
          <w:rFonts w:ascii="Times New Roman" w:hAnsi="Times New Roman" w:cs="Times New Roman"/>
          <w:b/>
          <w:color w:val="000000" w:themeColor="text1"/>
          <w:sz w:val="24"/>
          <w:szCs w:val="24"/>
          <w:lang w:val="es-AR"/>
        </w:rPr>
        <w:t>Reflexiones finales.</w:t>
      </w:r>
    </w:p>
    <w:p w14:paraId="6EC6DEA1" w14:textId="77777777" w:rsidR="00192B14" w:rsidRDefault="00192B14"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b/>
          <w:color w:val="000000" w:themeColor="text1"/>
          <w:sz w:val="24"/>
          <w:szCs w:val="24"/>
          <w:lang w:val="es-AR"/>
        </w:rPr>
        <w:tab/>
      </w:r>
      <w:r>
        <w:rPr>
          <w:rFonts w:ascii="Times New Roman" w:hAnsi="Times New Roman" w:cs="Times New Roman"/>
          <w:color w:val="000000" w:themeColor="text1"/>
          <w:sz w:val="24"/>
          <w:szCs w:val="24"/>
          <w:lang w:val="es-AR"/>
        </w:rPr>
        <w:t xml:space="preserve">En este trabajo se ha expuesto de forma concisa como se configuró el oasis sur mendocino. Este se encuentra integrado dentro del ciclo hidrosocial caracterizado por la utilización del agua como un elemento necesario para la producción vitivinícola y, luego, de energía. En tal sentido para ejercer un control del agua se generaron desde el Estado provincial una legislación, la ley de aguas de 1884, y una estructura administrativa como el Departamento General de Irrigación. A ello se sumó el capital y conocimiento que aportaron inmigrantes </w:t>
      </w:r>
      <w:r w:rsidR="00652722">
        <w:rPr>
          <w:rFonts w:ascii="Times New Roman" w:hAnsi="Times New Roman" w:cs="Times New Roman"/>
          <w:color w:val="000000" w:themeColor="text1"/>
          <w:sz w:val="24"/>
          <w:szCs w:val="24"/>
          <w:lang w:val="es-AR"/>
        </w:rPr>
        <w:t xml:space="preserve">que pasaron a ser propietarios de bodegas, junto con los conocimientos técnicos aplicados al manejo del agua, como en el caso de Izuel que realizo los primeros canales. Sumándose a lo anterior, el ferrocarril contribuyó a aumentar la conectividad con el este del país y facilitar las condiciones para la población de las nacientes localidades. Pero lo más relevante, es cómo se comenzó a generar un discurso sobre el río Atuel y su significación para las autoridades mendocinas. Ello puede observarse en el Tribunal Administrativo del Departamento General de Irrigación, donde ocuparon funciones relevantes descendientes de </w:t>
      </w:r>
      <w:r w:rsidR="00652722">
        <w:rPr>
          <w:rFonts w:ascii="Times New Roman" w:hAnsi="Times New Roman" w:cs="Times New Roman"/>
          <w:color w:val="000000" w:themeColor="text1"/>
          <w:sz w:val="24"/>
          <w:szCs w:val="24"/>
          <w:lang w:val="es-AR"/>
        </w:rPr>
        <w:lastRenderedPageBreak/>
        <w:t xml:space="preserve">bodegueros que pudieron utilizar el agua del río Atuel gracias a las intervenciones como los canales. </w:t>
      </w:r>
    </w:p>
    <w:p w14:paraId="5E57C9E9" w14:textId="12211616" w:rsidR="009701E6" w:rsidRDefault="00652722"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ab/>
        <w:t>Al respec</w:t>
      </w:r>
      <w:r w:rsidR="00597B1B">
        <w:rPr>
          <w:rFonts w:ascii="Times New Roman" w:hAnsi="Times New Roman" w:cs="Times New Roman"/>
          <w:color w:val="000000" w:themeColor="text1"/>
          <w:sz w:val="24"/>
          <w:szCs w:val="24"/>
          <w:lang w:val="es-AR"/>
        </w:rPr>
        <w:t xml:space="preserve">to resulta interesante comprender la </w:t>
      </w:r>
      <w:proofErr w:type="spellStart"/>
      <w:r w:rsidR="00597B1B">
        <w:rPr>
          <w:rFonts w:ascii="Times New Roman" w:hAnsi="Times New Roman" w:cs="Times New Roman"/>
          <w:color w:val="000000" w:themeColor="text1"/>
          <w:sz w:val="24"/>
          <w:szCs w:val="24"/>
          <w:lang w:val="es-AR"/>
        </w:rPr>
        <w:t>complejización</w:t>
      </w:r>
      <w:proofErr w:type="spellEnd"/>
      <w:r w:rsidR="00597B1B">
        <w:rPr>
          <w:rFonts w:ascii="Times New Roman" w:hAnsi="Times New Roman" w:cs="Times New Roman"/>
          <w:color w:val="000000" w:themeColor="text1"/>
          <w:sz w:val="24"/>
          <w:szCs w:val="24"/>
          <w:lang w:val="es-AR"/>
        </w:rPr>
        <w:t xml:space="preserve"> </w:t>
      </w:r>
      <w:r>
        <w:rPr>
          <w:rFonts w:ascii="Times New Roman" w:hAnsi="Times New Roman" w:cs="Times New Roman"/>
          <w:color w:val="000000" w:themeColor="text1"/>
          <w:sz w:val="24"/>
          <w:szCs w:val="24"/>
          <w:lang w:val="es-AR"/>
        </w:rPr>
        <w:t xml:space="preserve">el ciclo </w:t>
      </w:r>
      <w:proofErr w:type="spellStart"/>
      <w:r>
        <w:rPr>
          <w:rFonts w:ascii="Times New Roman" w:hAnsi="Times New Roman" w:cs="Times New Roman"/>
          <w:color w:val="000000" w:themeColor="text1"/>
          <w:sz w:val="24"/>
          <w:szCs w:val="24"/>
          <w:lang w:val="es-AR"/>
        </w:rPr>
        <w:t>hidrosocial</w:t>
      </w:r>
      <w:proofErr w:type="spellEnd"/>
      <w:r>
        <w:rPr>
          <w:rFonts w:ascii="Times New Roman" w:hAnsi="Times New Roman" w:cs="Times New Roman"/>
          <w:color w:val="000000" w:themeColor="text1"/>
          <w:sz w:val="24"/>
          <w:szCs w:val="24"/>
          <w:lang w:val="es-AR"/>
        </w:rPr>
        <w:t xml:space="preserve"> pasando de una etapa donde la utilización del agua no era intensiva y la misma se encontraba asociada a otros valores y usos por parte de la población indígena y criolla, a otra donde el agua es clave para la producción a escala industrial de vinos y para el riego de plantaciones varias. A su vez, aquí </w:t>
      </w:r>
      <w:r w:rsidR="009701E6">
        <w:rPr>
          <w:rFonts w:ascii="Times New Roman" w:hAnsi="Times New Roman" w:cs="Times New Roman"/>
          <w:color w:val="000000" w:themeColor="text1"/>
          <w:sz w:val="24"/>
          <w:szCs w:val="24"/>
          <w:lang w:val="es-AR"/>
        </w:rPr>
        <w:t xml:space="preserve">se observa </w:t>
      </w:r>
      <w:r>
        <w:rPr>
          <w:rFonts w:ascii="Times New Roman" w:hAnsi="Times New Roman" w:cs="Times New Roman"/>
          <w:color w:val="000000" w:themeColor="text1"/>
          <w:sz w:val="24"/>
          <w:szCs w:val="24"/>
          <w:lang w:val="es-AR"/>
        </w:rPr>
        <w:t>cómo se constituye un</w:t>
      </w:r>
      <w:r w:rsidR="009701E6">
        <w:rPr>
          <w:rFonts w:ascii="Times New Roman" w:hAnsi="Times New Roman" w:cs="Times New Roman"/>
          <w:color w:val="000000" w:themeColor="text1"/>
          <w:sz w:val="24"/>
          <w:szCs w:val="24"/>
          <w:lang w:val="es-AR"/>
        </w:rPr>
        <w:t xml:space="preserve"> nuevo</w:t>
      </w:r>
      <w:r>
        <w:rPr>
          <w:rFonts w:ascii="Times New Roman" w:hAnsi="Times New Roman" w:cs="Times New Roman"/>
          <w:color w:val="000000" w:themeColor="text1"/>
          <w:sz w:val="24"/>
          <w:szCs w:val="24"/>
          <w:lang w:val="es-AR"/>
        </w:rPr>
        <w:t xml:space="preserve"> territorio hidrosocial</w:t>
      </w:r>
      <w:r w:rsidR="00362E9A">
        <w:rPr>
          <w:rFonts w:ascii="Times New Roman" w:hAnsi="Times New Roman" w:cs="Times New Roman"/>
          <w:color w:val="000000" w:themeColor="text1"/>
          <w:sz w:val="24"/>
          <w:szCs w:val="24"/>
          <w:lang w:val="es-AR"/>
        </w:rPr>
        <w:t xml:space="preserve"> caracteriz</w:t>
      </w:r>
      <w:r w:rsidR="009701E6">
        <w:rPr>
          <w:rFonts w:ascii="Times New Roman" w:hAnsi="Times New Roman" w:cs="Times New Roman"/>
          <w:color w:val="000000" w:themeColor="text1"/>
          <w:sz w:val="24"/>
          <w:szCs w:val="24"/>
          <w:lang w:val="es-AR"/>
        </w:rPr>
        <w:t>ado por la presencia de bodegas y de la introducción de conocimientos técnicos ligados al agua, que lo delimitan por medio de su poder económico, ingenieril y político.</w:t>
      </w:r>
    </w:p>
    <w:p w14:paraId="6F58C3E2" w14:textId="0B512E24" w:rsidR="003E7E4C" w:rsidRPr="004705FD" w:rsidRDefault="00597B1B" w:rsidP="00AB6A2B">
      <w:pPr>
        <w:spacing w:line="360" w:lineRule="auto"/>
        <w:jc w:val="both"/>
        <w:rPr>
          <w:rFonts w:ascii="Times New Roman" w:hAnsi="Times New Roman" w:cs="Times New Roman"/>
          <w:color w:val="000000" w:themeColor="text1"/>
          <w:sz w:val="24"/>
          <w:szCs w:val="24"/>
          <w:lang w:val="es-AR"/>
        </w:rPr>
      </w:pPr>
      <w:r>
        <w:rPr>
          <w:rFonts w:ascii="Times New Roman" w:hAnsi="Times New Roman" w:cs="Times New Roman"/>
          <w:color w:val="000000" w:themeColor="text1"/>
          <w:sz w:val="24"/>
          <w:szCs w:val="24"/>
          <w:lang w:val="es-AR"/>
        </w:rPr>
        <w:tab/>
        <w:t>Por todo lo expuesto, se puede reconocer</w:t>
      </w:r>
      <w:r w:rsidR="009701E6">
        <w:rPr>
          <w:rFonts w:ascii="Times New Roman" w:hAnsi="Times New Roman" w:cs="Times New Roman"/>
          <w:color w:val="000000" w:themeColor="text1"/>
          <w:sz w:val="24"/>
          <w:szCs w:val="24"/>
          <w:lang w:val="es-AR"/>
        </w:rPr>
        <w:t xml:space="preserve"> que las primeras disminuciones de caudales del río Atuel se deben a una compleja estructura que administra la circulación del agua. La misma se asienta en la ley de aguas mendocina de 1884, que aseguró la adquisición de derechos de aguas y estableciendo un mecanismo de control de los ríos a nivel provincial como es el Departamento General de Irrigación. </w:t>
      </w:r>
    </w:p>
    <w:sdt>
      <w:sdtPr>
        <w:rPr>
          <w:rFonts w:asciiTheme="minorHAnsi" w:eastAsiaTheme="minorHAnsi" w:hAnsiTheme="minorHAnsi" w:cstheme="minorBidi"/>
          <w:color w:val="auto"/>
          <w:sz w:val="22"/>
          <w:szCs w:val="22"/>
          <w:lang w:val="es-ES"/>
        </w:rPr>
        <w:id w:val="-1093700906"/>
        <w:docPartObj>
          <w:docPartGallery w:val="Bibliographies"/>
          <w:docPartUnique/>
        </w:docPartObj>
      </w:sdtPr>
      <w:sdtEndPr>
        <w:rPr>
          <w:lang w:val="en-US"/>
        </w:rPr>
      </w:sdtEndPr>
      <w:sdtContent>
        <w:p w14:paraId="5030D925" w14:textId="7F772BCB" w:rsidR="00A9603F" w:rsidRDefault="00A9603F">
          <w:pPr>
            <w:pStyle w:val="Ttulo1"/>
            <w:rPr>
              <w:rFonts w:ascii="Times New Roman" w:hAnsi="Times New Roman" w:cs="Times New Roman"/>
              <w:color w:val="auto"/>
              <w:sz w:val="24"/>
              <w:szCs w:val="24"/>
              <w:lang w:val="es-ES"/>
            </w:rPr>
          </w:pPr>
          <w:r w:rsidRPr="00A9603F">
            <w:rPr>
              <w:rFonts w:ascii="Times New Roman" w:hAnsi="Times New Roman" w:cs="Times New Roman"/>
              <w:color w:val="auto"/>
              <w:sz w:val="24"/>
              <w:szCs w:val="24"/>
              <w:lang w:val="es-ES"/>
            </w:rPr>
            <w:t>Bibliografía</w:t>
          </w:r>
        </w:p>
        <w:p w14:paraId="19D7F78B" w14:textId="77777777" w:rsidR="00A9603F" w:rsidRPr="00A9603F" w:rsidRDefault="00A9603F" w:rsidP="00A9603F">
          <w:pPr>
            <w:rPr>
              <w:lang w:val="es-ES"/>
            </w:rPr>
          </w:pPr>
        </w:p>
        <w:sdt>
          <w:sdtPr>
            <w:id w:val="111145805"/>
            <w:bibliography/>
          </w:sdtPr>
          <w:sdtEndPr/>
          <w:sdtContent>
            <w:p w14:paraId="1A36A352" w14:textId="77777777" w:rsidR="00A9603F" w:rsidRDefault="00A9603F" w:rsidP="000B6428">
              <w:pPr>
                <w:pStyle w:val="Bibliografa"/>
                <w:ind w:left="720" w:hanging="720"/>
                <w:jc w:val="both"/>
                <w:rPr>
                  <w:noProof/>
                  <w:sz w:val="24"/>
                  <w:szCs w:val="24"/>
                  <w:lang w:val="es-ES"/>
                </w:rPr>
              </w:pPr>
              <w:r>
                <w:fldChar w:fldCharType="begin"/>
              </w:r>
              <w:r w:rsidRPr="00A9603F">
                <w:rPr>
                  <w:lang w:val="es-AR"/>
                </w:rPr>
                <w:instrText>BIBLIOGRAPHY</w:instrText>
              </w:r>
              <w:r>
                <w:fldChar w:fldCharType="separate"/>
              </w:r>
              <w:r>
                <w:rPr>
                  <w:noProof/>
                  <w:lang w:val="es-ES"/>
                </w:rPr>
                <w:t xml:space="preserve">Linton J.; Budds, J. (2014). </w:t>
              </w:r>
              <w:r w:rsidRPr="00A9603F">
                <w:rPr>
                  <w:noProof/>
                </w:rPr>
                <w:t xml:space="preserve">The hydrosocial cycle: defining and mobilizing a relational-dialectical approach to water. </w:t>
              </w:r>
              <w:r>
                <w:rPr>
                  <w:i/>
                  <w:iCs/>
                  <w:noProof/>
                  <w:lang w:val="es-ES"/>
                </w:rPr>
                <w:t>Geoforum</w:t>
              </w:r>
              <w:r>
                <w:rPr>
                  <w:noProof/>
                  <w:lang w:val="es-ES"/>
                </w:rPr>
                <w:t>, 170-180.</w:t>
              </w:r>
            </w:p>
            <w:p w14:paraId="3D245156" w14:textId="77777777" w:rsidR="00A9603F" w:rsidRDefault="00A9603F" w:rsidP="000B6428">
              <w:pPr>
                <w:pStyle w:val="Bibliografa"/>
                <w:ind w:left="720" w:hanging="720"/>
                <w:jc w:val="both"/>
                <w:rPr>
                  <w:noProof/>
                  <w:lang w:val="es-ES"/>
                </w:rPr>
              </w:pPr>
              <w:r>
                <w:rPr>
                  <w:noProof/>
                  <w:lang w:val="es-ES"/>
                </w:rPr>
                <w:t xml:space="preserve">Saquet, M. ; Sposito, E. . (2009). </w:t>
              </w:r>
              <w:r>
                <w:rPr>
                  <w:i/>
                  <w:iCs/>
                  <w:noProof/>
                  <w:lang w:val="es-ES"/>
                </w:rPr>
                <w:t>Territórios e territorialidades: teorias, processos e conflitos.</w:t>
              </w:r>
              <w:r>
                <w:rPr>
                  <w:noProof/>
                  <w:lang w:val="es-ES"/>
                </w:rPr>
                <w:t xml:space="preserve"> San pablo: Expressao Popular.</w:t>
              </w:r>
            </w:p>
            <w:p w14:paraId="35513433" w14:textId="77777777" w:rsidR="00A9603F" w:rsidRDefault="00A9603F" w:rsidP="00A9603F">
              <w:pPr>
                <w:pStyle w:val="Bibliografa"/>
                <w:ind w:left="720" w:hanging="720"/>
                <w:jc w:val="both"/>
                <w:rPr>
                  <w:noProof/>
                  <w:lang w:val="es-ES"/>
                </w:rPr>
              </w:pPr>
              <w:r>
                <w:rPr>
                  <w:noProof/>
                  <w:lang w:val="es-ES"/>
                </w:rPr>
                <w:t xml:space="preserve">Bruniard, E. (1982). La diagonal árida argentina: un límite climático real. </w:t>
              </w:r>
              <w:r w:rsidRPr="00A9603F">
                <w:rPr>
                  <w:rFonts w:ascii="Times New Roman" w:hAnsi="Times New Roman" w:cs="Times New Roman"/>
                  <w:i/>
                  <w:iCs/>
                  <w:noProof/>
                  <w:sz w:val="24"/>
                  <w:szCs w:val="24"/>
                  <w:lang w:val="es-ES"/>
                </w:rPr>
                <w:t>Revista</w:t>
              </w:r>
              <w:r>
                <w:rPr>
                  <w:i/>
                  <w:iCs/>
                  <w:noProof/>
                  <w:lang w:val="es-ES"/>
                </w:rPr>
                <w:t xml:space="preserve"> Geográfica</w:t>
              </w:r>
              <w:r>
                <w:rPr>
                  <w:noProof/>
                  <w:lang w:val="es-ES"/>
                </w:rPr>
                <w:t>, 5-20.</w:t>
              </w:r>
            </w:p>
            <w:p w14:paraId="074C47D8" w14:textId="77777777" w:rsidR="00A9603F" w:rsidRDefault="00A9603F" w:rsidP="000B6428">
              <w:pPr>
                <w:pStyle w:val="Bibliografa"/>
                <w:ind w:left="720" w:hanging="720"/>
                <w:jc w:val="both"/>
                <w:rPr>
                  <w:noProof/>
                  <w:lang w:val="es-ES"/>
                </w:rPr>
              </w:pPr>
              <w:r>
                <w:rPr>
                  <w:noProof/>
                  <w:lang w:val="es-ES"/>
                </w:rPr>
                <w:t xml:space="preserve">Caminos, l. r. (12 de octubre de 2017). </w:t>
              </w:r>
              <w:r>
                <w:rPr>
                  <w:i/>
                  <w:iCs/>
                  <w:noProof/>
                  <w:lang w:val="es-ES"/>
                </w:rPr>
                <w:t>Cámara de Turismo de la Provincia de Mendoza.</w:t>
              </w:r>
              <w:r>
                <w:rPr>
                  <w:noProof/>
                  <w:lang w:val="es-ES"/>
                </w:rPr>
                <w:t xml:space="preserve"> Obtenido de https://mendoza-camara.org/24087-2/: https://mendoza-camara.org/24087-2/</w:t>
              </w:r>
            </w:p>
            <w:p w14:paraId="146CEF9B" w14:textId="77777777" w:rsidR="00A9603F" w:rsidRDefault="00A9603F" w:rsidP="000B6428">
              <w:pPr>
                <w:pStyle w:val="Bibliografa"/>
                <w:ind w:left="720" w:hanging="720"/>
                <w:jc w:val="both"/>
                <w:rPr>
                  <w:noProof/>
                  <w:lang w:val="es-ES"/>
                </w:rPr>
              </w:pPr>
              <w:r>
                <w:rPr>
                  <w:noProof/>
                  <w:lang w:val="es-ES"/>
                </w:rPr>
                <w:t>Geodesia., D. G. (24 de Febrero de 1886). Sucesión Diego de Alvear. Buenos Aires, Buenos Aires, Argentina: Peuser.</w:t>
              </w:r>
            </w:p>
            <w:p w14:paraId="3230C163" w14:textId="77777777" w:rsidR="00A9603F" w:rsidRDefault="00A9603F" w:rsidP="000B6428">
              <w:pPr>
                <w:pStyle w:val="Bibliografa"/>
                <w:ind w:left="720" w:hanging="720"/>
                <w:jc w:val="both"/>
                <w:rPr>
                  <w:noProof/>
                  <w:lang w:val="es-ES"/>
                </w:rPr>
              </w:pPr>
              <w:r w:rsidRPr="00A9603F">
                <w:rPr>
                  <w:noProof/>
                </w:rPr>
                <w:t xml:space="preserve">Goudie, A. (2017). The integration of human and Physical Geography revisited. </w:t>
              </w:r>
              <w:r>
                <w:rPr>
                  <w:i/>
                  <w:iCs/>
                  <w:noProof/>
                  <w:lang w:val="es-ES"/>
                </w:rPr>
                <w:t>The Canadian Reporter</w:t>
              </w:r>
              <w:r>
                <w:rPr>
                  <w:noProof/>
                  <w:lang w:val="es-ES"/>
                </w:rPr>
                <w:t>, 19-27.</w:t>
              </w:r>
            </w:p>
            <w:p w14:paraId="1377AFA9" w14:textId="77777777" w:rsidR="00A9603F" w:rsidRDefault="00A9603F" w:rsidP="000B6428">
              <w:pPr>
                <w:pStyle w:val="Bibliografa"/>
                <w:ind w:left="720" w:hanging="720"/>
                <w:jc w:val="both"/>
                <w:rPr>
                  <w:noProof/>
                  <w:lang w:val="es-ES"/>
                </w:rPr>
              </w:pPr>
              <w:r>
                <w:rPr>
                  <w:noProof/>
                  <w:lang w:val="es-ES"/>
                </w:rPr>
                <w:t xml:space="preserve">Haesbaert, R. (2011). </w:t>
              </w:r>
              <w:r>
                <w:rPr>
                  <w:i/>
                  <w:iCs/>
                  <w:noProof/>
                  <w:lang w:val="es-ES"/>
                </w:rPr>
                <w:t>El mito de la desterritorialización. Del fin de los territorios a la multiterritorialidad.</w:t>
              </w:r>
              <w:r>
                <w:rPr>
                  <w:noProof/>
                  <w:lang w:val="es-ES"/>
                </w:rPr>
                <w:t xml:space="preserve"> México: Siglo Veintiuno.</w:t>
              </w:r>
            </w:p>
            <w:p w14:paraId="719A9ED0" w14:textId="77777777" w:rsidR="00A9603F" w:rsidRDefault="00A9603F" w:rsidP="000B6428">
              <w:pPr>
                <w:pStyle w:val="Bibliografa"/>
                <w:ind w:left="720" w:hanging="720"/>
                <w:jc w:val="both"/>
                <w:rPr>
                  <w:noProof/>
                  <w:lang w:val="es-ES"/>
                </w:rPr>
              </w:pPr>
              <w:r>
                <w:rPr>
                  <w:noProof/>
                  <w:lang w:val="es-ES"/>
                </w:rPr>
                <w:t xml:space="preserve">Hernández Sampieri; Fernandez Collado y Baptista Lucio. (2010). </w:t>
              </w:r>
              <w:r>
                <w:rPr>
                  <w:i/>
                  <w:iCs/>
                  <w:noProof/>
                  <w:lang w:val="es-ES"/>
                </w:rPr>
                <w:t>Metodología de la Investigación.</w:t>
              </w:r>
              <w:r>
                <w:rPr>
                  <w:noProof/>
                  <w:lang w:val="es-ES"/>
                </w:rPr>
                <w:t xml:space="preserve"> México: Mc Graw Hill.</w:t>
              </w:r>
            </w:p>
            <w:p w14:paraId="53CB8926" w14:textId="77777777" w:rsidR="00A9603F" w:rsidRDefault="00A9603F" w:rsidP="000B6428">
              <w:pPr>
                <w:pStyle w:val="Bibliografa"/>
                <w:ind w:left="720" w:hanging="720"/>
                <w:jc w:val="both"/>
                <w:rPr>
                  <w:noProof/>
                  <w:lang w:val="es-ES"/>
                </w:rPr>
              </w:pPr>
              <w:r>
                <w:rPr>
                  <w:noProof/>
                  <w:lang w:val="es-ES"/>
                </w:rPr>
                <w:lastRenderedPageBreak/>
                <w:t xml:space="preserve">Irrigación, T. A. (1949). </w:t>
              </w:r>
              <w:r>
                <w:rPr>
                  <w:i/>
                  <w:iCs/>
                  <w:noProof/>
                  <w:lang w:val="es-ES"/>
                </w:rPr>
                <w:t>El río Atuel constituye un curso de aguas públicas tipicamente interno de la provincia de Mendoza. .</w:t>
              </w:r>
              <w:r>
                <w:rPr>
                  <w:noProof/>
                  <w:lang w:val="es-ES"/>
                </w:rPr>
                <w:t xml:space="preserve"> Mendoza.</w:t>
              </w:r>
            </w:p>
            <w:p w14:paraId="42594CBF" w14:textId="77777777" w:rsidR="00A9603F" w:rsidRPr="00A9603F" w:rsidRDefault="00A9603F" w:rsidP="000B6428">
              <w:pPr>
                <w:pStyle w:val="Bibliografa"/>
                <w:ind w:left="720" w:hanging="720"/>
                <w:jc w:val="both"/>
                <w:rPr>
                  <w:noProof/>
                </w:rPr>
              </w:pPr>
              <w:r>
                <w:rPr>
                  <w:noProof/>
                  <w:lang w:val="es-ES"/>
                </w:rPr>
                <w:t xml:space="preserve">Izuel, M. E. (2012). </w:t>
              </w:r>
              <w:r>
                <w:rPr>
                  <w:i/>
                  <w:iCs/>
                  <w:noProof/>
                  <w:lang w:val="es-ES"/>
                </w:rPr>
                <w:t>San Rafael: jornaleros, viñateros y bodegueros.</w:t>
              </w:r>
              <w:r>
                <w:rPr>
                  <w:noProof/>
                  <w:lang w:val="es-ES"/>
                </w:rPr>
                <w:t xml:space="preserve"> </w:t>
              </w:r>
              <w:r w:rsidRPr="00A9603F">
                <w:rPr>
                  <w:noProof/>
                </w:rPr>
                <w:t>Buenos Aires: Armerías.</w:t>
              </w:r>
            </w:p>
            <w:p w14:paraId="76E22256" w14:textId="77777777" w:rsidR="00A9603F" w:rsidRDefault="00A9603F" w:rsidP="000B6428">
              <w:pPr>
                <w:pStyle w:val="Bibliografa"/>
                <w:ind w:left="720" w:hanging="720"/>
                <w:jc w:val="both"/>
                <w:rPr>
                  <w:noProof/>
                  <w:lang w:val="es-ES"/>
                </w:rPr>
              </w:pPr>
              <w:r w:rsidRPr="00A9603F">
                <w:rPr>
                  <w:noProof/>
                </w:rPr>
                <w:t xml:space="preserve">J. Linton y J. Budds. (2014). The hydrosocial cycle: defining and mobilizing a relational-dialectical approach to water. </w:t>
              </w:r>
              <w:r>
                <w:rPr>
                  <w:i/>
                  <w:iCs/>
                  <w:noProof/>
                  <w:lang w:val="es-ES"/>
                </w:rPr>
                <w:t>Geoforum</w:t>
              </w:r>
              <w:r>
                <w:rPr>
                  <w:noProof/>
                  <w:lang w:val="es-ES"/>
                </w:rPr>
                <w:t>, 170-180.</w:t>
              </w:r>
            </w:p>
            <w:p w14:paraId="5C4C2D1C" w14:textId="77777777" w:rsidR="00A9603F" w:rsidRDefault="00A9603F" w:rsidP="000B6428">
              <w:pPr>
                <w:pStyle w:val="Bibliografa"/>
                <w:ind w:left="720" w:hanging="720"/>
                <w:jc w:val="both"/>
                <w:rPr>
                  <w:noProof/>
                  <w:lang w:val="es-ES"/>
                </w:rPr>
              </w:pPr>
              <w:r>
                <w:rPr>
                  <w:noProof/>
                  <w:lang w:val="es-ES"/>
                </w:rPr>
                <w:t xml:space="preserve">Jorba, R.; Fresia. I. . (s.f.). Desarrollo capitalista e inmigración europeadecimonónica hacia la región vitivinícola argentina con especial referencia a la influencia italiana en Mendoza, y algunas proyecciones actuales. </w:t>
              </w:r>
              <w:r>
                <w:rPr>
                  <w:i/>
                  <w:iCs/>
                  <w:noProof/>
                  <w:lang w:val="es-ES"/>
                </w:rPr>
                <w:t>JSapiens. La revista académica del Seminario Rabínico Latinoamericano.</w:t>
              </w:r>
              <w:r>
                <w:rPr>
                  <w:noProof/>
                  <w:lang w:val="es-ES"/>
                </w:rPr>
                <w:t>, 1-27.</w:t>
              </w:r>
            </w:p>
            <w:p w14:paraId="716B6C5A" w14:textId="77777777" w:rsidR="00A9603F" w:rsidRPr="00A9603F" w:rsidRDefault="00A9603F" w:rsidP="000B6428">
              <w:pPr>
                <w:pStyle w:val="Bibliografa"/>
                <w:ind w:left="720" w:hanging="720"/>
                <w:jc w:val="both"/>
                <w:rPr>
                  <w:noProof/>
                </w:rPr>
              </w:pPr>
              <w:r>
                <w:rPr>
                  <w:noProof/>
                  <w:lang w:val="es-ES"/>
                </w:rPr>
                <w:t xml:space="preserve">Lagiglia, H. (1984). El linaje de los Goico. </w:t>
              </w:r>
              <w:r>
                <w:rPr>
                  <w:i/>
                  <w:iCs/>
                  <w:noProof/>
                  <w:lang w:val="es-ES"/>
                </w:rPr>
                <w:t>Sagema Gran Enciclopedia Ilustrada. Región Integrada del Nevado</w:t>
              </w:r>
              <w:r>
                <w:rPr>
                  <w:noProof/>
                  <w:lang w:val="es-ES"/>
                </w:rPr>
                <w:t xml:space="preserve">. </w:t>
              </w:r>
              <w:r w:rsidRPr="00A9603F">
                <w:rPr>
                  <w:noProof/>
                </w:rPr>
                <w:t>Mendoza: Ed. Inc.</w:t>
              </w:r>
            </w:p>
            <w:p w14:paraId="4128A917" w14:textId="77777777" w:rsidR="00A9603F" w:rsidRPr="00A9603F" w:rsidRDefault="00A9603F" w:rsidP="000B6428">
              <w:pPr>
                <w:pStyle w:val="Bibliografa"/>
                <w:ind w:left="720" w:hanging="720"/>
                <w:jc w:val="both"/>
                <w:rPr>
                  <w:noProof/>
                </w:rPr>
              </w:pPr>
              <w:r w:rsidRPr="00A9603F">
                <w:rPr>
                  <w:noProof/>
                </w:rPr>
                <w:t xml:space="preserve">Lave, R. (2014). Intervention: critical physical geography. </w:t>
              </w:r>
              <w:r w:rsidRPr="00A9603F">
                <w:rPr>
                  <w:i/>
                  <w:iCs/>
                  <w:noProof/>
                </w:rPr>
                <w:t>The Canadian Geographer</w:t>
              </w:r>
              <w:r w:rsidRPr="00A9603F">
                <w:rPr>
                  <w:noProof/>
                </w:rPr>
                <w:t>, 1-10.</w:t>
              </w:r>
            </w:p>
            <w:p w14:paraId="4FEB9C83" w14:textId="77777777" w:rsidR="00A9603F" w:rsidRDefault="00A9603F" w:rsidP="000B6428">
              <w:pPr>
                <w:pStyle w:val="Bibliografa"/>
                <w:ind w:left="720" w:hanging="720"/>
                <w:jc w:val="both"/>
                <w:rPr>
                  <w:noProof/>
                  <w:lang w:val="es-ES"/>
                </w:rPr>
              </w:pPr>
              <w:r>
                <w:rPr>
                  <w:noProof/>
                  <w:lang w:val="es-ES"/>
                </w:rPr>
                <w:t xml:space="preserve">Lopes de Souza, M. (2018). Quando o trunfo se revela um fardo: reexaminando os percalcos de um campo disciplinar que se pretendeu uma ponte entre o conhecimento da natureza e da sociedade. </w:t>
              </w:r>
              <w:r>
                <w:rPr>
                  <w:i/>
                  <w:iCs/>
                  <w:noProof/>
                  <w:lang w:val="es-ES"/>
                </w:rPr>
                <w:t>Geousp-Espaco e tempo.</w:t>
              </w:r>
              <w:r>
                <w:rPr>
                  <w:noProof/>
                  <w:lang w:val="es-ES"/>
                </w:rPr>
                <w:t>, 274-308.</w:t>
              </w:r>
            </w:p>
            <w:p w14:paraId="1CE04088" w14:textId="77777777" w:rsidR="00A9603F" w:rsidRDefault="00A9603F" w:rsidP="000B6428">
              <w:pPr>
                <w:pStyle w:val="Bibliografa"/>
                <w:ind w:left="720" w:hanging="720"/>
                <w:jc w:val="both"/>
                <w:rPr>
                  <w:noProof/>
                  <w:lang w:val="es-ES"/>
                </w:rPr>
              </w:pPr>
              <w:r>
                <w:rPr>
                  <w:noProof/>
                  <w:lang w:val="es-ES"/>
                </w:rPr>
                <w:t xml:space="preserve">Mateu, A. M. (2012). Los Arizu y la tierra prometida. En S. y. Saurina, </w:t>
              </w:r>
              <w:r>
                <w:rPr>
                  <w:i/>
                  <w:iCs/>
                  <w:noProof/>
                  <w:lang w:val="es-ES"/>
                </w:rPr>
                <w:t>Pioneros de Villa Atuel. Recuperación del patrimonio a cien años de su fundación. Protagonismo del agua.</w:t>
              </w:r>
              <w:r>
                <w:rPr>
                  <w:noProof/>
                  <w:lang w:val="es-ES"/>
                </w:rPr>
                <w:t xml:space="preserve"> (págs. 57-82). San Rafael: Municipalidad de San Rafael-INA.</w:t>
              </w:r>
            </w:p>
            <w:p w14:paraId="62186D4F" w14:textId="77777777" w:rsidR="00A9603F" w:rsidRDefault="00A9603F" w:rsidP="000B6428">
              <w:pPr>
                <w:pStyle w:val="Bibliografa"/>
                <w:ind w:left="720" w:hanging="720"/>
                <w:jc w:val="both"/>
                <w:rPr>
                  <w:noProof/>
                  <w:lang w:val="es-ES"/>
                </w:rPr>
              </w:pPr>
              <w:r>
                <w:rPr>
                  <w:noProof/>
                  <w:lang w:val="es-ES"/>
                </w:rPr>
                <w:t xml:space="preserve">Nación., M. d. (1934). </w:t>
              </w:r>
              <w:r>
                <w:rPr>
                  <w:i/>
                  <w:iCs/>
                  <w:noProof/>
                  <w:lang w:val="es-ES"/>
                </w:rPr>
                <w:t>Informe del Ingeniero Carlos Dillon con motivo del reconocimiento efectcuado en los bañados y en el curso inferior del río Atuel.</w:t>
              </w:r>
              <w:r>
                <w:rPr>
                  <w:noProof/>
                  <w:lang w:val="es-ES"/>
                </w:rPr>
                <w:t xml:space="preserve"> Buenos Aires.</w:t>
              </w:r>
            </w:p>
            <w:p w14:paraId="5E26499D" w14:textId="77777777" w:rsidR="00A9603F" w:rsidRDefault="00A9603F" w:rsidP="000B6428">
              <w:pPr>
                <w:pStyle w:val="Bibliografa"/>
                <w:ind w:left="720" w:hanging="720"/>
                <w:jc w:val="both"/>
                <w:rPr>
                  <w:noProof/>
                  <w:lang w:val="es-ES"/>
                </w:rPr>
              </w:pPr>
              <w:r>
                <w:rPr>
                  <w:noProof/>
                  <w:lang w:val="es-ES"/>
                </w:rPr>
                <w:t xml:space="preserve">Newcomb, R. (1976). Doce enfoques operativos en geografía histórica. En P. Randle, </w:t>
              </w:r>
              <w:r>
                <w:rPr>
                  <w:i/>
                  <w:iCs/>
                  <w:noProof/>
                  <w:lang w:val="es-ES"/>
                </w:rPr>
                <w:t>Teoría de la Geografía.</w:t>
              </w:r>
              <w:r>
                <w:rPr>
                  <w:noProof/>
                  <w:lang w:val="es-ES"/>
                </w:rPr>
                <w:t xml:space="preserve"> Buenos Aires: Sociedad de Estudios Geográficos.</w:t>
              </w:r>
            </w:p>
            <w:p w14:paraId="7DE2E4AC" w14:textId="5B2EE43E" w:rsidR="00A9603F" w:rsidRPr="00A9603F" w:rsidRDefault="00A9603F" w:rsidP="000B6428">
              <w:pPr>
                <w:pStyle w:val="Bibliografa"/>
                <w:ind w:left="720" w:hanging="720"/>
                <w:jc w:val="both"/>
                <w:rPr>
                  <w:noProof/>
                </w:rPr>
              </w:pPr>
              <w:r w:rsidRPr="00A9603F">
                <w:rPr>
                  <w:noProof/>
                </w:rPr>
                <w:t xml:space="preserve">Robbins, P. (2012). </w:t>
              </w:r>
              <w:r w:rsidRPr="00A9603F">
                <w:rPr>
                  <w:i/>
                  <w:iCs/>
                  <w:noProof/>
                </w:rPr>
                <w:t>Political e</w:t>
              </w:r>
              <w:r w:rsidR="000B6428">
                <w:rPr>
                  <w:i/>
                  <w:iCs/>
                  <w:noProof/>
                </w:rPr>
                <w:t>cology. A critical introduction</w:t>
              </w:r>
              <w:r w:rsidRPr="00A9603F">
                <w:rPr>
                  <w:i/>
                  <w:iCs/>
                  <w:noProof/>
                </w:rPr>
                <w:t>.</w:t>
              </w:r>
              <w:r w:rsidRPr="00A9603F">
                <w:rPr>
                  <w:noProof/>
                </w:rPr>
                <w:t xml:space="preserve"> Oxford: Wiley Blackwell.</w:t>
              </w:r>
            </w:p>
            <w:p w14:paraId="046B961F" w14:textId="77777777" w:rsidR="00A9603F" w:rsidRPr="00AB6A2B" w:rsidRDefault="00A9603F" w:rsidP="000B6428">
              <w:pPr>
                <w:pStyle w:val="Bibliografa"/>
                <w:ind w:left="720" w:hanging="720"/>
                <w:jc w:val="both"/>
                <w:rPr>
                  <w:noProof/>
                  <w:lang w:val="es-AR"/>
                </w:rPr>
              </w:pPr>
              <w:r w:rsidRPr="00A9603F">
                <w:rPr>
                  <w:noProof/>
                </w:rPr>
                <w:t xml:space="preserve">Rutgerd Boelens et al. </w:t>
              </w:r>
              <w:r w:rsidRPr="00AB6A2B">
                <w:rPr>
                  <w:noProof/>
                  <w:lang w:val="es-AR"/>
                </w:rPr>
                <w:t xml:space="preserve">(2016). Hydrosocial territories: a politicas ecology perspective. </w:t>
              </w:r>
              <w:r w:rsidRPr="00AB6A2B">
                <w:rPr>
                  <w:i/>
                  <w:iCs/>
                  <w:noProof/>
                  <w:lang w:val="es-AR"/>
                </w:rPr>
                <w:t>Water International</w:t>
              </w:r>
              <w:r w:rsidRPr="00AB6A2B">
                <w:rPr>
                  <w:noProof/>
                  <w:lang w:val="es-AR"/>
                </w:rPr>
                <w:t>, 1-14.</w:t>
              </w:r>
            </w:p>
            <w:p w14:paraId="2E6ACBA6" w14:textId="77777777" w:rsidR="00A9603F" w:rsidRDefault="00A9603F" w:rsidP="000B6428">
              <w:pPr>
                <w:pStyle w:val="Bibliografa"/>
                <w:ind w:left="720" w:hanging="720"/>
                <w:jc w:val="both"/>
                <w:rPr>
                  <w:noProof/>
                  <w:lang w:val="es-ES"/>
                </w:rPr>
              </w:pPr>
              <w:r>
                <w:rPr>
                  <w:noProof/>
                  <w:lang w:val="es-ES"/>
                </w:rPr>
                <w:t xml:space="preserve">Saurina, S. (2012). La creación de la villa. En S. &amp;. Saurina, </w:t>
              </w:r>
              <w:r>
                <w:rPr>
                  <w:i/>
                  <w:iCs/>
                  <w:noProof/>
                  <w:lang w:val="es-ES"/>
                </w:rPr>
                <w:t>Pioneros de Villa Atuel, Mendoza. Recuperación del patrimonio a cien años de su fundación. Protagonismo del agua.</w:t>
              </w:r>
              <w:r>
                <w:rPr>
                  <w:noProof/>
                  <w:lang w:val="es-ES"/>
                </w:rPr>
                <w:t xml:space="preserve"> (págs. 23-27). San Rafael: Municipalidad de San Rafael; INA.</w:t>
              </w:r>
            </w:p>
            <w:p w14:paraId="52137579" w14:textId="77777777" w:rsidR="00A9603F" w:rsidRDefault="00A9603F" w:rsidP="000B6428">
              <w:pPr>
                <w:pStyle w:val="Bibliografa"/>
                <w:ind w:left="720" w:hanging="720"/>
                <w:jc w:val="both"/>
                <w:rPr>
                  <w:noProof/>
                  <w:lang w:val="es-ES"/>
                </w:rPr>
              </w:pPr>
              <w:r>
                <w:rPr>
                  <w:noProof/>
                  <w:lang w:val="es-ES"/>
                </w:rPr>
                <w:t xml:space="preserve">Stappenbeck, R. (1913). </w:t>
              </w:r>
              <w:r>
                <w:rPr>
                  <w:i/>
                  <w:iCs/>
                  <w:noProof/>
                  <w:lang w:val="es-ES"/>
                </w:rPr>
                <w:t>Apuntes hidrogeológicos sobre el sud-este de la provincia de Mendoza.</w:t>
              </w:r>
              <w:r>
                <w:rPr>
                  <w:noProof/>
                  <w:lang w:val="es-ES"/>
                </w:rPr>
                <w:t xml:space="preserve"> Buenos Aires.: Talleres de la Oficina Meteorológica Argentina.</w:t>
              </w:r>
            </w:p>
            <w:p w14:paraId="4F8E7873" w14:textId="77777777" w:rsidR="00A9603F" w:rsidRPr="00A9603F" w:rsidRDefault="00A9603F" w:rsidP="000B6428">
              <w:pPr>
                <w:pStyle w:val="Bibliografa"/>
                <w:ind w:left="720" w:hanging="720"/>
                <w:jc w:val="both"/>
                <w:rPr>
                  <w:noProof/>
                </w:rPr>
              </w:pPr>
              <w:r>
                <w:rPr>
                  <w:noProof/>
                  <w:lang w:val="es-ES"/>
                </w:rPr>
                <w:t xml:space="preserve">Swyngedouw, E. (2017). Economía olítica y ecología política del ciclo hidrosocial. </w:t>
              </w:r>
              <w:r w:rsidRPr="00A9603F">
                <w:rPr>
                  <w:i/>
                  <w:iCs/>
                  <w:noProof/>
                </w:rPr>
                <w:t>Waterlat-Gobacit Networking Papers</w:t>
              </w:r>
              <w:r w:rsidRPr="00A9603F">
                <w:rPr>
                  <w:noProof/>
                </w:rPr>
                <w:t>, 6-14.</w:t>
              </w:r>
            </w:p>
            <w:p w14:paraId="27AFB749" w14:textId="77777777" w:rsidR="00A9603F" w:rsidRDefault="00A9603F" w:rsidP="000B6428">
              <w:pPr>
                <w:pStyle w:val="Bibliografa"/>
                <w:ind w:left="720" w:hanging="720"/>
                <w:jc w:val="both"/>
                <w:rPr>
                  <w:noProof/>
                  <w:lang w:val="es-ES"/>
                </w:rPr>
              </w:pPr>
              <w:r w:rsidRPr="00A9603F">
                <w:rPr>
                  <w:noProof/>
                </w:rPr>
                <w:t xml:space="preserve">Tapper, F. (1931). </w:t>
              </w:r>
              <w:r w:rsidRPr="00A9603F">
                <w:rPr>
                  <w:i/>
                  <w:iCs/>
                  <w:noProof/>
                </w:rPr>
                <w:t xml:space="preserve">Río Atuel. Memoria general. </w:t>
              </w:r>
              <w:r>
                <w:rPr>
                  <w:i/>
                  <w:iCs/>
                  <w:noProof/>
                  <w:lang w:val="es-ES"/>
                </w:rPr>
                <w:t>Antecedentes, descripción del río y situación geográfica. Resumen general de los trabajos de la Comisión a la fecha.</w:t>
              </w:r>
              <w:r>
                <w:rPr>
                  <w:noProof/>
                  <w:lang w:val="es-ES"/>
                </w:rPr>
                <w:t xml:space="preserve"> Buenos Aires.</w:t>
              </w:r>
            </w:p>
            <w:p w14:paraId="7D073602" w14:textId="624EDFD3" w:rsidR="00A9603F" w:rsidRDefault="00A9603F" w:rsidP="00A9603F">
              <w:r>
                <w:rPr>
                  <w:b/>
                  <w:bCs/>
                </w:rPr>
                <w:fldChar w:fldCharType="end"/>
              </w:r>
            </w:p>
          </w:sdtContent>
        </w:sdt>
      </w:sdtContent>
    </w:sdt>
    <w:p w14:paraId="3B5FB18F" w14:textId="77777777" w:rsidR="008C2CBC" w:rsidRPr="00F440B0" w:rsidRDefault="008C2CBC" w:rsidP="0003299C">
      <w:pPr>
        <w:jc w:val="both"/>
        <w:rPr>
          <w:rFonts w:ascii="Times New Roman" w:hAnsi="Times New Roman" w:cs="Times New Roman"/>
          <w:sz w:val="24"/>
          <w:szCs w:val="24"/>
          <w:lang w:val="es-AR"/>
        </w:rPr>
      </w:pPr>
    </w:p>
    <w:sectPr w:rsidR="008C2CBC" w:rsidRPr="00F440B0" w:rsidSect="003D0353">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5EB05" w14:textId="77777777" w:rsidR="00685253" w:rsidRDefault="00685253" w:rsidP="00A52207">
      <w:pPr>
        <w:spacing w:after="0" w:line="240" w:lineRule="auto"/>
      </w:pPr>
      <w:r>
        <w:separator/>
      </w:r>
    </w:p>
  </w:endnote>
  <w:endnote w:type="continuationSeparator" w:id="0">
    <w:p w14:paraId="2630073E" w14:textId="77777777" w:rsidR="00685253" w:rsidRDefault="00685253" w:rsidP="00A52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384328"/>
      <w:docPartObj>
        <w:docPartGallery w:val="Page Numbers (Bottom of Page)"/>
        <w:docPartUnique/>
      </w:docPartObj>
    </w:sdtPr>
    <w:sdtEndPr/>
    <w:sdtContent>
      <w:p w14:paraId="5D513965" w14:textId="188CBBB6" w:rsidR="002425AC" w:rsidRDefault="00685253">
        <w:pPr>
          <w:pStyle w:val="Piedepgina"/>
          <w:jc w:val="right"/>
        </w:pPr>
        <w:r>
          <w:fldChar w:fldCharType="begin"/>
        </w:r>
        <w:r>
          <w:instrText>PAGE   \* MERGEFORMAT</w:instrText>
        </w:r>
        <w:r>
          <w:fldChar w:fldCharType="separate"/>
        </w:r>
        <w:r w:rsidR="002A4708" w:rsidRPr="002A4708">
          <w:rPr>
            <w:noProof/>
            <w:lang w:val="es-ES"/>
          </w:rPr>
          <w:t>20</w:t>
        </w:r>
        <w:r>
          <w:rPr>
            <w:noProof/>
            <w:lang w:val="es-ES"/>
          </w:rPr>
          <w:fldChar w:fldCharType="end"/>
        </w:r>
      </w:p>
    </w:sdtContent>
  </w:sdt>
  <w:p w14:paraId="1013C012" w14:textId="77777777" w:rsidR="002425AC" w:rsidRDefault="002425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2713C" w14:textId="77777777" w:rsidR="00685253" w:rsidRDefault="00685253" w:rsidP="00A52207">
      <w:pPr>
        <w:spacing w:after="0" w:line="240" w:lineRule="auto"/>
      </w:pPr>
      <w:r>
        <w:separator/>
      </w:r>
    </w:p>
  </w:footnote>
  <w:footnote w:type="continuationSeparator" w:id="0">
    <w:p w14:paraId="3E000E94" w14:textId="77777777" w:rsidR="00685253" w:rsidRDefault="00685253" w:rsidP="00A52207">
      <w:pPr>
        <w:spacing w:after="0" w:line="240" w:lineRule="auto"/>
      </w:pPr>
      <w:r>
        <w:continuationSeparator/>
      </w:r>
    </w:p>
  </w:footnote>
  <w:footnote w:id="1">
    <w:p w14:paraId="3C2EBA98" w14:textId="77777777" w:rsidR="002425AC" w:rsidRPr="00A52207" w:rsidRDefault="002425AC" w:rsidP="00A52207">
      <w:pPr>
        <w:pStyle w:val="Textonotapie"/>
        <w:jc w:val="both"/>
        <w:rPr>
          <w:rFonts w:ascii="Times New Roman" w:hAnsi="Times New Roman" w:cs="Times New Roman"/>
          <w:lang w:val="es-AR"/>
        </w:rPr>
      </w:pPr>
      <w:r>
        <w:rPr>
          <w:rStyle w:val="Refdenotaalpie"/>
        </w:rPr>
        <w:footnoteRef/>
      </w:r>
      <w:r>
        <w:rPr>
          <w:rFonts w:ascii="Times New Roman" w:hAnsi="Times New Roman" w:cs="Times New Roman"/>
          <w:lang w:val="es-AR"/>
        </w:rPr>
        <w:t>Al respecto un ejemplo es el caso de Chile, donde se sancionó en 1981 bajo la dictadura militar, la Ley de Aguas, conduciendo hacia su privatización. Si bien este tipo de legislación es estimulada por sectores neoliberales, el caso chileno pone de manifiesto en los últimos años a la situación de crisis que se llegó por los valores que alcanzó el agua, siendo más cara que la tierra, lo que llevó a la especulación, confluyendo con las nuevas actividades productivas intensivas (como los monocultivos de palta) y un aumento de las condiciones de aridez (que abarcan a gran parte del país).</w:t>
      </w:r>
    </w:p>
  </w:footnote>
  <w:footnote w:id="2">
    <w:p w14:paraId="67B92C50" w14:textId="77777777" w:rsidR="002425AC" w:rsidRPr="006F19E0" w:rsidRDefault="002425AC">
      <w:pPr>
        <w:pStyle w:val="Textonotapie"/>
        <w:rPr>
          <w:rFonts w:ascii="Times New Roman" w:hAnsi="Times New Roman" w:cs="Times New Roman"/>
          <w:lang w:val="es-AR"/>
        </w:rPr>
      </w:pPr>
      <w:r>
        <w:rPr>
          <w:rStyle w:val="Refdenotaalpie"/>
        </w:rPr>
        <w:footnoteRef/>
      </w:r>
      <w:r>
        <w:rPr>
          <w:rFonts w:ascii="Times New Roman" w:hAnsi="Times New Roman" w:cs="Times New Roman"/>
          <w:lang w:val="es-AR"/>
        </w:rPr>
        <w:t xml:space="preserve">Información corroborada por personal actual de la bodega La Abeja y del espacio cultural que ocupa la ex bodega Faraón, antiguamente perteneciente a Cremaschi.  </w:t>
      </w:r>
    </w:p>
  </w:footnote>
  <w:footnote w:id="3">
    <w:p w14:paraId="45E5E3C3" w14:textId="77777777" w:rsidR="002425AC" w:rsidRPr="00C02FCA" w:rsidRDefault="002425AC" w:rsidP="00C02FCA">
      <w:pPr>
        <w:pStyle w:val="Textonotapie"/>
        <w:jc w:val="both"/>
        <w:rPr>
          <w:rFonts w:ascii="Times New Roman" w:hAnsi="Times New Roman" w:cs="Times New Roman"/>
          <w:lang w:val="es-AR"/>
        </w:rPr>
      </w:pPr>
      <w:r>
        <w:rPr>
          <w:rStyle w:val="Refdenotaalpie"/>
        </w:rPr>
        <w:footnoteRef/>
      </w:r>
      <w:r>
        <w:rPr>
          <w:rFonts w:ascii="Times New Roman" w:hAnsi="Times New Roman" w:cs="Times New Roman"/>
          <w:lang w:val="es-AR"/>
        </w:rPr>
        <w:t xml:space="preserve">Actualmente se encuentra en funcionamiento, pero ya bajo propiedad de la familia </w:t>
      </w:r>
      <w:proofErr w:type="spellStart"/>
      <w:r>
        <w:rPr>
          <w:rFonts w:ascii="Times New Roman" w:hAnsi="Times New Roman" w:cs="Times New Roman"/>
          <w:lang w:val="es-AR"/>
        </w:rPr>
        <w:t>Rippa</w:t>
      </w:r>
      <w:proofErr w:type="spellEnd"/>
      <w:r>
        <w:rPr>
          <w:rFonts w:ascii="Times New Roman" w:hAnsi="Times New Roman" w:cs="Times New Roman"/>
          <w:lang w:val="es-AR"/>
        </w:rPr>
        <w:t xml:space="preserve">. </w:t>
      </w:r>
    </w:p>
  </w:footnote>
  <w:footnote w:id="4">
    <w:p w14:paraId="1F5F7C7E" w14:textId="77777777" w:rsidR="002425AC" w:rsidRPr="007315D3" w:rsidRDefault="002425AC" w:rsidP="007315D3">
      <w:pPr>
        <w:pStyle w:val="Textonotapie"/>
        <w:jc w:val="both"/>
        <w:rPr>
          <w:rFonts w:ascii="Times New Roman" w:hAnsi="Times New Roman" w:cs="Times New Roman"/>
          <w:lang w:val="es-AR"/>
        </w:rPr>
      </w:pPr>
      <w:r>
        <w:rPr>
          <w:rStyle w:val="Refdenotaalpie"/>
        </w:rPr>
        <w:footnoteRef/>
      </w:r>
      <w:r>
        <w:rPr>
          <w:rFonts w:ascii="Times New Roman" w:hAnsi="Times New Roman" w:cs="Times New Roman"/>
          <w:lang w:val="es-AR"/>
        </w:rPr>
        <w:t>Este consiste en “</w:t>
      </w:r>
      <w:r w:rsidRPr="007315D3">
        <w:rPr>
          <w:rFonts w:ascii="Times New Roman" w:hAnsi="Times New Roman" w:cs="Times New Roman"/>
          <w:color w:val="000000"/>
          <w:shd w:val="clear" w:color="auto" w:fill="FFFFFF"/>
          <w:lang w:val="es-AR"/>
        </w:rPr>
        <w:t xml:space="preserve">2 fermentadores con una mega estructura de hormigón armado. El primero que se construyó tiene 15 </w:t>
      </w:r>
      <w:proofErr w:type="spellStart"/>
      <w:r w:rsidRPr="007315D3">
        <w:rPr>
          <w:rFonts w:ascii="Times New Roman" w:hAnsi="Times New Roman" w:cs="Times New Roman"/>
          <w:color w:val="000000"/>
          <w:shd w:val="clear" w:color="auto" w:fill="FFFFFF"/>
          <w:lang w:val="es-AR"/>
        </w:rPr>
        <w:t>mts</w:t>
      </w:r>
      <w:proofErr w:type="spellEnd"/>
      <w:r w:rsidRPr="007315D3">
        <w:rPr>
          <w:rFonts w:ascii="Times New Roman" w:hAnsi="Times New Roman" w:cs="Times New Roman"/>
          <w:color w:val="000000"/>
          <w:shd w:val="clear" w:color="auto" w:fill="FFFFFF"/>
          <w:lang w:val="es-AR"/>
        </w:rPr>
        <w:t xml:space="preserve"> de alto y 20 </w:t>
      </w:r>
      <w:proofErr w:type="spellStart"/>
      <w:r w:rsidRPr="007315D3">
        <w:rPr>
          <w:rFonts w:ascii="Times New Roman" w:hAnsi="Times New Roman" w:cs="Times New Roman"/>
          <w:color w:val="000000"/>
          <w:shd w:val="clear" w:color="auto" w:fill="FFFFFF"/>
          <w:lang w:val="es-AR"/>
        </w:rPr>
        <w:t>mts</w:t>
      </w:r>
      <w:proofErr w:type="spellEnd"/>
      <w:r w:rsidRPr="007315D3">
        <w:rPr>
          <w:rFonts w:ascii="Times New Roman" w:hAnsi="Times New Roman" w:cs="Times New Roman"/>
          <w:color w:val="000000"/>
          <w:shd w:val="clear" w:color="auto" w:fill="FFFFFF"/>
          <w:lang w:val="es-AR"/>
        </w:rPr>
        <w:t xml:space="preserve"> de diámetro, puede contener 380.000 litros de vino, que equivalen 962.000 kg de uva y el segundo tiene capacidad para elaborar 1.500.000 litros. Todo ese proceso se controlaba paso a paso con filtros y </w:t>
      </w:r>
      <w:proofErr w:type="spellStart"/>
      <w:r w:rsidRPr="007315D3">
        <w:rPr>
          <w:rFonts w:ascii="Times New Roman" w:hAnsi="Times New Roman" w:cs="Times New Roman"/>
          <w:color w:val="000000"/>
          <w:shd w:val="clear" w:color="auto" w:fill="FFFFFF"/>
          <w:lang w:val="es-AR"/>
        </w:rPr>
        <w:t>teletermómetros</w:t>
      </w:r>
      <w:proofErr w:type="spellEnd"/>
      <w:r w:rsidRPr="007315D3">
        <w:rPr>
          <w:rFonts w:ascii="Times New Roman" w:hAnsi="Times New Roman" w:cs="Times New Roman"/>
          <w:color w:val="000000"/>
          <w:shd w:val="clear" w:color="auto" w:fill="FFFFFF"/>
          <w:lang w:val="es-AR"/>
        </w:rPr>
        <w:t xml:space="preserve"> que garantizaban un producto final estable y de excelente calidad</w:t>
      </w:r>
      <w:r>
        <w:rPr>
          <w:rFonts w:ascii="Times New Roman" w:hAnsi="Times New Roman" w:cs="Times New Roman"/>
          <w:color w:val="000000"/>
          <w:shd w:val="clear" w:color="auto" w:fill="FFFFFF"/>
          <w:lang w:val="es-AR"/>
        </w:rPr>
        <w:t>”</w:t>
      </w:r>
      <w:r w:rsidRPr="007315D3">
        <w:rPr>
          <w:rFonts w:ascii="Arial" w:hAnsi="Arial" w:cs="Arial"/>
          <w:color w:val="000000"/>
          <w:sz w:val="21"/>
          <w:szCs w:val="21"/>
          <w:shd w:val="clear" w:color="auto" w:fill="FFFFFF"/>
          <w:lang w:val="es-AR"/>
        </w:rPr>
        <w:t>.</w:t>
      </w:r>
      <w:sdt>
        <w:sdtPr>
          <w:rPr>
            <w:rFonts w:ascii="Arial" w:hAnsi="Arial" w:cs="Arial"/>
            <w:color w:val="000000"/>
            <w:sz w:val="21"/>
            <w:szCs w:val="21"/>
            <w:shd w:val="clear" w:color="auto" w:fill="FFFFFF"/>
            <w:lang w:val="es-AR"/>
          </w:rPr>
          <w:id w:val="-1940288450"/>
          <w:citation/>
        </w:sdtPr>
        <w:sdtEndPr/>
        <w:sdtContent>
          <w:r w:rsidR="005F2A08">
            <w:rPr>
              <w:rFonts w:ascii="Arial" w:hAnsi="Arial" w:cs="Arial"/>
              <w:color w:val="000000"/>
              <w:sz w:val="21"/>
              <w:szCs w:val="21"/>
              <w:shd w:val="clear" w:color="auto" w:fill="FFFFFF"/>
              <w:lang w:val="es-AR"/>
            </w:rPr>
            <w:fldChar w:fldCharType="begin"/>
          </w:r>
          <w:r>
            <w:rPr>
              <w:rFonts w:ascii="Arial" w:hAnsi="Arial" w:cs="Arial"/>
              <w:color w:val="000000"/>
              <w:sz w:val="21"/>
              <w:szCs w:val="21"/>
              <w:shd w:val="clear" w:color="auto" w:fill="FFFFFF"/>
              <w:lang w:val="es-AR"/>
            </w:rPr>
            <w:instrText xml:space="preserve"> CITATION Cam17 \l 11274 </w:instrText>
          </w:r>
          <w:r w:rsidR="005F2A08">
            <w:rPr>
              <w:rFonts w:ascii="Arial" w:hAnsi="Arial" w:cs="Arial"/>
              <w:color w:val="000000"/>
              <w:sz w:val="21"/>
              <w:szCs w:val="21"/>
              <w:shd w:val="clear" w:color="auto" w:fill="FFFFFF"/>
              <w:lang w:val="es-AR"/>
            </w:rPr>
            <w:fldChar w:fldCharType="separate"/>
          </w:r>
          <w:r w:rsidRPr="00FA3C0E">
            <w:rPr>
              <w:rFonts w:ascii="Arial" w:hAnsi="Arial" w:cs="Arial"/>
              <w:noProof/>
              <w:color w:val="000000"/>
              <w:sz w:val="21"/>
              <w:szCs w:val="21"/>
              <w:shd w:val="clear" w:color="auto" w:fill="FFFFFF"/>
              <w:lang w:val="es-AR"/>
            </w:rPr>
            <w:t>(Caminos, 2017)</w:t>
          </w:r>
          <w:r w:rsidR="005F2A08">
            <w:rPr>
              <w:rFonts w:ascii="Arial" w:hAnsi="Arial" w:cs="Arial"/>
              <w:color w:val="000000"/>
              <w:sz w:val="21"/>
              <w:szCs w:val="21"/>
              <w:shd w:val="clear" w:color="auto" w:fill="FFFFFF"/>
              <w:lang w:val="es-AR"/>
            </w:rPr>
            <w:fldChar w:fldCharType="end"/>
          </w:r>
        </w:sdtContent>
      </w:sdt>
      <w:r>
        <w:rPr>
          <w:rFonts w:ascii="Arial" w:hAnsi="Arial" w:cs="Arial"/>
          <w:color w:val="000000"/>
          <w:sz w:val="21"/>
          <w:szCs w:val="21"/>
          <w:shd w:val="clear" w:color="auto" w:fill="FFFFFF"/>
          <w:lang w:val="es-A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836"/>
    <w:rsid w:val="00014271"/>
    <w:rsid w:val="0003299C"/>
    <w:rsid w:val="0005408A"/>
    <w:rsid w:val="0006259A"/>
    <w:rsid w:val="00075C5E"/>
    <w:rsid w:val="000A1E82"/>
    <w:rsid w:val="000B6428"/>
    <w:rsid w:val="000C7502"/>
    <w:rsid w:val="000F68B8"/>
    <w:rsid w:val="001258BF"/>
    <w:rsid w:val="00134D66"/>
    <w:rsid w:val="0014077F"/>
    <w:rsid w:val="00152B14"/>
    <w:rsid w:val="0017044B"/>
    <w:rsid w:val="001704E5"/>
    <w:rsid w:val="00176AE9"/>
    <w:rsid w:val="00180970"/>
    <w:rsid w:val="00181757"/>
    <w:rsid w:val="00192B14"/>
    <w:rsid w:val="001C10DE"/>
    <w:rsid w:val="001D494F"/>
    <w:rsid w:val="00206B3B"/>
    <w:rsid w:val="00223BB1"/>
    <w:rsid w:val="00232A8D"/>
    <w:rsid w:val="002425AC"/>
    <w:rsid w:val="002A4708"/>
    <w:rsid w:val="002B04EA"/>
    <w:rsid w:val="002C7E7D"/>
    <w:rsid w:val="002E2C12"/>
    <w:rsid w:val="002F3EA5"/>
    <w:rsid w:val="00306C23"/>
    <w:rsid w:val="0031088A"/>
    <w:rsid w:val="00315D17"/>
    <w:rsid w:val="003241A8"/>
    <w:rsid w:val="003402CD"/>
    <w:rsid w:val="00353B17"/>
    <w:rsid w:val="00360947"/>
    <w:rsid w:val="00362E9A"/>
    <w:rsid w:val="00363CDE"/>
    <w:rsid w:val="003A14EF"/>
    <w:rsid w:val="003C2164"/>
    <w:rsid w:val="003D0353"/>
    <w:rsid w:val="003E5FA9"/>
    <w:rsid w:val="003E7E4C"/>
    <w:rsid w:val="003F46A1"/>
    <w:rsid w:val="004004F2"/>
    <w:rsid w:val="004132BD"/>
    <w:rsid w:val="00415F60"/>
    <w:rsid w:val="00442CDD"/>
    <w:rsid w:val="004518D5"/>
    <w:rsid w:val="00453C96"/>
    <w:rsid w:val="004558F4"/>
    <w:rsid w:val="004705FD"/>
    <w:rsid w:val="0047745B"/>
    <w:rsid w:val="00482EF8"/>
    <w:rsid w:val="004A1E7F"/>
    <w:rsid w:val="004D31DF"/>
    <w:rsid w:val="005162B2"/>
    <w:rsid w:val="0052223B"/>
    <w:rsid w:val="005334E6"/>
    <w:rsid w:val="0054124E"/>
    <w:rsid w:val="0056162D"/>
    <w:rsid w:val="005664C7"/>
    <w:rsid w:val="0058276E"/>
    <w:rsid w:val="0058677B"/>
    <w:rsid w:val="005878AF"/>
    <w:rsid w:val="00591354"/>
    <w:rsid w:val="00597B1B"/>
    <w:rsid w:val="005A6595"/>
    <w:rsid w:val="005E4C23"/>
    <w:rsid w:val="005F2A08"/>
    <w:rsid w:val="005F2E72"/>
    <w:rsid w:val="00626CAB"/>
    <w:rsid w:val="00647B96"/>
    <w:rsid w:val="00652722"/>
    <w:rsid w:val="00653331"/>
    <w:rsid w:val="00685253"/>
    <w:rsid w:val="00694B0B"/>
    <w:rsid w:val="006A7D8A"/>
    <w:rsid w:val="006B38CD"/>
    <w:rsid w:val="006B66C6"/>
    <w:rsid w:val="006E3820"/>
    <w:rsid w:val="006F18AA"/>
    <w:rsid w:val="006F19E0"/>
    <w:rsid w:val="007102EA"/>
    <w:rsid w:val="00727B59"/>
    <w:rsid w:val="007315D3"/>
    <w:rsid w:val="00775517"/>
    <w:rsid w:val="00775BAE"/>
    <w:rsid w:val="007A425C"/>
    <w:rsid w:val="007C6AB7"/>
    <w:rsid w:val="007D59DD"/>
    <w:rsid w:val="008309AE"/>
    <w:rsid w:val="008756EE"/>
    <w:rsid w:val="00886509"/>
    <w:rsid w:val="008949AA"/>
    <w:rsid w:val="008A090C"/>
    <w:rsid w:val="008C2CBC"/>
    <w:rsid w:val="008E06FD"/>
    <w:rsid w:val="00924EB6"/>
    <w:rsid w:val="0093030A"/>
    <w:rsid w:val="009629A0"/>
    <w:rsid w:val="009701E6"/>
    <w:rsid w:val="009762A3"/>
    <w:rsid w:val="00981F5D"/>
    <w:rsid w:val="00986A06"/>
    <w:rsid w:val="009D0B24"/>
    <w:rsid w:val="00A23FA2"/>
    <w:rsid w:val="00A431D7"/>
    <w:rsid w:val="00A47834"/>
    <w:rsid w:val="00A52207"/>
    <w:rsid w:val="00A77DBA"/>
    <w:rsid w:val="00A9603F"/>
    <w:rsid w:val="00A96A00"/>
    <w:rsid w:val="00A97836"/>
    <w:rsid w:val="00AB6A2B"/>
    <w:rsid w:val="00AC2130"/>
    <w:rsid w:val="00AE489C"/>
    <w:rsid w:val="00AE5B9D"/>
    <w:rsid w:val="00B05DA6"/>
    <w:rsid w:val="00B25E56"/>
    <w:rsid w:val="00B37F48"/>
    <w:rsid w:val="00B63E16"/>
    <w:rsid w:val="00B71304"/>
    <w:rsid w:val="00B74125"/>
    <w:rsid w:val="00B86D11"/>
    <w:rsid w:val="00B910EA"/>
    <w:rsid w:val="00B92591"/>
    <w:rsid w:val="00B96900"/>
    <w:rsid w:val="00BB379B"/>
    <w:rsid w:val="00BB424E"/>
    <w:rsid w:val="00BC74A2"/>
    <w:rsid w:val="00BF7BAA"/>
    <w:rsid w:val="00C02FCA"/>
    <w:rsid w:val="00C1678A"/>
    <w:rsid w:val="00C41D88"/>
    <w:rsid w:val="00C639A2"/>
    <w:rsid w:val="00C644CD"/>
    <w:rsid w:val="00C74C96"/>
    <w:rsid w:val="00C77BBB"/>
    <w:rsid w:val="00CA6D56"/>
    <w:rsid w:val="00CA7372"/>
    <w:rsid w:val="00CC614B"/>
    <w:rsid w:val="00CC65CF"/>
    <w:rsid w:val="00CE29A5"/>
    <w:rsid w:val="00CE7AA2"/>
    <w:rsid w:val="00D06748"/>
    <w:rsid w:val="00D33C6B"/>
    <w:rsid w:val="00D80506"/>
    <w:rsid w:val="00DA3FD9"/>
    <w:rsid w:val="00DF75C9"/>
    <w:rsid w:val="00E36D4F"/>
    <w:rsid w:val="00E4047B"/>
    <w:rsid w:val="00E56959"/>
    <w:rsid w:val="00E82C12"/>
    <w:rsid w:val="00ED49F3"/>
    <w:rsid w:val="00EE01A9"/>
    <w:rsid w:val="00EF5C17"/>
    <w:rsid w:val="00F259C8"/>
    <w:rsid w:val="00F26B66"/>
    <w:rsid w:val="00F440B0"/>
    <w:rsid w:val="00F526EF"/>
    <w:rsid w:val="00F719D7"/>
    <w:rsid w:val="00F72A4E"/>
    <w:rsid w:val="00F965E6"/>
    <w:rsid w:val="00FA3C0E"/>
    <w:rsid w:val="00FB2D01"/>
    <w:rsid w:val="00FB6FCE"/>
    <w:rsid w:val="00FC079A"/>
    <w:rsid w:val="00FD5801"/>
    <w:rsid w:val="00FE702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0BE56"/>
  <w15:docId w15:val="{CD2193B9-ABEF-4E2A-9201-832592D2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836"/>
  </w:style>
  <w:style w:type="paragraph" w:styleId="Ttulo1">
    <w:name w:val="heading 1"/>
    <w:basedOn w:val="Normal"/>
    <w:next w:val="Normal"/>
    <w:link w:val="Ttulo1Car"/>
    <w:uiPriority w:val="9"/>
    <w:qFormat/>
    <w:rsid w:val="00A960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7836"/>
    <w:rPr>
      <w:color w:val="0563C1" w:themeColor="hyperlink"/>
      <w:u w:val="single"/>
    </w:rPr>
  </w:style>
  <w:style w:type="paragraph" w:styleId="Textonotapie">
    <w:name w:val="footnote text"/>
    <w:basedOn w:val="Normal"/>
    <w:link w:val="TextonotapieCar"/>
    <w:uiPriority w:val="99"/>
    <w:semiHidden/>
    <w:unhideWhenUsed/>
    <w:rsid w:val="00A522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52207"/>
    <w:rPr>
      <w:sz w:val="20"/>
      <w:szCs w:val="20"/>
    </w:rPr>
  </w:style>
  <w:style w:type="character" w:styleId="Refdenotaalpie">
    <w:name w:val="footnote reference"/>
    <w:basedOn w:val="Fuentedeprrafopredeter"/>
    <w:uiPriority w:val="99"/>
    <w:semiHidden/>
    <w:unhideWhenUsed/>
    <w:rsid w:val="00A52207"/>
    <w:rPr>
      <w:vertAlign w:val="superscript"/>
    </w:rPr>
  </w:style>
  <w:style w:type="paragraph" w:styleId="Encabezado">
    <w:name w:val="header"/>
    <w:basedOn w:val="Normal"/>
    <w:link w:val="EncabezadoCar"/>
    <w:uiPriority w:val="99"/>
    <w:unhideWhenUsed/>
    <w:rsid w:val="004D31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1DF"/>
  </w:style>
  <w:style w:type="paragraph" w:styleId="Piedepgina">
    <w:name w:val="footer"/>
    <w:basedOn w:val="Normal"/>
    <w:link w:val="PiedepginaCar"/>
    <w:uiPriority w:val="99"/>
    <w:unhideWhenUsed/>
    <w:rsid w:val="004D31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1DF"/>
  </w:style>
  <w:style w:type="paragraph" w:styleId="Bibliografa">
    <w:name w:val="Bibliography"/>
    <w:basedOn w:val="Normal"/>
    <w:next w:val="Normal"/>
    <w:uiPriority w:val="37"/>
    <w:unhideWhenUsed/>
    <w:rsid w:val="007C6AB7"/>
  </w:style>
  <w:style w:type="paragraph" w:styleId="Textodeglobo">
    <w:name w:val="Balloon Text"/>
    <w:basedOn w:val="Normal"/>
    <w:link w:val="TextodegloboCar"/>
    <w:uiPriority w:val="99"/>
    <w:semiHidden/>
    <w:unhideWhenUsed/>
    <w:rsid w:val="00BC7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74A2"/>
    <w:rPr>
      <w:rFonts w:ascii="Tahoma" w:hAnsi="Tahoma" w:cs="Tahoma"/>
      <w:sz w:val="16"/>
      <w:szCs w:val="16"/>
    </w:rPr>
  </w:style>
  <w:style w:type="character" w:styleId="Refdecomentario">
    <w:name w:val="annotation reference"/>
    <w:basedOn w:val="Fuentedeprrafopredeter"/>
    <w:uiPriority w:val="99"/>
    <w:semiHidden/>
    <w:unhideWhenUsed/>
    <w:rsid w:val="005E4C23"/>
    <w:rPr>
      <w:sz w:val="16"/>
      <w:szCs w:val="16"/>
    </w:rPr>
  </w:style>
  <w:style w:type="paragraph" w:styleId="Textocomentario">
    <w:name w:val="annotation text"/>
    <w:basedOn w:val="Normal"/>
    <w:link w:val="TextocomentarioCar"/>
    <w:uiPriority w:val="99"/>
    <w:semiHidden/>
    <w:unhideWhenUsed/>
    <w:rsid w:val="005E4C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4C23"/>
    <w:rPr>
      <w:sz w:val="20"/>
      <w:szCs w:val="20"/>
    </w:rPr>
  </w:style>
  <w:style w:type="paragraph" w:styleId="Asuntodelcomentario">
    <w:name w:val="annotation subject"/>
    <w:basedOn w:val="Textocomentario"/>
    <w:next w:val="Textocomentario"/>
    <w:link w:val="AsuntodelcomentarioCar"/>
    <w:uiPriority w:val="99"/>
    <w:semiHidden/>
    <w:unhideWhenUsed/>
    <w:rsid w:val="005E4C23"/>
    <w:rPr>
      <w:b/>
      <w:bCs/>
    </w:rPr>
  </w:style>
  <w:style w:type="character" w:customStyle="1" w:styleId="AsuntodelcomentarioCar">
    <w:name w:val="Asunto del comentario Car"/>
    <w:basedOn w:val="TextocomentarioCar"/>
    <w:link w:val="Asuntodelcomentario"/>
    <w:uiPriority w:val="99"/>
    <w:semiHidden/>
    <w:rsid w:val="005E4C23"/>
    <w:rPr>
      <w:b/>
      <w:bCs/>
      <w:sz w:val="20"/>
      <w:szCs w:val="20"/>
    </w:rPr>
  </w:style>
  <w:style w:type="character" w:customStyle="1" w:styleId="Ttulo1Car">
    <w:name w:val="Título 1 Car"/>
    <w:basedOn w:val="Fuentedeprrafopredeter"/>
    <w:link w:val="Ttulo1"/>
    <w:uiPriority w:val="9"/>
    <w:rsid w:val="00A9603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0801">
      <w:bodyDiv w:val="1"/>
      <w:marLeft w:val="0"/>
      <w:marRight w:val="0"/>
      <w:marTop w:val="0"/>
      <w:marBottom w:val="0"/>
      <w:divBdr>
        <w:top w:val="none" w:sz="0" w:space="0" w:color="auto"/>
        <w:left w:val="none" w:sz="0" w:space="0" w:color="auto"/>
        <w:bottom w:val="none" w:sz="0" w:space="0" w:color="auto"/>
        <w:right w:val="none" w:sz="0" w:space="0" w:color="auto"/>
      </w:divBdr>
    </w:div>
    <w:div w:id="72555982">
      <w:bodyDiv w:val="1"/>
      <w:marLeft w:val="0"/>
      <w:marRight w:val="0"/>
      <w:marTop w:val="0"/>
      <w:marBottom w:val="0"/>
      <w:divBdr>
        <w:top w:val="none" w:sz="0" w:space="0" w:color="auto"/>
        <w:left w:val="none" w:sz="0" w:space="0" w:color="auto"/>
        <w:bottom w:val="none" w:sz="0" w:space="0" w:color="auto"/>
        <w:right w:val="none" w:sz="0" w:space="0" w:color="auto"/>
      </w:divBdr>
    </w:div>
    <w:div w:id="96486417">
      <w:bodyDiv w:val="1"/>
      <w:marLeft w:val="0"/>
      <w:marRight w:val="0"/>
      <w:marTop w:val="0"/>
      <w:marBottom w:val="0"/>
      <w:divBdr>
        <w:top w:val="none" w:sz="0" w:space="0" w:color="auto"/>
        <w:left w:val="none" w:sz="0" w:space="0" w:color="auto"/>
        <w:bottom w:val="none" w:sz="0" w:space="0" w:color="auto"/>
        <w:right w:val="none" w:sz="0" w:space="0" w:color="auto"/>
      </w:divBdr>
    </w:div>
    <w:div w:id="151987680">
      <w:bodyDiv w:val="1"/>
      <w:marLeft w:val="0"/>
      <w:marRight w:val="0"/>
      <w:marTop w:val="0"/>
      <w:marBottom w:val="0"/>
      <w:divBdr>
        <w:top w:val="none" w:sz="0" w:space="0" w:color="auto"/>
        <w:left w:val="none" w:sz="0" w:space="0" w:color="auto"/>
        <w:bottom w:val="none" w:sz="0" w:space="0" w:color="auto"/>
        <w:right w:val="none" w:sz="0" w:space="0" w:color="auto"/>
      </w:divBdr>
    </w:div>
    <w:div w:id="207694346">
      <w:bodyDiv w:val="1"/>
      <w:marLeft w:val="0"/>
      <w:marRight w:val="0"/>
      <w:marTop w:val="0"/>
      <w:marBottom w:val="0"/>
      <w:divBdr>
        <w:top w:val="none" w:sz="0" w:space="0" w:color="auto"/>
        <w:left w:val="none" w:sz="0" w:space="0" w:color="auto"/>
        <w:bottom w:val="none" w:sz="0" w:space="0" w:color="auto"/>
        <w:right w:val="none" w:sz="0" w:space="0" w:color="auto"/>
      </w:divBdr>
    </w:div>
    <w:div w:id="255872739">
      <w:bodyDiv w:val="1"/>
      <w:marLeft w:val="0"/>
      <w:marRight w:val="0"/>
      <w:marTop w:val="0"/>
      <w:marBottom w:val="0"/>
      <w:divBdr>
        <w:top w:val="none" w:sz="0" w:space="0" w:color="auto"/>
        <w:left w:val="none" w:sz="0" w:space="0" w:color="auto"/>
        <w:bottom w:val="none" w:sz="0" w:space="0" w:color="auto"/>
        <w:right w:val="none" w:sz="0" w:space="0" w:color="auto"/>
      </w:divBdr>
    </w:div>
    <w:div w:id="276066705">
      <w:bodyDiv w:val="1"/>
      <w:marLeft w:val="0"/>
      <w:marRight w:val="0"/>
      <w:marTop w:val="0"/>
      <w:marBottom w:val="0"/>
      <w:divBdr>
        <w:top w:val="none" w:sz="0" w:space="0" w:color="auto"/>
        <w:left w:val="none" w:sz="0" w:space="0" w:color="auto"/>
        <w:bottom w:val="none" w:sz="0" w:space="0" w:color="auto"/>
        <w:right w:val="none" w:sz="0" w:space="0" w:color="auto"/>
      </w:divBdr>
    </w:div>
    <w:div w:id="326254763">
      <w:bodyDiv w:val="1"/>
      <w:marLeft w:val="0"/>
      <w:marRight w:val="0"/>
      <w:marTop w:val="0"/>
      <w:marBottom w:val="0"/>
      <w:divBdr>
        <w:top w:val="none" w:sz="0" w:space="0" w:color="auto"/>
        <w:left w:val="none" w:sz="0" w:space="0" w:color="auto"/>
        <w:bottom w:val="none" w:sz="0" w:space="0" w:color="auto"/>
        <w:right w:val="none" w:sz="0" w:space="0" w:color="auto"/>
      </w:divBdr>
    </w:div>
    <w:div w:id="326327429">
      <w:bodyDiv w:val="1"/>
      <w:marLeft w:val="0"/>
      <w:marRight w:val="0"/>
      <w:marTop w:val="0"/>
      <w:marBottom w:val="0"/>
      <w:divBdr>
        <w:top w:val="none" w:sz="0" w:space="0" w:color="auto"/>
        <w:left w:val="none" w:sz="0" w:space="0" w:color="auto"/>
        <w:bottom w:val="none" w:sz="0" w:space="0" w:color="auto"/>
        <w:right w:val="none" w:sz="0" w:space="0" w:color="auto"/>
      </w:divBdr>
    </w:div>
    <w:div w:id="354114808">
      <w:bodyDiv w:val="1"/>
      <w:marLeft w:val="0"/>
      <w:marRight w:val="0"/>
      <w:marTop w:val="0"/>
      <w:marBottom w:val="0"/>
      <w:divBdr>
        <w:top w:val="none" w:sz="0" w:space="0" w:color="auto"/>
        <w:left w:val="none" w:sz="0" w:space="0" w:color="auto"/>
        <w:bottom w:val="none" w:sz="0" w:space="0" w:color="auto"/>
        <w:right w:val="none" w:sz="0" w:space="0" w:color="auto"/>
      </w:divBdr>
    </w:div>
    <w:div w:id="382293370">
      <w:bodyDiv w:val="1"/>
      <w:marLeft w:val="0"/>
      <w:marRight w:val="0"/>
      <w:marTop w:val="0"/>
      <w:marBottom w:val="0"/>
      <w:divBdr>
        <w:top w:val="none" w:sz="0" w:space="0" w:color="auto"/>
        <w:left w:val="none" w:sz="0" w:space="0" w:color="auto"/>
        <w:bottom w:val="none" w:sz="0" w:space="0" w:color="auto"/>
        <w:right w:val="none" w:sz="0" w:space="0" w:color="auto"/>
      </w:divBdr>
    </w:div>
    <w:div w:id="414133395">
      <w:bodyDiv w:val="1"/>
      <w:marLeft w:val="0"/>
      <w:marRight w:val="0"/>
      <w:marTop w:val="0"/>
      <w:marBottom w:val="0"/>
      <w:divBdr>
        <w:top w:val="none" w:sz="0" w:space="0" w:color="auto"/>
        <w:left w:val="none" w:sz="0" w:space="0" w:color="auto"/>
        <w:bottom w:val="none" w:sz="0" w:space="0" w:color="auto"/>
        <w:right w:val="none" w:sz="0" w:space="0" w:color="auto"/>
      </w:divBdr>
    </w:div>
    <w:div w:id="529689857">
      <w:bodyDiv w:val="1"/>
      <w:marLeft w:val="0"/>
      <w:marRight w:val="0"/>
      <w:marTop w:val="0"/>
      <w:marBottom w:val="0"/>
      <w:divBdr>
        <w:top w:val="none" w:sz="0" w:space="0" w:color="auto"/>
        <w:left w:val="none" w:sz="0" w:space="0" w:color="auto"/>
        <w:bottom w:val="none" w:sz="0" w:space="0" w:color="auto"/>
        <w:right w:val="none" w:sz="0" w:space="0" w:color="auto"/>
      </w:divBdr>
    </w:div>
    <w:div w:id="677075819">
      <w:bodyDiv w:val="1"/>
      <w:marLeft w:val="0"/>
      <w:marRight w:val="0"/>
      <w:marTop w:val="0"/>
      <w:marBottom w:val="0"/>
      <w:divBdr>
        <w:top w:val="none" w:sz="0" w:space="0" w:color="auto"/>
        <w:left w:val="none" w:sz="0" w:space="0" w:color="auto"/>
        <w:bottom w:val="none" w:sz="0" w:space="0" w:color="auto"/>
        <w:right w:val="none" w:sz="0" w:space="0" w:color="auto"/>
      </w:divBdr>
    </w:div>
    <w:div w:id="810168444">
      <w:bodyDiv w:val="1"/>
      <w:marLeft w:val="0"/>
      <w:marRight w:val="0"/>
      <w:marTop w:val="0"/>
      <w:marBottom w:val="0"/>
      <w:divBdr>
        <w:top w:val="none" w:sz="0" w:space="0" w:color="auto"/>
        <w:left w:val="none" w:sz="0" w:space="0" w:color="auto"/>
        <w:bottom w:val="none" w:sz="0" w:space="0" w:color="auto"/>
        <w:right w:val="none" w:sz="0" w:space="0" w:color="auto"/>
      </w:divBdr>
    </w:div>
    <w:div w:id="857427350">
      <w:bodyDiv w:val="1"/>
      <w:marLeft w:val="0"/>
      <w:marRight w:val="0"/>
      <w:marTop w:val="0"/>
      <w:marBottom w:val="0"/>
      <w:divBdr>
        <w:top w:val="none" w:sz="0" w:space="0" w:color="auto"/>
        <w:left w:val="none" w:sz="0" w:space="0" w:color="auto"/>
        <w:bottom w:val="none" w:sz="0" w:space="0" w:color="auto"/>
        <w:right w:val="none" w:sz="0" w:space="0" w:color="auto"/>
      </w:divBdr>
    </w:div>
    <w:div w:id="865602609">
      <w:bodyDiv w:val="1"/>
      <w:marLeft w:val="0"/>
      <w:marRight w:val="0"/>
      <w:marTop w:val="0"/>
      <w:marBottom w:val="0"/>
      <w:divBdr>
        <w:top w:val="none" w:sz="0" w:space="0" w:color="auto"/>
        <w:left w:val="none" w:sz="0" w:space="0" w:color="auto"/>
        <w:bottom w:val="none" w:sz="0" w:space="0" w:color="auto"/>
        <w:right w:val="none" w:sz="0" w:space="0" w:color="auto"/>
      </w:divBdr>
    </w:div>
    <w:div w:id="967660669">
      <w:bodyDiv w:val="1"/>
      <w:marLeft w:val="0"/>
      <w:marRight w:val="0"/>
      <w:marTop w:val="0"/>
      <w:marBottom w:val="0"/>
      <w:divBdr>
        <w:top w:val="none" w:sz="0" w:space="0" w:color="auto"/>
        <w:left w:val="none" w:sz="0" w:space="0" w:color="auto"/>
        <w:bottom w:val="none" w:sz="0" w:space="0" w:color="auto"/>
        <w:right w:val="none" w:sz="0" w:space="0" w:color="auto"/>
      </w:divBdr>
    </w:div>
    <w:div w:id="1055355996">
      <w:bodyDiv w:val="1"/>
      <w:marLeft w:val="0"/>
      <w:marRight w:val="0"/>
      <w:marTop w:val="0"/>
      <w:marBottom w:val="0"/>
      <w:divBdr>
        <w:top w:val="none" w:sz="0" w:space="0" w:color="auto"/>
        <w:left w:val="none" w:sz="0" w:space="0" w:color="auto"/>
        <w:bottom w:val="none" w:sz="0" w:space="0" w:color="auto"/>
        <w:right w:val="none" w:sz="0" w:space="0" w:color="auto"/>
      </w:divBdr>
    </w:div>
    <w:div w:id="1235773296">
      <w:bodyDiv w:val="1"/>
      <w:marLeft w:val="0"/>
      <w:marRight w:val="0"/>
      <w:marTop w:val="0"/>
      <w:marBottom w:val="0"/>
      <w:divBdr>
        <w:top w:val="none" w:sz="0" w:space="0" w:color="auto"/>
        <w:left w:val="none" w:sz="0" w:space="0" w:color="auto"/>
        <w:bottom w:val="none" w:sz="0" w:space="0" w:color="auto"/>
        <w:right w:val="none" w:sz="0" w:space="0" w:color="auto"/>
      </w:divBdr>
    </w:div>
    <w:div w:id="1262572357">
      <w:bodyDiv w:val="1"/>
      <w:marLeft w:val="0"/>
      <w:marRight w:val="0"/>
      <w:marTop w:val="0"/>
      <w:marBottom w:val="0"/>
      <w:divBdr>
        <w:top w:val="none" w:sz="0" w:space="0" w:color="auto"/>
        <w:left w:val="none" w:sz="0" w:space="0" w:color="auto"/>
        <w:bottom w:val="none" w:sz="0" w:space="0" w:color="auto"/>
        <w:right w:val="none" w:sz="0" w:space="0" w:color="auto"/>
      </w:divBdr>
    </w:div>
    <w:div w:id="1362439233">
      <w:bodyDiv w:val="1"/>
      <w:marLeft w:val="0"/>
      <w:marRight w:val="0"/>
      <w:marTop w:val="0"/>
      <w:marBottom w:val="0"/>
      <w:divBdr>
        <w:top w:val="none" w:sz="0" w:space="0" w:color="auto"/>
        <w:left w:val="none" w:sz="0" w:space="0" w:color="auto"/>
        <w:bottom w:val="none" w:sz="0" w:space="0" w:color="auto"/>
        <w:right w:val="none" w:sz="0" w:space="0" w:color="auto"/>
      </w:divBdr>
    </w:div>
    <w:div w:id="1404717272">
      <w:bodyDiv w:val="1"/>
      <w:marLeft w:val="0"/>
      <w:marRight w:val="0"/>
      <w:marTop w:val="0"/>
      <w:marBottom w:val="0"/>
      <w:divBdr>
        <w:top w:val="none" w:sz="0" w:space="0" w:color="auto"/>
        <w:left w:val="none" w:sz="0" w:space="0" w:color="auto"/>
        <w:bottom w:val="none" w:sz="0" w:space="0" w:color="auto"/>
        <w:right w:val="none" w:sz="0" w:space="0" w:color="auto"/>
      </w:divBdr>
    </w:div>
    <w:div w:id="1406956820">
      <w:bodyDiv w:val="1"/>
      <w:marLeft w:val="0"/>
      <w:marRight w:val="0"/>
      <w:marTop w:val="0"/>
      <w:marBottom w:val="0"/>
      <w:divBdr>
        <w:top w:val="none" w:sz="0" w:space="0" w:color="auto"/>
        <w:left w:val="none" w:sz="0" w:space="0" w:color="auto"/>
        <w:bottom w:val="none" w:sz="0" w:space="0" w:color="auto"/>
        <w:right w:val="none" w:sz="0" w:space="0" w:color="auto"/>
      </w:divBdr>
    </w:div>
    <w:div w:id="1509102268">
      <w:bodyDiv w:val="1"/>
      <w:marLeft w:val="0"/>
      <w:marRight w:val="0"/>
      <w:marTop w:val="0"/>
      <w:marBottom w:val="0"/>
      <w:divBdr>
        <w:top w:val="none" w:sz="0" w:space="0" w:color="auto"/>
        <w:left w:val="none" w:sz="0" w:space="0" w:color="auto"/>
        <w:bottom w:val="none" w:sz="0" w:space="0" w:color="auto"/>
        <w:right w:val="none" w:sz="0" w:space="0" w:color="auto"/>
      </w:divBdr>
    </w:div>
    <w:div w:id="1543328866">
      <w:bodyDiv w:val="1"/>
      <w:marLeft w:val="0"/>
      <w:marRight w:val="0"/>
      <w:marTop w:val="0"/>
      <w:marBottom w:val="0"/>
      <w:divBdr>
        <w:top w:val="none" w:sz="0" w:space="0" w:color="auto"/>
        <w:left w:val="none" w:sz="0" w:space="0" w:color="auto"/>
        <w:bottom w:val="none" w:sz="0" w:space="0" w:color="auto"/>
        <w:right w:val="none" w:sz="0" w:space="0" w:color="auto"/>
      </w:divBdr>
    </w:div>
    <w:div w:id="1555770746">
      <w:bodyDiv w:val="1"/>
      <w:marLeft w:val="0"/>
      <w:marRight w:val="0"/>
      <w:marTop w:val="0"/>
      <w:marBottom w:val="0"/>
      <w:divBdr>
        <w:top w:val="none" w:sz="0" w:space="0" w:color="auto"/>
        <w:left w:val="none" w:sz="0" w:space="0" w:color="auto"/>
        <w:bottom w:val="none" w:sz="0" w:space="0" w:color="auto"/>
        <w:right w:val="none" w:sz="0" w:space="0" w:color="auto"/>
      </w:divBdr>
    </w:div>
    <w:div w:id="1598710997">
      <w:bodyDiv w:val="1"/>
      <w:marLeft w:val="0"/>
      <w:marRight w:val="0"/>
      <w:marTop w:val="0"/>
      <w:marBottom w:val="0"/>
      <w:divBdr>
        <w:top w:val="none" w:sz="0" w:space="0" w:color="auto"/>
        <w:left w:val="none" w:sz="0" w:space="0" w:color="auto"/>
        <w:bottom w:val="none" w:sz="0" w:space="0" w:color="auto"/>
        <w:right w:val="none" w:sz="0" w:space="0" w:color="auto"/>
      </w:divBdr>
    </w:div>
    <w:div w:id="1615480541">
      <w:bodyDiv w:val="1"/>
      <w:marLeft w:val="0"/>
      <w:marRight w:val="0"/>
      <w:marTop w:val="0"/>
      <w:marBottom w:val="0"/>
      <w:divBdr>
        <w:top w:val="none" w:sz="0" w:space="0" w:color="auto"/>
        <w:left w:val="none" w:sz="0" w:space="0" w:color="auto"/>
        <w:bottom w:val="none" w:sz="0" w:space="0" w:color="auto"/>
        <w:right w:val="none" w:sz="0" w:space="0" w:color="auto"/>
      </w:divBdr>
    </w:div>
    <w:div w:id="1624119931">
      <w:bodyDiv w:val="1"/>
      <w:marLeft w:val="0"/>
      <w:marRight w:val="0"/>
      <w:marTop w:val="0"/>
      <w:marBottom w:val="0"/>
      <w:divBdr>
        <w:top w:val="none" w:sz="0" w:space="0" w:color="auto"/>
        <w:left w:val="none" w:sz="0" w:space="0" w:color="auto"/>
        <w:bottom w:val="none" w:sz="0" w:space="0" w:color="auto"/>
        <w:right w:val="none" w:sz="0" w:space="0" w:color="auto"/>
      </w:divBdr>
    </w:div>
    <w:div w:id="1684892075">
      <w:bodyDiv w:val="1"/>
      <w:marLeft w:val="0"/>
      <w:marRight w:val="0"/>
      <w:marTop w:val="0"/>
      <w:marBottom w:val="0"/>
      <w:divBdr>
        <w:top w:val="none" w:sz="0" w:space="0" w:color="auto"/>
        <w:left w:val="none" w:sz="0" w:space="0" w:color="auto"/>
        <w:bottom w:val="none" w:sz="0" w:space="0" w:color="auto"/>
        <w:right w:val="none" w:sz="0" w:space="0" w:color="auto"/>
      </w:divBdr>
    </w:div>
    <w:div w:id="1726953361">
      <w:bodyDiv w:val="1"/>
      <w:marLeft w:val="0"/>
      <w:marRight w:val="0"/>
      <w:marTop w:val="0"/>
      <w:marBottom w:val="0"/>
      <w:divBdr>
        <w:top w:val="none" w:sz="0" w:space="0" w:color="auto"/>
        <w:left w:val="none" w:sz="0" w:space="0" w:color="auto"/>
        <w:bottom w:val="none" w:sz="0" w:space="0" w:color="auto"/>
        <w:right w:val="none" w:sz="0" w:space="0" w:color="auto"/>
      </w:divBdr>
    </w:div>
    <w:div w:id="1818719036">
      <w:bodyDiv w:val="1"/>
      <w:marLeft w:val="0"/>
      <w:marRight w:val="0"/>
      <w:marTop w:val="0"/>
      <w:marBottom w:val="0"/>
      <w:divBdr>
        <w:top w:val="none" w:sz="0" w:space="0" w:color="auto"/>
        <w:left w:val="none" w:sz="0" w:space="0" w:color="auto"/>
        <w:bottom w:val="none" w:sz="0" w:space="0" w:color="auto"/>
        <w:right w:val="none" w:sz="0" w:space="0" w:color="auto"/>
      </w:divBdr>
    </w:div>
    <w:div w:id="1831562069">
      <w:bodyDiv w:val="1"/>
      <w:marLeft w:val="0"/>
      <w:marRight w:val="0"/>
      <w:marTop w:val="0"/>
      <w:marBottom w:val="0"/>
      <w:divBdr>
        <w:top w:val="none" w:sz="0" w:space="0" w:color="auto"/>
        <w:left w:val="none" w:sz="0" w:space="0" w:color="auto"/>
        <w:bottom w:val="none" w:sz="0" w:space="0" w:color="auto"/>
        <w:right w:val="none" w:sz="0" w:space="0" w:color="auto"/>
      </w:divBdr>
    </w:div>
    <w:div w:id="1919947974">
      <w:bodyDiv w:val="1"/>
      <w:marLeft w:val="0"/>
      <w:marRight w:val="0"/>
      <w:marTop w:val="0"/>
      <w:marBottom w:val="0"/>
      <w:divBdr>
        <w:top w:val="none" w:sz="0" w:space="0" w:color="auto"/>
        <w:left w:val="none" w:sz="0" w:space="0" w:color="auto"/>
        <w:bottom w:val="none" w:sz="0" w:space="0" w:color="auto"/>
        <w:right w:val="none" w:sz="0" w:space="0" w:color="auto"/>
      </w:divBdr>
    </w:div>
    <w:div w:id="1927424503">
      <w:bodyDiv w:val="1"/>
      <w:marLeft w:val="0"/>
      <w:marRight w:val="0"/>
      <w:marTop w:val="0"/>
      <w:marBottom w:val="0"/>
      <w:divBdr>
        <w:top w:val="none" w:sz="0" w:space="0" w:color="auto"/>
        <w:left w:val="none" w:sz="0" w:space="0" w:color="auto"/>
        <w:bottom w:val="none" w:sz="0" w:space="0" w:color="auto"/>
        <w:right w:val="none" w:sz="0" w:space="0" w:color="auto"/>
      </w:divBdr>
    </w:div>
    <w:div w:id="2038003620">
      <w:bodyDiv w:val="1"/>
      <w:marLeft w:val="0"/>
      <w:marRight w:val="0"/>
      <w:marTop w:val="0"/>
      <w:marBottom w:val="0"/>
      <w:divBdr>
        <w:top w:val="none" w:sz="0" w:space="0" w:color="auto"/>
        <w:left w:val="none" w:sz="0" w:space="0" w:color="auto"/>
        <w:bottom w:val="none" w:sz="0" w:space="0" w:color="auto"/>
        <w:right w:val="none" w:sz="0" w:space="0" w:color="auto"/>
      </w:divBdr>
    </w:div>
    <w:div w:id="203988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eraldi@criba.edu.ar"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diagramData" Target="diagrams/data3.xml"/><Relationship Id="rId7" Type="http://schemas.openxmlformats.org/officeDocument/2006/relationships/hyperlink" Target="mailto:laura.langhoff@outlook.com"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Colors" Target="diagrams/colors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hyperlink" Target="mailto:prosell@uns.edu.ar"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5EBDF-A1FD-4032-B9D7-A2F3AE0F4F40}" type="doc">
      <dgm:prSet loTypeId="urn:microsoft.com/office/officeart/2005/8/layout/bProcess4" loCatId="process" qsTypeId="urn:microsoft.com/office/officeart/2005/8/quickstyle/simple3" qsCatId="simple" csTypeId="urn:microsoft.com/office/officeart/2005/8/colors/accent1_2" csCatId="accent1" phldr="1"/>
      <dgm:spPr/>
      <dgm:t>
        <a:bodyPr/>
        <a:lstStyle/>
        <a:p>
          <a:endParaRPr lang="es-ES"/>
        </a:p>
      </dgm:t>
    </dgm:pt>
    <dgm:pt modelId="{5350878E-384E-41F5-86EC-8697632ED65E}">
      <dgm:prSet phldrT="[Texto]"/>
      <dgm:spPr/>
      <dgm:t>
        <a:bodyPr/>
        <a:lstStyle/>
        <a:p>
          <a:r>
            <a:rPr lang="es-ES"/>
            <a:t>Juan Goico (1723)</a:t>
          </a:r>
        </a:p>
      </dgm:t>
    </dgm:pt>
    <dgm:pt modelId="{1F6A3DD2-9F2C-4EDC-9CEF-1A5ECF932ECE}" type="parTrans" cxnId="{A6254FE4-E620-4E3A-B18F-5D0D35CFC1D6}">
      <dgm:prSet/>
      <dgm:spPr/>
      <dgm:t>
        <a:bodyPr/>
        <a:lstStyle/>
        <a:p>
          <a:endParaRPr lang="es-ES"/>
        </a:p>
      </dgm:t>
    </dgm:pt>
    <dgm:pt modelId="{28316331-A9DD-4ED5-835E-F90129D80195}" type="sibTrans" cxnId="{A6254FE4-E620-4E3A-B18F-5D0D35CFC1D6}">
      <dgm:prSet/>
      <dgm:spPr/>
      <dgm:t>
        <a:bodyPr/>
        <a:lstStyle/>
        <a:p>
          <a:endParaRPr lang="es-ES"/>
        </a:p>
      </dgm:t>
    </dgm:pt>
    <dgm:pt modelId="{97794EE4-60ED-4ABE-8E2C-F8622A004E49}">
      <dgm:prSet phldrT="[Texto]"/>
      <dgm:spPr/>
      <dgm:t>
        <a:bodyPr/>
        <a:lstStyle/>
        <a:p>
          <a:r>
            <a:rPr lang="es-ES"/>
            <a:t>Cacique de la Frontera de Mendoza</a:t>
          </a:r>
        </a:p>
      </dgm:t>
    </dgm:pt>
    <dgm:pt modelId="{CC7EB604-BC72-46B0-96DF-C491B2C85BFB}" type="parTrans" cxnId="{A28A0EFC-6381-4F9D-AC6D-C084AE17FD52}">
      <dgm:prSet/>
      <dgm:spPr/>
      <dgm:t>
        <a:bodyPr/>
        <a:lstStyle/>
        <a:p>
          <a:endParaRPr lang="es-ES"/>
        </a:p>
      </dgm:t>
    </dgm:pt>
    <dgm:pt modelId="{C5FEAF3F-63AC-4B98-A2D0-C1A8AC427FDE}" type="sibTrans" cxnId="{A28A0EFC-6381-4F9D-AC6D-C084AE17FD52}">
      <dgm:prSet/>
      <dgm:spPr/>
      <dgm:t>
        <a:bodyPr/>
        <a:lstStyle/>
        <a:p>
          <a:endParaRPr lang="es-ES"/>
        </a:p>
      </dgm:t>
    </dgm:pt>
    <dgm:pt modelId="{AD016F96-31A0-4E00-AA78-39033F683C29}">
      <dgm:prSet phldrT="[Texto]"/>
      <dgm:spPr/>
      <dgm:t>
        <a:bodyPr/>
        <a:lstStyle/>
        <a:p>
          <a:r>
            <a:rPr lang="es-ES"/>
            <a:t>Marcos Goico (1780)</a:t>
          </a:r>
        </a:p>
      </dgm:t>
    </dgm:pt>
    <dgm:pt modelId="{FD0B1C76-DD17-44D2-A579-D079DB324013}" type="parTrans" cxnId="{9EB2417B-A982-4B55-A4CA-112446EF3AC2}">
      <dgm:prSet/>
      <dgm:spPr/>
      <dgm:t>
        <a:bodyPr/>
        <a:lstStyle/>
        <a:p>
          <a:endParaRPr lang="es-ES"/>
        </a:p>
      </dgm:t>
    </dgm:pt>
    <dgm:pt modelId="{B2700946-78E7-48E0-8148-A5B864ADA059}" type="sibTrans" cxnId="{9EB2417B-A982-4B55-A4CA-112446EF3AC2}">
      <dgm:prSet/>
      <dgm:spPr/>
      <dgm:t>
        <a:bodyPr/>
        <a:lstStyle/>
        <a:p>
          <a:endParaRPr lang="es-ES"/>
        </a:p>
      </dgm:t>
    </dgm:pt>
    <dgm:pt modelId="{DB791716-12D9-4823-A72A-34DFCFB79869}">
      <dgm:prSet phldrT="[Texto]"/>
      <dgm:spPr/>
      <dgm:t>
        <a:bodyPr/>
        <a:lstStyle/>
        <a:p>
          <a:r>
            <a:rPr lang="es-ES"/>
            <a:t>Aparece en los 1° pactos de paz entre el gobierno y los indígenas del sur mendocino.</a:t>
          </a:r>
        </a:p>
      </dgm:t>
    </dgm:pt>
    <dgm:pt modelId="{F588EA4E-C94A-49D7-978C-018B2602E849}" type="parTrans" cxnId="{EA01C85B-D9E5-467A-A908-3C5C4438E685}">
      <dgm:prSet/>
      <dgm:spPr/>
      <dgm:t>
        <a:bodyPr/>
        <a:lstStyle/>
        <a:p>
          <a:endParaRPr lang="es-ES"/>
        </a:p>
      </dgm:t>
    </dgm:pt>
    <dgm:pt modelId="{F70769C2-3301-4CE8-8AE6-643C2C8854F8}" type="sibTrans" cxnId="{EA01C85B-D9E5-467A-A908-3C5C4438E685}">
      <dgm:prSet/>
      <dgm:spPr/>
      <dgm:t>
        <a:bodyPr/>
        <a:lstStyle/>
        <a:p>
          <a:endParaRPr lang="es-ES"/>
        </a:p>
      </dgm:t>
    </dgm:pt>
    <dgm:pt modelId="{3DF9E5F7-9AB4-428F-8844-B9A1A5398716}">
      <dgm:prSet phldrT="[Texto]"/>
      <dgm:spPr/>
      <dgm:t>
        <a:bodyPr/>
        <a:lstStyle/>
        <a:p>
          <a:r>
            <a:rPr lang="es-ES"/>
            <a:t>Pascual Goico (1790)</a:t>
          </a:r>
        </a:p>
      </dgm:t>
    </dgm:pt>
    <dgm:pt modelId="{BF04BC2C-318D-436E-B351-1C7CC3597B95}" type="parTrans" cxnId="{B9E2D571-B3C4-4B29-B30A-B078C6CF5909}">
      <dgm:prSet/>
      <dgm:spPr/>
      <dgm:t>
        <a:bodyPr/>
        <a:lstStyle/>
        <a:p>
          <a:endParaRPr lang="es-ES"/>
        </a:p>
      </dgm:t>
    </dgm:pt>
    <dgm:pt modelId="{03FAF1F2-E3C3-4FF1-89C0-2C545C040523}" type="sibTrans" cxnId="{B9E2D571-B3C4-4B29-B30A-B078C6CF5909}">
      <dgm:prSet/>
      <dgm:spPr/>
      <dgm:t>
        <a:bodyPr/>
        <a:lstStyle/>
        <a:p>
          <a:endParaRPr lang="es-ES"/>
        </a:p>
      </dgm:t>
    </dgm:pt>
    <dgm:pt modelId="{4A607D32-283C-4145-AFA4-07C0F67FD692}">
      <dgm:prSet phldrT="[Texto]"/>
      <dgm:spPr/>
      <dgm:t>
        <a:bodyPr/>
        <a:lstStyle/>
        <a:p>
          <a:r>
            <a:rPr lang="es-ES"/>
            <a:t>Autoridades de San Luis dan cuenta de su presencia y buen trato con ellos.</a:t>
          </a:r>
        </a:p>
      </dgm:t>
    </dgm:pt>
    <dgm:pt modelId="{5F2631F5-87B4-4E6D-B0D6-68F19412BFC6}" type="parTrans" cxnId="{37D83AD2-EB22-4285-B773-F0DC56C621F2}">
      <dgm:prSet/>
      <dgm:spPr/>
      <dgm:t>
        <a:bodyPr/>
        <a:lstStyle/>
        <a:p>
          <a:endParaRPr lang="es-ES"/>
        </a:p>
      </dgm:t>
    </dgm:pt>
    <dgm:pt modelId="{82376D37-BB1C-40B7-9F99-0E70598E8BE8}" type="sibTrans" cxnId="{37D83AD2-EB22-4285-B773-F0DC56C621F2}">
      <dgm:prSet/>
      <dgm:spPr/>
      <dgm:t>
        <a:bodyPr/>
        <a:lstStyle/>
        <a:p>
          <a:endParaRPr lang="es-ES"/>
        </a:p>
      </dgm:t>
    </dgm:pt>
    <dgm:pt modelId="{B4EAE593-96CB-487B-A963-E3D78876E76D}">
      <dgm:prSet phldrT="[Texto]"/>
      <dgm:spPr/>
      <dgm:t>
        <a:bodyPr/>
        <a:lstStyle/>
        <a:p>
          <a:endParaRPr lang="es-ES"/>
        </a:p>
      </dgm:t>
    </dgm:pt>
    <dgm:pt modelId="{DD117D78-BB87-4DDD-AD0D-4B302943DE46}" type="parTrans" cxnId="{B4164E2A-4FD0-4A7D-811D-2023D47290A4}">
      <dgm:prSet/>
      <dgm:spPr/>
      <dgm:t>
        <a:bodyPr/>
        <a:lstStyle/>
        <a:p>
          <a:endParaRPr lang="es-ES"/>
        </a:p>
      </dgm:t>
    </dgm:pt>
    <dgm:pt modelId="{1EEF809E-A024-4D8D-92BE-65F04EA12127}" type="sibTrans" cxnId="{B4164E2A-4FD0-4A7D-811D-2023D47290A4}">
      <dgm:prSet/>
      <dgm:spPr/>
      <dgm:t>
        <a:bodyPr/>
        <a:lstStyle/>
        <a:p>
          <a:endParaRPr lang="es-ES"/>
        </a:p>
      </dgm:t>
    </dgm:pt>
    <dgm:pt modelId="{6E01958F-A848-49A7-BAE0-D8EAE4D08393}">
      <dgm:prSet/>
      <dgm:spPr/>
      <dgm:t>
        <a:bodyPr/>
        <a:lstStyle/>
        <a:p>
          <a:r>
            <a:rPr lang="es-ES"/>
            <a:t>Gaspar Goico (1797)</a:t>
          </a:r>
        </a:p>
        <a:p>
          <a:endParaRPr lang="es-ES"/>
        </a:p>
      </dgm:t>
    </dgm:pt>
    <dgm:pt modelId="{52C774F5-DBDA-4E55-98C5-C7F20FAD229A}" type="parTrans" cxnId="{2AA2C302-8D70-4D97-A2E8-FADAD2F77429}">
      <dgm:prSet/>
      <dgm:spPr/>
      <dgm:t>
        <a:bodyPr/>
        <a:lstStyle/>
        <a:p>
          <a:endParaRPr lang="es-ES"/>
        </a:p>
      </dgm:t>
    </dgm:pt>
    <dgm:pt modelId="{8121AFC6-5010-41F1-9BA9-40669F634627}" type="sibTrans" cxnId="{2AA2C302-8D70-4D97-A2E8-FADAD2F77429}">
      <dgm:prSet/>
      <dgm:spPr/>
      <dgm:t>
        <a:bodyPr/>
        <a:lstStyle/>
        <a:p>
          <a:endParaRPr lang="es-ES"/>
        </a:p>
      </dgm:t>
    </dgm:pt>
    <dgm:pt modelId="{5549E295-F3B2-464A-B2A5-A68C0C31D0A5}">
      <dgm:prSet/>
      <dgm:spPr/>
      <dgm:t>
        <a:bodyPr/>
        <a:lstStyle/>
        <a:p>
          <a:r>
            <a:rPr lang="es-ES"/>
            <a:t>Capitanejo, en Villa y Fuerte de San Carlos.</a:t>
          </a:r>
        </a:p>
      </dgm:t>
    </dgm:pt>
    <dgm:pt modelId="{2A68F321-2F5E-4646-A332-DA68C9EE1AF1}" type="parTrans" cxnId="{A0FEC0BD-BF0C-4635-B761-F1ACEC03ECAD}">
      <dgm:prSet/>
      <dgm:spPr/>
      <dgm:t>
        <a:bodyPr/>
        <a:lstStyle/>
        <a:p>
          <a:endParaRPr lang="es-ES"/>
        </a:p>
      </dgm:t>
    </dgm:pt>
    <dgm:pt modelId="{304EDAE5-4D1B-4FAD-9B3D-B482CB887E1C}" type="sibTrans" cxnId="{A0FEC0BD-BF0C-4635-B761-F1ACEC03ECAD}">
      <dgm:prSet/>
      <dgm:spPr/>
      <dgm:t>
        <a:bodyPr/>
        <a:lstStyle/>
        <a:p>
          <a:endParaRPr lang="es-ES"/>
        </a:p>
      </dgm:t>
    </dgm:pt>
    <dgm:pt modelId="{735EB327-EBE4-4087-BED0-C95F1F137E70}">
      <dgm:prSet/>
      <dgm:spPr/>
      <dgm:t>
        <a:bodyPr/>
        <a:lstStyle/>
        <a:p>
          <a:r>
            <a:rPr lang="es-ES"/>
            <a:t>Jose Goico (1804)</a:t>
          </a:r>
        </a:p>
        <a:p>
          <a:endParaRPr lang="es-ES"/>
        </a:p>
      </dgm:t>
    </dgm:pt>
    <dgm:pt modelId="{7E603BBD-24B9-4E1E-8869-3F65C4A3FE6E}" type="parTrans" cxnId="{397862EB-82E8-46FF-8219-D438891D02AF}">
      <dgm:prSet/>
      <dgm:spPr/>
      <dgm:t>
        <a:bodyPr/>
        <a:lstStyle/>
        <a:p>
          <a:endParaRPr lang="es-ES"/>
        </a:p>
      </dgm:t>
    </dgm:pt>
    <dgm:pt modelId="{DF344AFE-D327-48AD-9C9F-024EC981DCB2}" type="sibTrans" cxnId="{397862EB-82E8-46FF-8219-D438891D02AF}">
      <dgm:prSet/>
      <dgm:spPr/>
      <dgm:t>
        <a:bodyPr/>
        <a:lstStyle/>
        <a:p>
          <a:endParaRPr lang="es-ES"/>
        </a:p>
      </dgm:t>
    </dgm:pt>
    <dgm:pt modelId="{0D82D247-162C-4336-A673-199A5A81DE75}">
      <dgm:prSet/>
      <dgm:spPr/>
      <dgm:t>
        <a:bodyPr/>
        <a:lstStyle/>
        <a:p>
          <a:r>
            <a:rPr lang="es-ES"/>
            <a:t>Cacique.</a:t>
          </a:r>
        </a:p>
      </dgm:t>
    </dgm:pt>
    <dgm:pt modelId="{B6256EC5-DB74-49BC-8252-E61091ADEC13}" type="parTrans" cxnId="{1F7995FF-65C2-420A-A4B2-2FDD81248C8F}">
      <dgm:prSet/>
      <dgm:spPr/>
      <dgm:t>
        <a:bodyPr/>
        <a:lstStyle/>
        <a:p>
          <a:endParaRPr lang="es-ES"/>
        </a:p>
      </dgm:t>
    </dgm:pt>
    <dgm:pt modelId="{A6698EAE-368B-4659-ADCC-AB9DE68FD8D3}" type="sibTrans" cxnId="{1F7995FF-65C2-420A-A4B2-2FDD81248C8F}">
      <dgm:prSet/>
      <dgm:spPr/>
      <dgm:t>
        <a:bodyPr/>
        <a:lstStyle/>
        <a:p>
          <a:endParaRPr lang="es-ES"/>
        </a:p>
      </dgm:t>
    </dgm:pt>
    <dgm:pt modelId="{9BA6CE7A-F5C7-4BB6-B745-B251AC2EB2CE}">
      <dgm:prSet/>
      <dgm:spPr/>
      <dgm:t>
        <a:bodyPr/>
        <a:lstStyle/>
        <a:p>
          <a:r>
            <a:rPr lang="es-ES"/>
            <a:t>Vicente Goico (1822)</a:t>
          </a:r>
        </a:p>
        <a:p>
          <a:endParaRPr lang="es-ES"/>
        </a:p>
      </dgm:t>
    </dgm:pt>
    <dgm:pt modelId="{00B964DE-B297-4E66-9461-C326DF8905F3}" type="parTrans" cxnId="{23FF7563-BC88-455A-8619-E505D41BD644}">
      <dgm:prSet/>
      <dgm:spPr/>
      <dgm:t>
        <a:bodyPr/>
        <a:lstStyle/>
        <a:p>
          <a:endParaRPr lang="es-ES"/>
        </a:p>
      </dgm:t>
    </dgm:pt>
    <dgm:pt modelId="{B6848E04-15F2-4B13-BA44-58C2F20469CD}" type="sibTrans" cxnId="{23FF7563-BC88-455A-8619-E505D41BD644}">
      <dgm:prSet/>
      <dgm:spPr/>
      <dgm:t>
        <a:bodyPr/>
        <a:lstStyle/>
        <a:p>
          <a:endParaRPr lang="es-ES"/>
        </a:p>
      </dgm:t>
    </dgm:pt>
    <dgm:pt modelId="{6371B8DE-B530-4796-8367-5A358973991B}">
      <dgm:prSet/>
      <dgm:spPr/>
      <dgm:t>
        <a:bodyPr/>
        <a:lstStyle/>
        <a:p>
          <a:r>
            <a:rPr lang="es-ES"/>
            <a:t>Hereda el cacicazgo de su padre Marcos. Fortalece las relaciones con los criollos</a:t>
          </a:r>
        </a:p>
      </dgm:t>
    </dgm:pt>
    <dgm:pt modelId="{CC122065-3C0F-4992-869D-887C19DE0E98}" type="parTrans" cxnId="{40E3007F-83B4-4382-9603-41294BFF52F4}">
      <dgm:prSet/>
      <dgm:spPr/>
      <dgm:t>
        <a:bodyPr/>
        <a:lstStyle/>
        <a:p>
          <a:endParaRPr lang="es-ES"/>
        </a:p>
      </dgm:t>
    </dgm:pt>
    <dgm:pt modelId="{DDB92272-B8D5-45DE-94D8-C23007C2A435}" type="sibTrans" cxnId="{40E3007F-83B4-4382-9603-41294BFF52F4}">
      <dgm:prSet/>
      <dgm:spPr/>
      <dgm:t>
        <a:bodyPr/>
        <a:lstStyle/>
        <a:p>
          <a:endParaRPr lang="es-ES"/>
        </a:p>
      </dgm:t>
    </dgm:pt>
    <dgm:pt modelId="{633B6D1A-72E5-46F9-BC9E-BC8971AAC391}">
      <dgm:prSet/>
      <dgm:spPr/>
      <dgm:t>
        <a:bodyPr/>
        <a:lstStyle/>
        <a:p>
          <a:r>
            <a:rPr lang="es-ES"/>
            <a:t>Juan Goico (1828)</a:t>
          </a:r>
        </a:p>
        <a:p>
          <a:endParaRPr lang="es-ES"/>
        </a:p>
      </dgm:t>
    </dgm:pt>
    <dgm:pt modelId="{2AE3D8C6-9912-4345-8DE4-9FBAF3D757EA}" type="parTrans" cxnId="{65CB5ABE-32B8-42DA-9984-66B1EBD39CFE}">
      <dgm:prSet/>
      <dgm:spPr/>
      <dgm:t>
        <a:bodyPr/>
        <a:lstStyle/>
        <a:p>
          <a:endParaRPr lang="es-ES"/>
        </a:p>
      </dgm:t>
    </dgm:pt>
    <dgm:pt modelId="{F5F94E47-7E89-4299-AC27-711072660936}" type="sibTrans" cxnId="{65CB5ABE-32B8-42DA-9984-66B1EBD39CFE}">
      <dgm:prSet/>
      <dgm:spPr/>
      <dgm:t>
        <a:bodyPr/>
        <a:lstStyle/>
        <a:p>
          <a:endParaRPr lang="es-ES"/>
        </a:p>
      </dgm:t>
    </dgm:pt>
    <dgm:pt modelId="{1DC39309-283F-4DF6-8CBD-F192C58A9822}">
      <dgm:prSet/>
      <dgm:spPr/>
      <dgm:t>
        <a:bodyPr/>
        <a:lstStyle/>
        <a:p>
          <a:r>
            <a:rPr lang="es-ES"/>
            <a:t>Cacique que integra las fuerzas del Gral. Aldao en 1833.</a:t>
          </a:r>
        </a:p>
      </dgm:t>
    </dgm:pt>
    <dgm:pt modelId="{A3751258-AF89-410C-893B-225A55FFD13A}" type="parTrans" cxnId="{E232FFD8-19E1-4556-8C27-15E8A05F7487}">
      <dgm:prSet/>
      <dgm:spPr/>
      <dgm:t>
        <a:bodyPr/>
        <a:lstStyle/>
        <a:p>
          <a:endParaRPr lang="es-ES"/>
        </a:p>
      </dgm:t>
    </dgm:pt>
    <dgm:pt modelId="{8C771453-88E0-4B2B-8FAF-845A0E7B90B6}" type="sibTrans" cxnId="{E232FFD8-19E1-4556-8C27-15E8A05F7487}">
      <dgm:prSet/>
      <dgm:spPr/>
      <dgm:t>
        <a:bodyPr/>
        <a:lstStyle/>
        <a:p>
          <a:endParaRPr lang="es-ES"/>
        </a:p>
      </dgm:t>
    </dgm:pt>
    <dgm:pt modelId="{79075DE5-3EE0-4C52-8A44-5B386E59EC14}">
      <dgm:prSet/>
      <dgm:spPr/>
      <dgm:t>
        <a:bodyPr/>
        <a:lstStyle/>
        <a:p>
          <a:r>
            <a:rPr lang="es-ES"/>
            <a:t>Jose Goico</a:t>
          </a:r>
        </a:p>
        <a:p>
          <a:endParaRPr lang="es-ES"/>
        </a:p>
      </dgm:t>
    </dgm:pt>
    <dgm:pt modelId="{83B7D406-2561-477A-B568-D5ACADC08FD1}" type="parTrans" cxnId="{A4EB94DF-CDAB-4AA0-B944-297EE5DC083F}">
      <dgm:prSet/>
      <dgm:spPr/>
      <dgm:t>
        <a:bodyPr/>
        <a:lstStyle/>
        <a:p>
          <a:endParaRPr lang="es-ES"/>
        </a:p>
      </dgm:t>
    </dgm:pt>
    <dgm:pt modelId="{E44FDF7F-65AA-4E50-A0B8-A3B596893EFE}" type="sibTrans" cxnId="{A4EB94DF-CDAB-4AA0-B944-297EE5DC083F}">
      <dgm:prSet/>
      <dgm:spPr/>
      <dgm:t>
        <a:bodyPr/>
        <a:lstStyle/>
        <a:p>
          <a:endParaRPr lang="es-ES"/>
        </a:p>
      </dgm:t>
    </dgm:pt>
    <dgm:pt modelId="{864C5337-4FD6-4452-BD85-BA6ACAA6AA2B}">
      <dgm:prSet/>
      <dgm:spPr/>
      <dgm:t>
        <a:bodyPr/>
        <a:lstStyle/>
        <a:p>
          <a:r>
            <a:rPr lang="es-ES"/>
            <a:t>Último de los descendientes.</a:t>
          </a:r>
        </a:p>
      </dgm:t>
    </dgm:pt>
    <dgm:pt modelId="{74900B15-22A4-498E-90CF-1AE5B69246B9}" type="parTrans" cxnId="{ED5751CA-523A-4DFD-B0CE-040BCAA62992}">
      <dgm:prSet/>
      <dgm:spPr/>
      <dgm:t>
        <a:bodyPr/>
        <a:lstStyle/>
        <a:p>
          <a:endParaRPr lang="es-ES"/>
        </a:p>
      </dgm:t>
    </dgm:pt>
    <dgm:pt modelId="{B05B0CC1-41D4-4678-9B0D-BEACD4710B66}" type="sibTrans" cxnId="{ED5751CA-523A-4DFD-B0CE-040BCAA62992}">
      <dgm:prSet/>
      <dgm:spPr/>
      <dgm:t>
        <a:bodyPr/>
        <a:lstStyle/>
        <a:p>
          <a:endParaRPr lang="es-ES"/>
        </a:p>
      </dgm:t>
    </dgm:pt>
    <dgm:pt modelId="{3161B2B2-8A74-44EA-A016-8F9E99229BE3}" type="pres">
      <dgm:prSet presAssocID="{5F55EBDF-A1FD-4032-B9D7-A2F3AE0F4F40}" presName="Name0" presStyleCnt="0">
        <dgm:presLayoutVars>
          <dgm:dir/>
          <dgm:resizeHandles/>
        </dgm:presLayoutVars>
      </dgm:prSet>
      <dgm:spPr/>
      <dgm:t>
        <a:bodyPr/>
        <a:lstStyle/>
        <a:p>
          <a:endParaRPr lang="es-ES"/>
        </a:p>
      </dgm:t>
    </dgm:pt>
    <dgm:pt modelId="{CFCC391B-2140-44B2-B812-10AD95530DF4}" type="pres">
      <dgm:prSet presAssocID="{5350878E-384E-41F5-86EC-8697632ED65E}" presName="compNode" presStyleCnt="0"/>
      <dgm:spPr/>
    </dgm:pt>
    <dgm:pt modelId="{7BCC561D-2B5C-460C-9DB6-CD86DD53A051}" type="pres">
      <dgm:prSet presAssocID="{5350878E-384E-41F5-86EC-8697632ED65E}" presName="dummyConnPt" presStyleCnt="0"/>
      <dgm:spPr/>
    </dgm:pt>
    <dgm:pt modelId="{60FF5892-1B1A-40BA-B238-7AC58CDB9764}" type="pres">
      <dgm:prSet presAssocID="{5350878E-384E-41F5-86EC-8697632ED65E}" presName="node" presStyleLbl="node1" presStyleIdx="0" presStyleCnt="8">
        <dgm:presLayoutVars>
          <dgm:bulletEnabled val="1"/>
        </dgm:presLayoutVars>
      </dgm:prSet>
      <dgm:spPr/>
      <dgm:t>
        <a:bodyPr/>
        <a:lstStyle/>
        <a:p>
          <a:endParaRPr lang="es-ES"/>
        </a:p>
      </dgm:t>
    </dgm:pt>
    <dgm:pt modelId="{955F26F9-8A37-4ED3-8F01-26394DDA4F8B}" type="pres">
      <dgm:prSet presAssocID="{28316331-A9DD-4ED5-835E-F90129D80195}" presName="sibTrans" presStyleLbl="bgSibTrans2D1" presStyleIdx="0" presStyleCnt="7"/>
      <dgm:spPr/>
      <dgm:t>
        <a:bodyPr/>
        <a:lstStyle/>
        <a:p>
          <a:endParaRPr lang="es-ES"/>
        </a:p>
      </dgm:t>
    </dgm:pt>
    <dgm:pt modelId="{C474CB8B-9A6A-4E8B-81BE-C8438EB867FB}" type="pres">
      <dgm:prSet presAssocID="{AD016F96-31A0-4E00-AA78-39033F683C29}" presName="compNode" presStyleCnt="0"/>
      <dgm:spPr/>
    </dgm:pt>
    <dgm:pt modelId="{39141856-8E88-4B88-AE04-C2B8F5AAEBE7}" type="pres">
      <dgm:prSet presAssocID="{AD016F96-31A0-4E00-AA78-39033F683C29}" presName="dummyConnPt" presStyleCnt="0"/>
      <dgm:spPr/>
    </dgm:pt>
    <dgm:pt modelId="{E7E3E07B-83F2-4C04-80F1-081B9B20EFEC}" type="pres">
      <dgm:prSet presAssocID="{AD016F96-31A0-4E00-AA78-39033F683C29}" presName="node" presStyleLbl="node1" presStyleIdx="1" presStyleCnt="8">
        <dgm:presLayoutVars>
          <dgm:bulletEnabled val="1"/>
        </dgm:presLayoutVars>
      </dgm:prSet>
      <dgm:spPr/>
      <dgm:t>
        <a:bodyPr/>
        <a:lstStyle/>
        <a:p>
          <a:endParaRPr lang="es-ES"/>
        </a:p>
      </dgm:t>
    </dgm:pt>
    <dgm:pt modelId="{023F6149-85B1-4554-838D-FC9076430CD3}" type="pres">
      <dgm:prSet presAssocID="{B2700946-78E7-48E0-8148-A5B864ADA059}" presName="sibTrans" presStyleLbl="bgSibTrans2D1" presStyleIdx="1" presStyleCnt="7"/>
      <dgm:spPr/>
      <dgm:t>
        <a:bodyPr/>
        <a:lstStyle/>
        <a:p>
          <a:endParaRPr lang="es-ES"/>
        </a:p>
      </dgm:t>
    </dgm:pt>
    <dgm:pt modelId="{CF2DFF66-75FF-4F7F-ABE6-3E295A69775C}" type="pres">
      <dgm:prSet presAssocID="{3DF9E5F7-9AB4-428F-8844-B9A1A5398716}" presName="compNode" presStyleCnt="0"/>
      <dgm:spPr/>
    </dgm:pt>
    <dgm:pt modelId="{CAC51540-74C4-41FA-93F5-055BEB1B9F49}" type="pres">
      <dgm:prSet presAssocID="{3DF9E5F7-9AB4-428F-8844-B9A1A5398716}" presName="dummyConnPt" presStyleCnt="0"/>
      <dgm:spPr/>
    </dgm:pt>
    <dgm:pt modelId="{27882D0C-BAE0-440B-AD2D-7AAEC080402D}" type="pres">
      <dgm:prSet presAssocID="{3DF9E5F7-9AB4-428F-8844-B9A1A5398716}" presName="node" presStyleLbl="node1" presStyleIdx="2" presStyleCnt="8">
        <dgm:presLayoutVars>
          <dgm:bulletEnabled val="1"/>
        </dgm:presLayoutVars>
      </dgm:prSet>
      <dgm:spPr/>
      <dgm:t>
        <a:bodyPr/>
        <a:lstStyle/>
        <a:p>
          <a:endParaRPr lang="es-ES"/>
        </a:p>
      </dgm:t>
    </dgm:pt>
    <dgm:pt modelId="{BD31CE89-DCD7-411E-98D7-99C4A6DBFF1B}" type="pres">
      <dgm:prSet presAssocID="{03FAF1F2-E3C3-4FF1-89C0-2C545C040523}" presName="sibTrans" presStyleLbl="bgSibTrans2D1" presStyleIdx="2" presStyleCnt="7"/>
      <dgm:spPr/>
      <dgm:t>
        <a:bodyPr/>
        <a:lstStyle/>
        <a:p>
          <a:endParaRPr lang="es-ES"/>
        </a:p>
      </dgm:t>
    </dgm:pt>
    <dgm:pt modelId="{A9BC6D72-7EF5-4D70-A144-965113273A35}" type="pres">
      <dgm:prSet presAssocID="{6E01958F-A848-49A7-BAE0-D8EAE4D08393}" presName="compNode" presStyleCnt="0"/>
      <dgm:spPr/>
    </dgm:pt>
    <dgm:pt modelId="{8AEACFAF-419A-4F62-8B71-F0657864759B}" type="pres">
      <dgm:prSet presAssocID="{6E01958F-A848-49A7-BAE0-D8EAE4D08393}" presName="dummyConnPt" presStyleCnt="0"/>
      <dgm:spPr/>
    </dgm:pt>
    <dgm:pt modelId="{5616E7DB-02CA-46A8-923F-CACD500F634B}" type="pres">
      <dgm:prSet presAssocID="{6E01958F-A848-49A7-BAE0-D8EAE4D08393}" presName="node" presStyleLbl="node1" presStyleIdx="3" presStyleCnt="8">
        <dgm:presLayoutVars>
          <dgm:bulletEnabled val="1"/>
        </dgm:presLayoutVars>
      </dgm:prSet>
      <dgm:spPr/>
      <dgm:t>
        <a:bodyPr/>
        <a:lstStyle/>
        <a:p>
          <a:endParaRPr lang="es-ES"/>
        </a:p>
      </dgm:t>
    </dgm:pt>
    <dgm:pt modelId="{4C47C587-5DEC-49DD-8BAE-613654CC8FCC}" type="pres">
      <dgm:prSet presAssocID="{8121AFC6-5010-41F1-9BA9-40669F634627}" presName="sibTrans" presStyleLbl="bgSibTrans2D1" presStyleIdx="3" presStyleCnt="7"/>
      <dgm:spPr/>
      <dgm:t>
        <a:bodyPr/>
        <a:lstStyle/>
        <a:p>
          <a:endParaRPr lang="es-ES"/>
        </a:p>
      </dgm:t>
    </dgm:pt>
    <dgm:pt modelId="{A58F65DD-A295-475F-8251-D5CEDC25F7D5}" type="pres">
      <dgm:prSet presAssocID="{735EB327-EBE4-4087-BED0-C95F1F137E70}" presName="compNode" presStyleCnt="0"/>
      <dgm:spPr/>
    </dgm:pt>
    <dgm:pt modelId="{AB568624-CB2C-42FF-B609-AAF2994095C0}" type="pres">
      <dgm:prSet presAssocID="{735EB327-EBE4-4087-BED0-C95F1F137E70}" presName="dummyConnPt" presStyleCnt="0"/>
      <dgm:spPr/>
    </dgm:pt>
    <dgm:pt modelId="{40351797-B4D3-4C08-AE42-7AC544F0AA96}" type="pres">
      <dgm:prSet presAssocID="{735EB327-EBE4-4087-BED0-C95F1F137E70}" presName="node" presStyleLbl="node1" presStyleIdx="4" presStyleCnt="8">
        <dgm:presLayoutVars>
          <dgm:bulletEnabled val="1"/>
        </dgm:presLayoutVars>
      </dgm:prSet>
      <dgm:spPr/>
      <dgm:t>
        <a:bodyPr/>
        <a:lstStyle/>
        <a:p>
          <a:endParaRPr lang="es-ES"/>
        </a:p>
      </dgm:t>
    </dgm:pt>
    <dgm:pt modelId="{F84ADAAF-EAD5-4CD9-A553-4778855B0F5C}" type="pres">
      <dgm:prSet presAssocID="{DF344AFE-D327-48AD-9C9F-024EC981DCB2}" presName="sibTrans" presStyleLbl="bgSibTrans2D1" presStyleIdx="4" presStyleCnt="7"/>
      <dgm:spPr/>
      <dgm:t>
        <a:bodyPr/>
        <a:lstStyle/>
        <a:p>
          <a:endParaRPr lang="es-ES"/>
        </a:p>
      </dgm:t>
    </dgm:pt>
    <dgm:pt modelId="{A35E4F7A-884D-4F45-849F-3769668DB151}" type="pres">
      <dgm:prSet presAssocID="{9BA6CE7A-F5C7-4BB6-B745-B251AC2EB2CE}" presName="compNode" presStyleCnt="0"/>
      <dgm:spPr/>
    </dgm:pt>
    <dgm:pt modelId="{BFF2A89D-1F41-4E00-9F81-7605278C0324}" type="pres">
      <dgm:prSet presAssocID="{9BA6CE7A-F5C7-4BB6-B745-B251AC2EB2CE}" presName="dummyConnPt" presStyleCnt="0"/>
      <dgm:spPr/>
    </dgm:pt>
    <dgm:pt modelId="{8E777157-0C1C-40C5-9B57-2B30315ADEA6}" type="pres">
      <dgm:prSet presAssocID="{9BA6CE7A-F5C7-4BB6-B745-B251AC2EB2CE}" presName="node" presStyleLbl="node1" presStyleIdx="5" presStyleCnt="8">
        <dgm:presLayoutVars>
          <dgm:bulletEnabled val="1"/>
        </dgm:presLayoutVars>
      </dgm:prSet>
      <dgm:spPr/>
      <dgm:t>
        <a:bodyPr/>
        <a:lstStyle/>
        <a:p>
          <a:endParaRPr lang="es-ES"/>
        </a:p>
      </dgm:t>
    </dgm:pt>
    <dgm:pt modelId="{26541E51-03C6-4AFB-9FAA-6D06B4AF78B0}" type="pres">
      <dgm:prSet presAssocID="{B6848E04-15F2-4B13-BA44-58C2F20469CD}" presName="sibTrans" presStyleLbl="bgSibTrans2D1" presStyleIdx="5" presStyleCnt="7"/>
      <dgm:spPr/>
      <dgm:t>
        <a:bodyPr/>
        <a:lstStyle/>
        <a:p>
          <a:endParaRPr lang="es-ES"/>
        </a:p>
      </dgm:t>
    </dgm:pt>
    <dgm:pt modelId="{03FEFE58-F224-4550-90CD-4C55CC12E857}" type="pres">
      <dgm:prSet presAssocID="{633B6D1A-72E5-46F9-BC9E-BC8971AAC391}" presName="compNode" presStyleCnt="0"/>
      <dgm:spPr/>
    </dgm:pt>
    <dgm:pt modelId="{87556C2A-863F-4E36-B1BE-27EA6F9A0CCD}" type="pres">
      <dgm:prSet presAssocID="{633B6D1A-72E5-46F9-BC9E-BC8971AAC391}" presName="dummyConnPt" presStyleCnt="0"/>
      <dgm:spPr/>
    </dgm:pt>
    <dgm:pt modelId="{DA93B59A-0713-4BFA-ACF5-30B5BDBD5DF1}" type="pres">
      <dgm:prSet presAssocID="{633B6D1A-72E5-46F9-BC9E-BC8971AAC391}" presName="node" presStyleLbl="node1" presStyleIdx="6" presStyleCnt="8">
        <dgm:presLayoutVars>
          <dgm:bulletEnabled val="1"/>
        </dgm:presLayoutVars>
      </dgm:prSet>
      <dgm:spPr/>
      <dgm:t>
        <a:bodyPr/>
        <a:lstStyle/>
        <a:p>
          <a:endParaRPr lang="es-ES"/>
        </a:p>
      </dgm:t>
    </dgm:pt>
    <dgm:pt modelId="{113DADAD-AB96-4C43-BEF2-0D1CE7E7007C}" type="pres">
      <dgm:prSet presAssocID="{F5F94E47-7E89-4299-AC27-711072660936}" presName="sibTrans" presStyleLbl="bgSibTrans2D1" presStyleIdx="6" presStyleCnt="7"/>
      <dgm:spPr/>
      <dgm:t>
        <a:bodyPr/>
        <a:lstStyle/>
        <a:p>
          <a:endParaRPr lang="es-ES"/>
        </a:p>
      </dgm:t>
    </dgm:pt>
    <dgm:pt modelId="{3C2D527A-7BA0-4CD6-8FE4-3C44E93C69E1}" type="pres">
      <dgm:prSet presAssocID="{79075DE5-3EE0-4C52-8A44-5B386E59EC14}" presName="compNode" presStyleCnt="0"/>
      <dgm:spPr/>
    </dgm:pt>
    <dgm:pt modelId="{270E4A80-0E32-4F4E-BEB9-2813FF61D068}" type="pres">
      <dgm:prSet presAssocID="{79075DE5-3EE0-4C52-8A44-5B386E59EC14}" presName="dummyConnPt" presStyleCnt="0"/>
      <dgm:spPr/>
    </dgm:pt>
    <dgm:pt modelId="{47CBD286-1582-45BF-9D6B-4D0720061CDF}" type="pres">
      <dgm:prSet presAssocID="{79075DE5-3EE0-4C52-8A44-5B386E59EC14}" presName="node" presStyleLbl="node1" presStyleIdx="7" presStyleCnt="8">
        <dgm:presLayoutVars>
          <dgm:bulletEnabled val="1"/>
        </dgm:presLayoutVars>
      </dgm:prSet>
      <dgm:spPr/>
      <dgm:t>
        <a:bodyPr/>
        <a:lstStyle/>
        <a:p>
          <a:endParaRPr lang="es-ES"/>
        </a:p>
      </dgm:t>
    </dgm:pt>
  </dgm:ptLst>
  <dgm:cxnLst>
    <dgm:cxn modelId="{21F6E99A-A01A-44E6-BB43-2CF2D1DE6DD4}" type="presOf" srcId="{9BA6CE7A-F5C7-4BB6-B745-B251AC2EB2CE}" destId="{8E777157-0C1C-40C5-9B57-2B30315ADEA6}" srcOrd="0" destOrd="0" presId="urn:microsoft.com/office/officeart/2005/8/layout/bProcess4"/>
    <dgm:cxn modelId="{49AF4CE5-BE85-4115-9214-A6250BB8CB6D}" type="presOf" srcId="{B2700946-78E7-48E0-8148-A5B864ADA059}" destId="{023F6149-85B1-4554-838D-FC9076430CD3}" srcOrd="0" destOrd="0" presId="urn:microsoft.com/office/officeart/2005/8/layout/bProcess4"/>
    <dgm:cxn modelId="{EA01C85B-D9E5-467A-A908-3C5C4438E685}" srcId="{AD016F96-31A0-4E00-AA78-39033F683C29}" destId="{DB791716-12D9-4823-A72A-34DFCFB79869}" srcOrd="0" destOrd="0" parTransId="{F588EA4E-C94A-49D7-978C-018B2602E849}" sibTransId="{F70769C2-3301-4CE8-8AE6-643C2C8854F8}"/>
    <dgm:cxn modelId="{9EB2417B-A982-4B55-A4CA-112446EF3AC2}" srcId="{5F55EBDF-A1FD-4032-B9D7-A2F3AE0F4F40}" destId="{AD016F96-31A0-4E00-AA78-39033F683C29}" srcOrd="1" destOrd="0" parTransId="{FD0B1C76-DD17-44D2-A579-D079DB324013}" sibTransId="{B2700946-78E7-48E0-8148-A5B864ADA059}"/>
    <dgm:cxn modelId="{23FF7563-BC88-455A-8619-E505D41BD644}" srcId="{5F55EBDF-A1FD-4032-B9D7-A2F3AE0F4F40}" destId="{9BA6CE7A-F5C7-4BB6-B745-B251AC2EB2CE}" srcOrd="5" destOrd="0" parTransId="{00B964DE-B297-4E66-9461-C326DF8905F3}" sibTransId="{B6848E04-15F2-4B13-BA44-58C2F20469CD}"/>
    <dgm:cxn modelId="{7786D6E4-FC92-4CA3-AFAE-6591F49ADA56}" type="presOf" srcId="{0D82D247-162C-4336-A673-199A5A81DE75}" destId="{40351797-B4D3-4C08-AE42-7AC544F0AA96}" srcOrd="0" destOrd="1" presId="urn:microsoft.com/office/officeart/2005/8/layout/bProcess4"/>
    <dgm:cxn modelId="{BDB04345-97C0-427F-9784-53C67E5D8943}" type="presOf" srcId="{735EB327-EBE4-4087-BED0-C95F1F137E70}" destId="{40351797-B4D3-4C08-AE42-7AC544F0AA96}" srcOrd="0" destOrd="0" presId="urn:microsoft.com/office/officeart/2005/8/layout/bProcess4"/>
    <dgm:cxn modelId="{3B085DA6-8A29-4BC9-89ED-C8DDA43A4DFE}" type="presOf" srcId="{3DF9E5F7-9AB4-428F-8844-B9A1A5398716}" destId="{27882D0C-BAE0-440B-AD2D-7AAEC080402D}" srcOrd="0" destOrd="0" presId="urn:microsoft.com/office/officeart/2005/8/layout/bProcess4"/>
    <dgm:cxn modelId="{65CB5ABE-32B8-42DA-9984-66B1EBD39CFE}" srcId="{5F55EBDF-A1FD-4032-B9D7-A2F3AE0F4F40}" destId="{633B6D1A-72E5-46F9-BC9E-BC8971AAC391}" srcOrd="6" destOrd="0" parTransId="{2AE3D8C6-9912-4345-8DE4-9FBAF3D757EA}" sibTransId="{F5F94E47-7E89-4299-AC27-711072660936}"/>
    <dgm:cxn modelId="{9DCE7762-B7EB-40B8-842A-C6EDFB56087E}" type="presOf" srcId="{8121AFC6-5010-41F1-9BA9-40669F634627}" destId="{4C47C587-5DEC-49DD-8BAE-613654CC8FCC}" srcOrd="0" destOrd="0" presId="urn:microsoft.com/office/officeart/2005/8/layout/bProcess4"/>
    <dgm:cxn modelId="{A3772134-F136-4528-84E8-0211231C3FB2}" type="presOf" srcId="{864C5337-4FD6-4452-BD85-BA6ACAA6AA2B}" destId="{47CBD286-1582-45BF-9D6B-4D0720061CDF}" srcOrd="0" destOrd="1" presId="urn:microsoft.com/office/officeart/2005/8/layout/bProcess4"/>
    <dgm:cxn modelId="{37D83AD2-EB22-4285-B773-F0DC56C621F2}" srcId="{3DF9E5F7-9AB4-428F-8844-B9A1A5398716}" destId="{4A607D32-283C-4145-AFA4-07C0F67FD692}" srcOrd="0" destOrd="0" parTransId="{5F2631F5-87B4-4E6D-B0D6-68F19412BFC6}" sibTransId="{82376D37-BB1C-40B7-9F99-0E70598E8BE8}"/>
    <dgm:cxn modelId="{E232FFD8-19E1-4556-8C27-15E8A05F7487}" srcId="{633B6D1A-72E5-46F9-BC9E-BC8971AAC391}" destId="{1DC39309-283F-4DF6-8CBD-F192C58A9822}" srcOrd="0" destOrd="0" parTransId="{A3751258-AF89-410C-893B-225A55FFD13A}" sibTransId="{8C771453-88E0-4B2B-8FAF-845A0E7B90B6}"/>
    <dgm:cxn modelId="{B6C23B08-76EC-4B6F-9284-5E86F3D4F314}" type="presOf" srcId="{5549E295-F3B2-464A-B2A5-A68C0C31D0A5}" destId="{5616E7DB-02CA-46A8-923F-CACD500F634B}" srcOrd="0" destOrd="1" presId="urn:microsoft.com/office/officeart/2005/8/layout/bProcess4"/>
    <dgm:cxn modelId="{A0FEC0BD-BF0C-4635-B761-F1ACEC03ECAD}" srcId="{6E01958F-A848-49A7-BAE0-D8EAE4D08393}" destId="{5549E295-F3B2-464A-B2A5-A68C0C31D0A5}" srcOrd="0" destOrd="0" parTransId="{2A68F321-2F5E-4646-A332-DA68C9EE1AF1}" sibTransId="{304EDAE5-4D1B-4FAD-9B3D-B482CB887E1C}"/>
    <dgm:cxn modelId="{A6254FE4-E620-4E3A-B18F-5D0D35CFC1D6}" srcId="{5F55EBDF-A1FD-4032-B9D7-A2F3AE0F4F40}" destId="{5350878E-384E-41F5-86EC-8697632ED65E}" srcOrd="0" destOrd="0" parTransId="{1F6A3DD2-9F2C-4EDC-9CEF-1A5ECF932ECE}" sibTransId="{28316331-A9DD-4ED5-835E-F90129D80195}"/>
    <dgm:cxn modelId="{ED5751CA-523A-4DFD-B0CE-040BCAA62992}" srcId="{79075DE5-3EE0-4C52-8A44-5B386E59EC14}" destId="{864C5337-4FD6-4452-BD85-BA6ACAA6AA2B}" srcOrd="0" destOrd="0" parTransId="{74900B15-22A4-498E-90CF-1AE5B69246B9}" sibTransId="{B05B0CC1-41D4-4678-9B0D-BEACD4710B66}"/>
    <dgm:cxn modelId="{397862EB-82E8-46FF-8219-D438891D02AF}" srcId="{5F55EBDF-A1FD-4032-B9D7-A2F3AE0F4F40}" destId="{735EB327-EBE4-4087-BED0-C95F1F137E70}" srcOrd="4" destOrd="0" parTransId="{7E603BBD-24B9-4E1E-8869-3F65C4A3FE6E}" sibTransId="{DF344AFE-D327-48AD-9C9F-024EC981DCB2}"/>
    <dgm:cxn modelId="{1F7995FF-65C2-420A-A4B2-2FDD81248C8F}" srcId="{735EB327-EBE4-4087-BED0-C95F1F137E70}" destId="{0D82D247-162C-4336-A673-199A5A81DE75}" srcOrd="0" destOrd="0" parTransId="{B6256EC5-DB74-49BC-8252-E61091ADEC13}" sibTransId="{A6698EAE-368B-4659-ADCC-AB9DE68FD8D3}"/>
    <dgm:cxn modelId="{33624E18-6FEB-42C6-B73B-B9579BFD543A}" type="presOf" srcId="{5350878E-384E-41F5-86EC-8697632ED65E}" destId="{60FF5892-1B1A-40BA-B238-7AC58CDB9764}" srcOrd="0" destOrd="0" presId="urn:microsoft.com/office/officeart/2005/8/layout/bProcess4"/>
    <dgm:cxn modelId="{D402A322-CC02-42AC-9140-17E882C07F5D}" type="presOf" srcId="{28316331-A9DD-4ED5-835E-F90129D80195}" destId="{955F26F9-8A37-4ED3-8F01-26394DDA4F8B}" srcOrd="0" destOrd="0" presId="urn:microsoft.com/office/officeart/2005/8/layout/bProcess4"/>
    <dgm:cxn modelId="{A2143D14-B042-4AEE-806C-F1C966A56BF6}" type="presOf" srcId="{B6848E04-15F2-4B13-BA44-58C2F20469CD}" destId="{26541E51-03C6-4AFB-9FAA-6D06B4AF78B0}" srcOrd="0" destOrd="0" presId="urn:microsoft.com/office/officeart/2005/8/layout/bProcess4"/>
    <dgm:cxn modelId="{71DFAE8F-C911-4F4D-8008-C931314DF2CA}" type="presOf" srcId="{1DC39309-283F-4DF6-8CBD-F192C58A9822}" destId="{DA93B59A-0713-4BFA-ACF5-30B5BDBD5DF1}" srcOrd="0" destOrd="1" presId="urn:microsoft.com/office/officeart/2005/8/layout/bProcess4"/>
    <dgm:cxn modelId="{E1DAE28C-8711-4775-B687-3F06AB72437D}" type="presOf" srcId="{DB791716-12D9-4823-A72A-34DFCFB79869}" destId="{E7E3E07B-83F2-4C04-80F1-081B9B20EFEC}" srcOrd="0" destOrd="1" presId="urn:microsoft.com/office/officeart/2005/8/layout/bProcess4"/>
    <dgm:cxn modelId="{C6C4F545-4885-4294-8DF1-ABAB6AC91389}" type="presOf" srcId="{F5F94E47-7E89-4299-AC27-711072660936}" destId="{113DADAD-AB96-4C43-BEF2-0D1CE7E7007C}" srcOrd="0" destOrd="0" presId="urn:microsoft.com/office/officeart/2005/8/layout/bProcess4"/>
    <dgm:cxn modelId="{EC49AFF3-F4D8-455E-8C16-60362ABF7888}" type="presOf" srcId="{97794EE4-60ED-4ABE-8E2C-F8622A004E49}" destId="{60FF5892-1B1A-40BA-B238-7AC58CDB9764}" srcOrd="0" destOrd="1" presId="urn:microsoft.com/office/officeart/2005/8/layout/bProcess4"/>
    <dgm:cxn modelId="{DB39A2E7-37CD-43C2-AA1C-50A773187F9A}" type="presOf" srcId="{DF344AFE-D327-48AD-9C9F-024EC981DCB2}" destId="{F84ADAAF-EAD5-4CD9-A553-4778855B0F5C}" srcOrd="0" destOrd="0" presId="urn:microsoft.com/office/officeart/2005/8/layout/bProcess4"/>
    <dgm:cxn modelId="{A28A0EFC-6381-4F9D-AC6D-C084AE17FD52}" srcId="{5350878E-384E-41F5-86EC-8697632ED65E}" destId="{97794EE4-60ED-4ABE-8E2C-F8622A004E49}" srcOrd="0" destOrd="0" parTransId="{CC7EB604-BC72-46B0-96DF-C491B2C85BFB}" sibTransId="{C5FEAF3F-63AC-4B98-A2D0-C1A8AC427FDE}"/>
    <dgm:cxn modelId="{2AA2C302-8D70-4D97-A2E8-FADAD2F77429}" srcId="{5F55EBDF-A1FD-4032-B9D7-A2F3AE0F4F40}" destId="{6E01958F-A848-49A7-BAE0-D8EAE4D08393}" srcOrd="3" destOrd="0" parTransId="{52C774F5-DBDA-4E55-98C5-C7F20FAD229A}" sibTransId="{8121AFC6-5010-41F1-9BA9-40669F634627}"/>
    <dgm:cxn modelId="{B9E2D571-B3C4-4B29-B30A-B078C6CF5909}" srcId="{5F55EBDF-A1FD-4032-B9D7-A2F3AE0F4F40}" destId="{3DF9E5F7-9AB4-428F-8844-B9A1A5398716}" srcOrd="2" destOrd="0" parTransId="{BF04BC2C-318D-436E-B351-1C7CC3597B95}" sibTransId="{03FAF1F2-E3C3-4FF1-89C0-2C545C040523}"/>
    <dgm:cxn modelId="{3DD94D58-1C9B-46D7-963D-D81FB51F94DA}" type="presOf" srcId="{03FAF1F2-E3C3-4FF1-89C0-2C545C040523}" destId="{BD31CE89-DCD7-411E-98D7-99C4A6DBFF1B}" srcOrd="0" destOrd="0" presId="urn:microsoft.com/office/officeart/2005/8/layout/bProcess4"/>
    <dgm:cxn modelId="{4142418A-5B88-4300-B077-9C26BC43D26D}" type="presOf" srcId="{6E01958F-A848-49A7-BAE0-D8EAE4D08393}" destId="{5616E7DB-02CA-46A8-923F-CACD500F634B}" srcOrd="0" destOrd="0" presId="urn:microsoft.com/office/officeart/2005/8/layout/bProcess4"/>
    <dgm:cxn modelId="{60852B4A-0010-4C9A-9C90-D0B1323071D5}" type="presOf" srcId="{6371B8DE-B530-4796-8367-5A358973991B}" destId="{8E777157-0C1C-40C5-9B57-2B30315ADEA6}" srcOrd="0" destOrd="1" presId="urn:microsoft.com/office/officeart/2005/8/layout/bProcess4"/>
    <dgm:cxn modelId="{B4164E2A-4FD0-4A7D-811D-2023D47290A4}" srcId="{AD016F96-31A0-4E00-AA78-39033F683C29}" destId="{B4EAE593-96CB-487B-A963-E3D78876E76D}" srcOrd="1" destOrd="0" parTransId="{DD117D78-BB87-4DDD-AD0D-4B302943DE46}" sibTransId="{1EEF809E-A024-4D8D-92BE-65F04EA12127}"/>
    <dgm:cxn modelId="{5004883A-161E-472B-A7B2-6D370A8387F9}" type="presOf" srcId="{79075DE5-3EE0-4C52-8A44-5B386E59EC14}" destId="{47CBD286-1582-45BF-9D6B-4D0720061CDF}" srcOrd="0" destOrd="0" presId="urn:microsoft.com/office/officeart/2005/8/layout/bProcess4"/>
    <dgm:cxn modelId="{2601D6B4-3381-45A7-B80A-E83A76FEE2A4}" type="presOf" srcId="{633B6D1A-72E5-46F9-BC9E-BC8971AAC391}" destId="{DA93B59A-0713-4BFA-ACF5-30B5BDBD5DF1}" srcOrd="0" destOrd="0" presId="urn:microsoft.com/office/officeart/2005/8/layout/bProcess4"/>
    <dgm:cxn modelId="{ADE10238-9F6E-45D8-A06D-130C9BCDD205}" type="presOf" srcId="{5F55EBDF-A1FD-4032-B9D7-A2F3AE0F4F40}" destId="{3161B2B2-8A74-44EA-A016-8F9E99229BE3}" srcOrd="0" destOrd="0" presId="urn:microsoft.com/office/officeart/2005/8/layout/bProcess4"/>
    <dgm:cxn modelId="{40E3007F-83B4-4382-9603-41294BFF52F4}" srcId="{9BA6CE7A-F5C7-4BB6-B745-B251AC2EB2CE}" destId="{6371B8DE-B530-4796-8367-5A358973991B}" srcOrd="0" destOrd="0" parTransId="{CC122065-3C0F-4992-869D-887C19DE0E98}" sibTransId="{DDB92272-B8D5-45DE-94D8-C23007C2A435}"/>
    <dgm:cxn modelId="{A4EB94DF-CDAB-4AA0-B944-297EE5DC083F}" srcId="{5F55EBDF-A1FD-4032-B9D7-A2F3AE0F4F40}" destId="{79075DE5-3EE0-4C52-8A44-5B386E59EC14}" srcOrd="7" destOrd="0" parTransId="{83B7D406-2561-477A-B568-D5ACADC08FD1}" sibTransId="{E44FDF7F-65AA-4E50-A0B8-A3B596893EFE}"/>
    <dgm:cxn modelId="{6E6A9400-15FC-4218-84B1-E4CDC0A2DC23}" type="presOf" srcId="{AD016F96-31A0-4E00-AA78-39033F683C29}" destId="{E7E3E07B-83F2-4C04-80F1-081B9B20EFEC}" srcOrd="0" destOrd="0" presId="urn:microsoft.com/office/officeart/2005/8/layout/bProcess4"/>
    <dgm:cxn modelId="{D809EEF2-8D90-4AE3-A9B8-3EDC90ACB832}" type="presOf" srcId="{4A607D32-283C-4145-AFA4-07C0F67FD692}" destId="{27882D0C-BAE0-440B-AD2D-7AAEC080402D}" srcOrd="0" destOrd="1" presId="urn:microsoft.com/office/officeart/2005/8/layout/bProcess4"/>
    <dgm:cxn modelId="{97CE1036-792D-4AAD-8FB3-7940F138EE3F}" type="presOf" srcId="{B4EAE593-96CB-487B-A963-E3D78876E76D}" destId="{E7E3E07B-83F2-4C04-80F1-081B9B20EFEC}" srcOrd="0" destOrd="2" presId="urn:microsoft.com/office/officeart/2005/8/layout/bProcess4"/>
    <dgm:cxn modelId="{EB6A7B06-C4DD-4684-B7A5-B83CBD9E16B5}" type="presParOf" srcId="{3161B2B2-8A74-44EA-A016-8F9E99229BE3}" destId="{CFCC391B-2140-44B2-B812-10AD95530DF4}" srcOrd="0" destOrd="0" presId="urn:microsoft.com/office/officeart/2005/8/layout/bProcess4"/>
    <dgm:cxn modelId="{4DF1BB8A-063A-4AE0-9921-9BDBCDF59B05}" type="presParOf" srcId="{CFCC391B-2140-44B2-B812-10AD95530DF4}" destId="{7BCC561D-2B5C-460C-9DB6-CD86DD53A051}" srcOrd="0" destOrd="0" presId="urn:microsoft.com/office/officeart/2005/8/layout/bProcess4"/>
    <dgm:cxn modelId="{159B2003-95BE-4AF7-9F56-5862F4EDF797}" type="presParOf" srcId="{CFCC391B-2140-44B2-B812-10AD95530DF4}" destId="{60FF5892-1B1A-40BA-B238-7AC58CDB9764}" srcOrd="1" destOrd="0" presId="urn:microsoft.com/office/officeart/2005/8/layout/bProcess4"/>
    <dgm:cxn modelId="{F6665BC2-2749-42BC-831B-36C41CF12888}" type="presParOf" srcId="{3161B2B2-8A74-44EA-A016-8F9E99229BE3}" destId="{955F26F9-8A37-4ED3-8F01-26394DDA4F8B}" srcOrd="1" destOrd="0" presId="urn:microsoft.com/office/officeart/2005/8/layout/bProcess4"/>
    <dgm:cxn modelId="{AEBDC825-8391-4CA2-94D2-41E3F9AE1664}" type="presParOf" srcId="{3161B2B2-8A74-44EA-A016-8F9E99229BE3}" destId="{C474CB8B-9A6A-4E8B-81BE-C8438EB867FB}" srcOrd="2" destOrd="0" presId="urn:microsoft.com/office/officeart/2005/8/layout/bProcess4"/>
    <dgm:cxn modelId="{217C4EF5-8C37-4FA9-8A93-E11C9B5FEA21}" type="presParOf" srcId="{C474CB8B-9A6A-4E8B-81BE-C8438EB867FB}" destId="{39141856-8E88-4B88-AE04-C2B8F5AAEBE7}" srcOrd="0" destOrd="0" presId="urn:microsoft.com/office/officeart/2005/8/layout/bProcess4"/>
    <dgm:cxn modelId="{5013310B-208D-4D97-ABE5-95F7F333DBAC}" type="presParOf" srcId="{C474CB8B-9A6A-4E8B-81BE-C8438EB867FB}" destId="{E7E3E07B-83F2-4C04-80F1-081B9B20EFEC}" srcOrd="1" destOrd="0" presId="urn:microsoft.com/office/officeart/2005/8/layout/bProcess4"/>
    <dgm:cxn modelId="{59717EB4-1DDE-4694-BC9D-D3CB3A39DF5C}" type="presParOf" srcId="{3161B2B2-8A74-44EA-A016-8F9E99229BE3}" destId="{023F6149-85B1-4554-838D-FC9076430CD3}" srcOrd="3" destOrd="0" presId="urn:microsoft.com/office/officeart/2005/8/layout/bProcess4"/>
    <dgm:cxn modelId="{DDD22A47-EF00-4C07-BB3D-CE63F021AC27}" type="presParOf" srcId="{3161B2B2-8A74-44EA-A016-8F9E99229BE3}" destId="{CF2DFF66-75FF-4F7F-ABE6-3E295A69775C}" srcOrd="4" destOrd="0" presId="urn:microsoft.com/office/officeart/2005/8/layout/bProcess4"/>
    <dgm:cxn modelId="{F28FC919-C511-4DA7-9191-398DF9FDB3C2}" type="presParOf" srcId="{CF2DFF66-75FF-4F7F-ABE6-3E295A69775C}" destId="{CAC51540-74C4-41FA-93F5-055BEB1B9F49}" srcOrd="0" destOrd="0" presId="urn:microsoft.com/office/officeart/2005/8/layout/bProcess4"/>
    <dgm:cxn modelId="{49AB0B8F-C32F-4614-8B4E-276B5ACA8C11}" type="presParOf" srcId="{CF2DFF66-75FF-4F7F-ABE6-3E295A69775C}" destId="{27882D0C-BAE0-440B-AD2D-7AAEC080402D}" srcOrd="1" destOrd="0" presId="urn:microsoft.com/office/officeart/2005/8/layout/bProcess4"/>
    <dgm:cxn modelId="{377322B5-93C0-449E-8F33-BCA932A8730D}" type="presParOf" srcId="{3161B2B2-8A74-44EA-A016-8F9E99229BE3}" destId="{BD31CE89-DCD7-411E-98D7-99C4A6DBFF1B}" srcOrd="5" destOrd="0" presId="urn:microsoft.com/office/officeart/2005/8/layout/bProcess4"/>
    <dgm:cxn modelId="{FF2531AA-E441-4E8A-B85E-C9F479B0085D}" type="presParOf" srcId="{3161B2B2-8A74-44EA-A016-8F9E99229BE3}" destId="{A9BC6D72-7EF5-4D70-A144-965113273A35}" srcOrd="6" destOrd="0" presId="urn:microsoft.com/office/officeart/2005/8/layout/bProcess4"/>
    <dgm:cxn modelId="{F7D9D33F-FB23-4097-9342-30DCCAA948A0}" type="presParOf" srcId="{A9BC6D72-7EF5-4D70-A144-965113273A35}" destId="{8AEACFAF-419A-4F62-8B71-F0657864759B}" srcOrd="0" destOrd="0" presId="urn:microsoft.com/office/officeart/2005/8/layout/bProcess4"/>
    <dgm:cxn modelId="{1DB61069-961A-47D8-B6E2-0C93E01D4FE4}" type="presParOf" srcId="{A9BC6D72-7EF5-4D70-A144-965113273A35}" destId="{5616E7DB-02CA-46A8-923F-CACD500F634B}" srcOrd="1" destOrd="0" presId="urn:microsoft.com/office/officeart/2005/8/layout/bProcess4"/>
    <dgm:cxn modelId="{1A38445C-D5DE-4042-B1BC-7E61389C812E}" type="presParOf" srcId="{3161B2B2-8A74-44EA-A016-8F9E99229BE3}" destId="{4C47C587-5DEC-49DD-8BAE-613654CC8FCC}" srcOrd="7" destOrd="0" presId="urn:microsoft.com/office/officeart/2005/8/layout/bProcess4"/>
    <dgm:cxn modelId="{7C393D60-8F0E-476C-A721-88FD28A3C2D3}" type="presParOf" srcId="{3161B2B2-8A74-44EA-A016-8F9E99229BE3}" destId="{A58F65DD-A295-475F-8251-D5CEDC25F7D5}" srcOrd="8" destOrd="0" presId="urn:microsoft.com/office/officeart/2005/8/layout/bProcess4"/>
    <dgm:cxn modelId="{86CCE281-CB1D-4766-8285-BCF7117CE891}" type="presParOf" srcId="{A58F65DD-A295-475F-8251-D5CEDC25F7D5}" destId="{AB568624-CB2C-42FF-B609-AAF2994095C0}" srcOrd="0" destOrd="0" presId="urn:microsoft.com/office/officeart/2005/8/layout/bProcess4"/>
    <dgm:cxn modelId="{849A2DCE-E064-4FF3-B25C-1C99D1E7539E}" type="presParOf" srcId="{A58F65DD-A295-475F-8251-D5CEDC25F7D5}" destId="{40351797-B4D3-4C08-AE42-7AC544F0AA96}" srcOrd="1" destOrd="0" presId="urn:microsoft.com/office/officeart/2005/8/layout/bProcess4"/>
    <dgm:cxn modelId="{C9234599-D11F-48E0-818E-A7DBAE989EE8}" type="presParOf" srcId="{3161B2B2-8A74-44EA-A016-8F9E99229BE3}" destId="{F84ADAAF-EAD5-4CD9-A553-4778855B0F5C}" srcOrd="9" destOrd="0" presId="urn:microsoft.com/office/officeart/2005/8/layout/bProcess4"/>
    <dgm:cxn modelId="{8283D5D4-DB0C-4093-9413-10F535F483FD}" type="presParOf" srcId="{3161B2B2-8A74-44EA-A016-8F9E99229BE3}" destId="{A35E4F7A-884D-4F45-849F-3769668DB151}" srcOrd="10" destOrd="0" presId="urn:microsoft.com/office/officeart/2005/8/layout/bProcess4"/>
    <dgm:cxn modelId="{C3A9A2D4-A1F1-4075-AC32-69AF676BB4A2}" type="presParOf" srcId="{A35E4F7A-884D-4F45-849F-3769668DB151}" destId="{BFF2A89D-1F41-4E00-9F81-7605278C0324}" srcOrd="0" destOrd="0" presId="urn:microsoft.com/office/officeart/2005/8/layout/bProcess4"/>
    <dgm:cxn modelId="{62FE46F1-2CC6-45FE-B211-5B148036D515}" type="presParOf" srcId="{A35E4F7A-884D-4F45-849F-3769668DB151}" destId="{8E777157-0C1C-40C5-9B57-2B30315ADEA6}" srcOrd="1" destOrd="0" presId="urn:microsoft.com/office/officeart/2005/8/layout/bProcess4"/>
    <dgm:cxn modelId="{03E7D1B4-7B22-44DD-9B9D-F95E96F0852E}" type="presParOf" srcId="{3161B2B2-8A74-44EA-A016-8F9E99229BE3}" destId="{26541E51-03C6-4AFB-9FAA-6D06B4AF78B0}" srcOrd="11" destOrd="0" presId="urn:microsoft.com/office/officeart/2005/8/layout/bProcess4"/>
    <dgm:cxn modelId="{460105B8-8092-4769-9F8B-30F8395B89DA}" type="presParOf" srcId="{3161B2B2-8A74-44EA-A016-8F9E99229BE3}" destId="{03FEFE58-F224-4550-90CD-4C55CC12E857}" srcOrd="12" destOrd="0" presId="urn:microsoft.com/office/officeart/2005/8/layout/bProcess4"/>
    <dgm:cxn modelId="{AAC169D4-5BFD-4DDE-BE75-7C3C0F94CEC0}" type="presParOf" srcId="{03FEFE58-F224-4550-90CD-4C55CC12E857}" destId="{87556C2A-863F-4E36-B1BE-27EA6F9A0CCD}" srcOrd="0" destOrd="0" presId="urn:microsoft.com/office/officeart/2005/8/layout/bProcess4"/>
    <dgm:cxn modelId="{37A874D4-1548-41AC-A07A-0E30162C7567}" type="presParOf" srcId="{03FEFE58-F224-4550-90CD-4C55CC12E857}" destId="{DA93B59A-0713-4BFA-ACF5-30B5BDBD5DF1}" srcOrd="1" destOrd="0" presId="urn:microsoft.com/office/officeart/2005/8/layout/bProcess4"/>
    <dgm:cxn modelId="{B8DC4B67-FE5D-45E5-90E5-C9AEA2A151C0}" type="presParOf" srcId="{3161B2B2-8A74-44EA-A016-8F9E99229BE3}" destId="{113DADAD-AB96-4C43-BEF2-0D1CE7E7007C}" srcOrd="13" destOrd="0" presId="urn:microsoft.com/office/officeart/2005/8/layout/bProcess4"/>
    <dgm:cxn modelId="{B4B44DA0-CB54-47D6-9819-1C379AC9BCBD}" type="presParOf" srcId="{3161B2B2-8A74-44EA-A016-8F9E99229BE3}" destId="{3C2D527A-7BA0-4CD6-8FE4-3C44E93C69E1}" srcOrd="14" destOrd="0" presId="urn:microsoft.com/office/officeart/2005/8/layout/bProcess4"/>
    <dgm:cxn modelId="{3CFB48DE-EA8B-4E14-B7C3-1724C14185E0}" type="presParOf" srcId="{3C2D527A-7BA0-4CD6-8FE4-3C44E93C69E1}" destId="{270E4A80-0E32-4F4E-BEB9-2813FF61D068}" srcOrd="0" destOrd="0" presId="urn:microsoft.com/office/officeart/2005/8/layout/bProcess4"/>
    <dgm:cxn modelId="{533737A0-3633-4F9C-948A-15E39B0E3DD8}" type="presParOf" srcId="{3C2D527A-7BA0-4CD6-8FE4-3C44E93C69E1}" destId="{47CBD286-1582-45BF-9D6B-4D0720061CDF}"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541AD4-60A0-4473-8BE3-66BC7BF3B744}"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s-ES"/>
        </a:p>
      </dgm:t>
    </dgm:pt>
    <dgm:pt modelId="{5A34F541-221B-48DA-80F4-9AE143257353}">
      <dgm:prSet phldrT="[Texto]"/>
      <dgm:spPr/>
      <dgm:t>
        <a:bodyPr/>
        <a:lstStyle/>
        <a:p>
          <a:r>
            <a:rPr lang="es-ES"/>
            <a:t>Vicente Goico (1825</a:t>
          </a:r>
        </a:p>
      </dgm:t>
    </dgm:pt>
    <dgm:pt modelId="{1E0CB808-10AC-4CB3-89F4-DE8A5C659642}" type="parTrans" cxnId="{C2C92B25-E852-42B1-AAA8-BBBBD8E2378E}">
      <dgm:prSet/>
      <dgm:spPr/>
      <dgm:t>
        <a:bodyPr/>
        <a:lstStyle/>
        <a:p>
          <a:endParaRPr lang="es-ES"/>
        </a:p>
      </dgm:t>
    </dgm:pt>
    <dgm:pt modelId="{25DF6019-AA0B-493F-87A5-ED770330D132}" type="sibTrans" cxnId="{C2C92B25-E852-42B1-AAA8-BBBBD8E2378E}">
      <dgm:prSet/>
      <dgm:spPr/>
      <dgm:t>
        <a:bodyPr/>
        <a:lstStyle/>
        <a:p>
          <a:endParaRPr lang="es-ES"/>
        </a:p>
      </dgm:t>
    </dgm:pt>
    <dgm:pt modelId="{83ADA846-2081-4916-B813-1A67C9D99E7A}">
      <dgm:prSet phldrT="[Texto]"/>
      <dgm:spPr/>
      <dgm:t>
        <a:bodyPr/>
        <a:lstStyle/>
        <a:p>
          <a:r>
            <a:rPr lang="es-ES"/>
            <a:t>A. Baez, (1825)</a:t>
          </a:r>
        </a:p>
      </dgm:t>
    </dgm:pt>
    <dgm:pt modelId="{1EE3CFE3-031C-4B98-8C5D-D7CC853786CE}" type="parTrans" cxnId="{38D9874A-D1C2-4C61-B89B-66ADF36CF87D}">
      <dgm:prSet/>
      <dgm:spPr/>
      <dgm:t>
        <a:bodyPr/>
        <a:lstStyle/>
        <a:p>
          <a:endParaRPr lang="es-ES"/>
        </a:p>
      </dgm:t>
    </dgm:pt>
    <dgm:pt modelId="{7DFFACEE-706E-4F35-B680-EB13D53519F6}" type="sibTrans" cxnId="{38D9874A-D1C2-4C61-B89B-66ADF36CF87D}">
      <dgm:prSet/>
      <dgm:spPr/>
      <dgm:t>
        <a:bodyPr/>
        <a:lstStyle/>
        <a:p>
          <a:endParaRPr lang="es-ES"/>
        </a:p>
      </dgm:t>
    </dgm:pt>
    <dgm:pt modelId="{2E17FC9A-6720-4CE4-A23E-2254FB4DC066}">
      <dgm:prSet phldrT="[Texto]"/>
      <dgm:spPr/>
      <dgm:t>
        <a:bodyPr/>
        <a:lstStyle/>
        <a:p>
          <a:r>
            <a:rPr lang="es-ES"/>
            <a:t>Putch y Cía. (1825)</a:t>
          </a:r>
        </a:p>
      </dgm:t>
    </dgm:pt>
    <dgm:pt modelId="{97BC8914-978F-458C-8399-CADCD9CAF91A}" type="parTrans" cxnId="{A163E90B-B239-41C1-9998-BC25CF6DF3E7}">
      <dgm:prSet/>
      <dgm:spPr/>
      <dgm:t>
        <a:bodyPr/>
        <a:lstStyle/>
        <a:p>
          <a:endParaRPr lang="es-ES"/>
        </a:p>
      </dgm:t>
    </dgm:pt>
    <dgm:pt modelId="{883FE231-E17F-4BCC-8D63-CAF2B1004C08}" type="sibTrans" cxnId="{A163E90B-B239-41C1-9998-BC25CF6DF3E7}">
      <dgm:prSet/>
      <dgm:spPr/>
      <dgm:t>
        <a:bodyPr/>
        <a:lstStyle/>
        <a:p>
          <a:endParaRPr lang="es-ES"/>
        </a:p>
      </dgm:t>
    </dgm:pt>
    <dgm:pt modelId="{621547B8-6A65-4641-B1C7-360599CD999C}">
      <dgm:prSet/>
      <dgm:spPr/>
      <dgm:t>
        <a:bodyPr/>
        <a:lstStyle/>
        <a:p>
          <a:r>
            <a:rPr lang="es-ES"/>
            <a:t>Gillies y Videla (1826)</a:t>
          </a:r>
        </a:p>
      </dgm:t>
    </dgm:pt>
    <dgm:pt modelId="{05DFADBD-CA84-4019-A5C4-A91815DBFED2}" type="parTrans" cxnId="{D11BAEBF-E28E-4684-9ED5-0A6015B3F757}">
      <dgm:prSet/>
      <dgm:spPr/>
      <dgm:t>
        <a:bodyPr/>
        <a:lstStyle/>
        <a:p>
          <a:endParaRPr lang="es-ES"/>
        </a:p>
      </dgm:t>
    </dgm:pt>
    <dgm:pt modelId="{EB0273B6-4345-46E3-8005-106771A9306F}" type="sibTrans" cxnId="{D11BAEBF-E28E-4684-9ED5-0A6015B3F757}">
      <dgm:prSet/>
      <dgm:spPr/>
      <dgm:t>
        <a:bodyPr/>
        <a:lstStyle/>
        <a:p>
          <a:endParaRPr lang="es-ES"/>
        </a:p>
      </dgm:t>
    </dgm:pt>
    <dgm:pt modelId="{408E1758-31D3-4BBC-AF16-0E30185B5967}">
      <dgm:prSet/>
      <dgm:spPr/>
      <dgm:t>
        <a:bodyPr/>
        <a:lstStyle/>
        <a:p>
          <a:r>
            <a:rPr lang="es-ES"/>
            <a:t>Suseción Videla (1883)</a:t>
          </a:r>
        </a:p>
      </dgm:t>
    </dgm:pt>
    <dgm:pt modelId="{A7267CE6-F4D2-467C-BE35-E33191630032}" type="parTrans" cxnId="{DB9A6A3B-6E32-431C-A901-A4B5E77F10FB}">
      <dgm:prSet/>
      <dgm:spPr/>
      <dgm:t>
        <a:bodyPr/>
        <a:lstStyle/>
        <a:p>
          <a:endParaRPr lang="es-ES"/>
        </a:p>
      </dgm:t>
    </dgm:pt>
    <dgm:pt modelId="{2008D8F7-4426-4A92-98AD-D82D0FA0DF20}" type="sibTrans" cxnId="{DB9A6A3B-6E32-431C-A901-A4B5E77F10FB}">
      <dgm:prSet/>
      <dgm:spPr/>
      <dgm:t>
        <a:bodyPr/>
        <a:lstStyle/>
        <a:p>
          <a:endParaRPr lang="es-ES"/>
        </a:p>
      </dgm:t>
    </dgm:pt>
    <dgm:pt modelId="{6A424382-EA20-4BA2-8571-7DBEABCA3407}">
      <dgm:prSet/>
      <dgm:spPr/>
      <dgm:t>
        <a:bodyPr/>
        <a:lstStyle/>
        <a:p>
          <a:r>
            <a:rPr lang="es-ES"/>
            <a:t>Melchor Belaustegui y Taboada </a:t>
          </a:r>
        </a:p>
      </dgm:t>
    </dgm:pt>
    <dgm:pt modelId="{089B1108-59D6-44D6-A8B1-F6E6D3C3AF52}" type="parTrans" cxnId="{1BAC3107-6E2E-41EE-9A07-C3A82B89CC33}">
      <dgm:prSet/>
      <dgm:spPr/>
      <dgm:t>
        <a:bodyPr/>
        <a:lstStyle/>
        <a:p>
          <a:endParaRPr lang="es-ES"/>
        </a:p>
      </dgm:t>
    </dgm:pt>
    <dgm:pt modelId="{C4CBB2AB-B885-4F70-A592-8682F95DDF61}" type="sibTrans" cxnId="{1BAC3107-6E2E-41EE-9A07-C3A82B89CC33}">
      <dgm:prSet/>
      <dgm:spPr/>
      <dgm:t>
        <a:bodyPr/>
        <a:lstStyle/>
        <a:p>
          <a:endParaRPr lang="es-ES"/>
        </a:p>
      </dgm:t>
    </dgm:pt>
    <dgm:pt modelId="{65305543-6F97-4598-B85C-6300E59A1CFF}">
      <dgm:prSet/>
      <dgm:spPr/>
      <dgm:t>
        <a:bodyPr/>
        <a:lstStyle/>
        <a:p>
          <a:r>
            <a:rPr lang="es-ES"/>
            <a:t>Diego de Alvear(1884)</a:t>
          </a:r>
        </a:p>
      </dgm:t>
    </dgm:pt>
    <dgm:pt modelId="{351DB5DC-17C9-4DC6-9733-1253B54DA839}" type="parTrans" cxnId="{0C22B057-6A71-46AD-AC96-18738A1B5F60}">
      <dgm:prSet/>
      <dgm:spPr/>
      <dgm:t>
        <a:bodyPr/>
        <a:lstStyle/>
        <a:p>
          <a:endParaRPr lang="es-ES"/>
        </a:p>
      </dgm:t>
    </dgm:pt>
    <dgm:pt modelId="{1D7423DA-F652-4F23-8FA8-AB716B07996F}" type="sibTrans" cxnId="{0C22B057-6A71-46AD-AC96-18738A1B5F60}">
      <dgm:prSet/>
      <dgm:spPr/>
      <dgm:t>
        <a:bodyPr/>
        <a:lstStyle/>
        <a:p>
          <a:endParaRPr lang="es-ES"/>
        </a:p>
      </dgm:t>
    </dgm:pt>
    <dgm:pt modelId="{378E8DE1-3359-41AB-B011-53E29F343AF5}" type="pres">
      <dgm:prSet presAssocID="{7D541AD4-60A0-4473-8BE3-66BC7BF3B744}" presName="diagram" presStyleCnt="0">
        <dgm:presLayoutVars>
          <dgm:dir/>
          <dgm:resizeHandles/>
        </dgm:presLayoutVars>
      </dgm:prSet>
      <dgm:spPr/>
      <dgm:t>
        <a:bodyPr/>
        <a:lstStyle/>
        <a:p>
          <a:endParaRPr lang="es-ES"/>
        </a:p>
      </dgm:t>
    </dgm:pt>
    <dgm:pt modelId="{5C67E0D1-77E3-495B-B70D-BAF0003ECDD7}" type="pres">
      <dgm:prSet presAssocID="{5A34F541-221B-48DA-80F4-9AE143257353}" presName="firstNode" presStyleLbl="node1" presStyleIdx="0" presStyleCnt="7">
        <dgm:presLayoutVars>
          <dgm:bulletEnabled val="1"/>
        </dgm:presLayoutVars>
      </dgm:prSet>
      <dgm:spPr/>
      <dgm:t>
        <a:bodyPr/>
        <a:lstStyle/>
        <a:p>
          <a:endParaRPr lang="es-ES"/>
        </a:p>
      </dgm:t>
    </dgm:pt>
    <dgm:pt modelId="{A440A871-4476-499F-A4E7-4C98BFCD2339}" type="pres">
      <dgm:prSet presAssocID="{25DF6019-AA0B-493F-87A5-ED770330D132}" presName="sibTrans" presStyleLbl="sibTrans2D1" presStyleIdx="0" presStyleCnt="6"/>
      <dgm:spPr/>
      <dgm:t>
        <a:bodyPr/>
        <a:lstStyle/>
        <a:p>
          <a:endParaRPr lang="es-ES"/>
        </a:p>
      </dgm:t>
    </dgm:pt>
    <dgm:pt modelId="{C4EE98CB-9039-4870-9234-E319A90FB480}" type="pres">
      <dgm:prSet presAssocID="{83ADA846-2081-4916-B813-1A67C9D99E7A}" presName="middleNode" presStyleCnt="0"/>
      <dgm:spPr/>
    </dgm:pt>
    <dgm:pt modelId="{E3E2DC54-F876-463C-9F2A-32253BBB0DFB}" type="pres">
      <dgm:prSet presAssocID="{83ADA846-2081-4916-B813-1A67C9D99E7A}" presName="padding" presStyleLbl="node1" presStyleIdx="0" presStyleCnt="7"/>
      <dgm:spPr/>
    </dgm:pt>
    <dgm:pt modelId="{235C94A0-429B-4E9F-B0F0-380D53AE622B}" type="pres">
      <dgm:prSet presAssocID="{83ADA846-2081-4916-B813-1A67C9D99E7A}" presName="shape" presStyleLbl="node1" presStyleIdx="1" presStyleCnt="7">
        <dgm:presLayoutVars>
          <dgm:bulletEnabled val="1"/>
        </dgm:presLayoutVars>
      </dgm:prSet>
      <dgm:spPr/>
      <dgm:t>
        <a:bodyPr/>
        <a:lstStyle/>
        <a:p>
          <a:endParaRPr lang="es-ES"/>
        </a:p>
      </dgm:t>
    </dgm:pt>
    <dgm:pt modelId="{173D20B6-3E61-4F9F-9840-4BE568F4376A}" type="pres">
      <dgm:prSet presAssocID="{7DFFACEE-706E-4F35-B680-EB13D53519F6}" presName="sibTrans" presStyleLbl="sibTrans2D1" presStyleIdx="1" presStyleCnt="6"/>
      <dgm:spPr/>
      <dgm:t>
        <a:bodyPr/>
        <a:lstStyle/>
        <a:p>
          <a:endParaRPr lang="es-ES"/>
        </a:p>
      </dgm:t>
    </dgm:pt>
    <dgm:pt modelId="{A352360C-CEAE-4C4A-9DC7-A722BC43DECA}" type="pres">
      <dgm:prSet presAssocID="{2E17FC9A-6720-4CE4-A23E-2254FB4DC066}" presName="middleNode" presStyleCnt="0"/>
      <dgm:spPr/>
    </dgm:pt>
    <dgm:pt modelId="{3CF4B731-5B6A-4FD5-BF23-834748FD45B2}" type="pres">
      <dgm:prSet presAssocID="{2E17FC9A-6720-4CE4-A23E-2254FB4DC066}" presName="padding" presStyleLbl="node1" presStyleIdx="1" presStyleCnt="7"/>
      <dgm:spPr/>
    </dgm:pt>
    <dgm:pt modelId="{D1A064A2-F7CC-4DF2-A0C7-3A27DE606493}" type="pres">
      <dgm:prSet presAssocID="{2E17FC9A-6720-4CE4-A23E-2254FB4DC066}" presName="shape" presStyleLbl="node1" presStyleIdx="2" presStyleCnt="7">
        <dgm:presLayoutVars>
          <dgm:bulletEnabled val="1"/>
        </dgm:presLayoutVars>
      </dgm:prSet>
      <dgm:spPr/>
      <dgm:t>
        <a:bodyPr/>
        <a:lstStyle/>
        <a:p>
          <a:endParaRPr lang="es-ES"/>
        </a:p>
      </dgm:t>
    </dgm:pt>
    <dgm:pt modelId="{64E9AE15-E519-4311-A556-8545C378D071}" type="pres">
      <dgm:prSet presAssocID="{883FE231-E17F-4BCC-8D63-CAF2B1004C08}" presName="sibTrans" presStyleLbl="sibTrans2D1" presStyleIdx="2" presStyleCnt="6"/>
      <dgm:spPr/>
      <dgm:t>
        <a:bodyPr/>
        <a:lstStyle/>
        <a:p>
          <a:endParaRPr lang="es-ES"/>
        </a:p>
      </dgm:t>
    </dgm:pt>
    <dgm:pt modelId="{4DCB7A13-A67D-4005-A565-9E2C1F54A0C1}" type="pres">
      <dgm:prSet presAssocID="{621547B8-6A65-4641-B1C7-360599CD999C}" presName="middleNode" presStyleCnt="0"/>
      <dgm:spPr/>
    </dgm:pt>
    <dgm:pt modelId="{FB36FFC2-8FC5-4540-A9CA-9B5992F42CCD}" type="pres">
      <dgm:prSet presAssocID="{621547B8-6A65-4641-B1C7-360599CD999C}" presName="padding" presStyleLbl="node1" presStyleIdx="2" presStyleCnt="7"/>
      <dgm:spPr/>
    </dgm:pt>
    <dgm:pt modelId="{C8CC1F78-81D2-491D-8A23-72D7917BCF24}" type="pres">
      <dgm:prSet presAssocID="{621547B8-6A65-4641-B1C7-360599CD999C}" presName="shape" presStyleLbl="node1" presStyleIdx="3" presStyleCnt="7">
        <dgm:presLayoutVars>
          <dgm:bulletEnabled val="1"/>
        </dgm:presLayoutVars>
      </dgm:prSet>
      <dgm:spPr/>
      <dgm:t>
        <a:bodyPr/>
        <a:lstStyle/>
        <a:p>
          <a:endParaRPr lang="es-ES"/>
        </a:p>
      </dgm:t>
    </dgm:pt>
    <dgm:pt modelId="{B1B378C1-A7DC-436D-BD5C-09638CBDFF80}" type="pres">
      <dgm:prSet presAssocID="{EB0273B6-4345-46E3-8005-106771A9306F}" presName="sibTrans" presStyleLbl="sibTrans2D1" presStyleIdx="3" presStyleCnt="6"/>
      <dgm:spPr/>
      <dgm:t>
        <a:bodyPr/>
        <a:lstStyle/>
        <a:p>
          <a:endParaRPr lang="es-ES"/>
        </a:p>
      </dgm:t>
    </dgm:pt>
    <dgm:pt modelId="{1C6FD080-424D-49F7-BD30-7072512A142F}" type="pres">
      <dgm:prSet presAssocID="{408E1758-31D3-4BBC-AF16-0E30185B5967}" presName="middleNode" presStyleCnt="0"/>
      <dgm:spPr/>
    </dgm:pt>
    <dgm:pt modelId="{86501EA7-925E-44C8-BB0C-80A7F41C942A}" type="pres">
      <dgm:prSet presAssocID="{408E1758-31D3-4BBC-AF16-0E30185B5967}" presName="padding" presStyleLbl="node1" presStyleIdx="3" presStyleCnt="7"/>
      <dgm:spPr/>
    </dgm:pt>
    <dgm:pt modelId="{08845820-4F3B-4862-B361-2708AB42503C}" type="pres">
      <dgm:prSet presAssocID="{408E1758-31D3-4BBC-AF16-0E30185B5967}" presName="shape" presStyleLbl="node1" presStyleIdx="4" presStyleCnt="7">
        <dgm:presLayoutVars>
          <dgm:bulletEnabled val="1"/>
        </dgm:presLayoutVars>
      </dgm:prSet>
      <dgm:spPr/>
      <dgm:t>
        <a:bodyPr/>
        <a:lstStyle/>
        <a:p>
          <a:endParaRPr lang="es-ES"/>
        </a:p>
      </dgm:t>
    </dgm:pt>
    <dgm:pt modelId="{C5BFD143-E9ED-4967-9D91-EBEC0B4CE158}" type="pres">
      <dgm:prSet presAssocID="{2008D8F7-4426-4A92-98AD-D82D0FA0DF20}" presName="sibTrans" presStyleLbl="sibTrans2D1" presStyleIdx="4" presStyleCnt="6"/>
      <dgm:spPr/>
      <dgm:t>
        <a:bodyPr/>
        <a:lstStyle/>
        <a:p>
          <a:endParaRPr lang="es-ES"/>
        </a:p>
      </dgm:t>
    </dgm:pt>
    <dgm:pt modelId="{DB5FB854-AC5B-483E-8755-84AED73AEC07}" type="pres">
      <dgm:prSet presAssocID="{6A424382-EA20-4BA2-8571-7DBEABCA3407}" presName="middleNode" presStyleCnt="0"/>
      <dgm:spPr/>
    </dgm:pt>
    <dgm:pt modelId="{E79C627F-9137-4756-B24C-095C5FAC89E3}" type="pres">
      <dgm:prSet presAssocID="{6A424382-EA20-4BA2-8571-7DBEABCA3407}" presName="padding" presStyleLbl="node1" presStyleIdx="4" presStyleCnt="7"/>
      <dgm:spPr/>
    </dgm:pt>
    <dgm:pt modelId="{B44E3D25-8567-449B-BA20-792BE9ED2F91}" type="pres">
      <dgm:prSet presAssocID="{6A424382-EA20-4BA2-8571-7DBEABCA3407}" presName="shape" presStyleLbl="node1" presStyleIdx="5" presStyleCnt="7">
        <dgm:presLayoutVars>
          <dgm:bulletEnabled val="1"/>
        </dgm:presLayoutVars>
      </dgm:prSet>
      <dgm:spPr/>
      <dgm:t>
        <a:bodyPr/>
        <a:lstStyle/>
        <a:p>
          <a:endParaRPr lang="es-ES"/>
        </a:p>
      </dgm:t>
    </dgm:pt>
    <dgm:pt modelId="{51DA5AF1-B558-4336-8CD6-FC9483527F3D}" type="pres">
      <dgm:prSet presAssocID="{C4CBB2AB-B885-4F70-A592-8682F95DDF61}" presName="sibTrans" presStyleLbl="sibTrans2D1" presStyleIdx="5" presStyleCnt="6"/>
      <dgm:spPr/>
      <dgm:t>
        <a:bodyPr/>
        <a:lstStyle/>
        <a:p>
          <a:endParaRPr lang="es-ES"/>
        </a:p>
      </dgm:t>
    </dgm:pt>
    <dgm:pt modelId="{FA270B2E-0A16-4F9F-B472-49066849DAD0}" type="pres">
      <dgm:prSet presAssocID="{65305543-6F97-4598-B85C-6300E59A1CFF}" presName="lastNode" presStyleLbl="node1" presStyleIdx="6" presStyleCnt="7">
        <dgm:presLayoutVars>
          <dgm:bulletEnabled val="1"/>
        </dgm:presLayoutVars>
      </dgm:prSet>
      <dgm:spPr/>
      <dgm:t>
        <a:bodyPr/>
        <a:lstStyle/>
        <a:p>
          <a:endParaRPr lang="es-ES"/>
        </a:p>
      </dgm:t>
    </dgm:pt>
  </dgm:ptLst>
  <dgm:cxnLst>
    <dgm:cxn modelId="{0DA6662E-316C-4F1E-B8ED-23CE83DE8888}" type="presOf" srcId="{7DFFACEE-706E-4F35-B680-EB13D53519F6}" destId="{173D20B6-3E61-4F9F-9840-4BE568F4376A}" srcOrd="0" destOrd="0" presId="urn:microsoft.com/office/officeart/2005/8/layout/bProcess2"/>
    <dgm:cxn modelId="{0C22B057-6A71-46AD-AC96-18738A1B5F60}" srcId="{7D541AD4-60A0-4473-8BE3-66BC7BF3B744}" destId="{65305543-6F97-4598-B85C-6300E59A1CFF}" srcOrd="6" destOrd="0" parTransId="{351DB5DC-17C9-4DC6-9733-1253B54DA839}" sibTransId="{1D7423DA-F652-4F23-8FA8-AB716B07996F}"/>
    <dgm:cxn modelId="{2B790BE1-FFEA-4B2A-9552-3D5783403487}" type="presOf" srcId="{C4CBB2AB-B885-4F70-A592-8682F95DDF61}" destId="{51DA5AF1-B558-4336-8CD6-FC9483527F3D}" srcOrd="0" destOrd="0" presId="urn:microsoft.com/office/officeart/2005/8/layout/bProcess2"/>
    <dgm:cxn modelId="{1BAC3107-6E2E-41EE-9A07-C3A82B89CC33}" srcId="{7D541AD4-60A0-4473-8BE3-66BC7BF3B744}" destId="{6A424382-EA20-4BA2-8571-7DBEABCA3407}" srcOrd="5" destOrd="0" parTransId="{089B1108-59D6-44D6-A8B1-F6E6D3C3AF52}" sibTransId="{C4CBB2AB-B885-4F70-A592-8682F95DDF61}"/>
    <dgm:cxn modelId="{762B256A-6B7E-460E-A17F-FD15D22146F8}" type="presOf" srcId="{408E1758-31D3-4BBC-AF16-0E30185B5967}" destId="{08845820-4F3B-4862-B361-2708AB42503C}" srcOrd="0" destOrd="0" presId="urn:microsoft.com/office/officeart/2005/8/layout/bProcess2"/>
    <dgm:cxn modelId="{6EAB3C32-A6C3-40B1-B95D-88FDA99A507B}" type="presOf" srcId="{883FE231-E17F-4BCC-8D63-CAF2B1004C08}" destId="{64E9AE15-E519-4311-A556-8545C378D071}" srcOrd="0" destOrd="0" presId="urn:microsoft.com/office/officeart/2005/8/layout/bProcess2"/>
    <dgm:cxn modelId="{55DB0871-9BBE-426E-B5F1-BC0B6E910ED4}" type="presOf" srcId="{EB0273B6-4345-46E3-8005-106771A9306F}" destId="{B1B378C1-A7DC-436D-BD5C-09638CBDFF80}" srcOrd="0" destOrd="0" presId="urn:microsoft.com/office/officeart/2005/8/layout/bProcess2"/>
    <dgm:cxn modelId="{B5422C83-9F56-4A84-9C7E-C34219380358}" type="presOf" srcId="{6A424382-EA20-4BA2-8571-7DBEABCA3407}" destId="{B44E3D25-8567-449B-BA20-792BE9ED2F91}" srcOrd="0" destOrd="0" presId="urn:microsoft.com/office/officeart/2005/8/layout/bProcess2"/>
    <dgm:cxn modelId="{4A3E2843-5505-40A8-9ACB-896F9710074A}" type="presOf" srcId="{5A34F541-221B-48DA-80F4-9AE143257353}" destId="{5C67E0D1-77E3-495B-B70D-BAF0003ECDD7}" srcOrd="0" destOrd="0" presId="urn:microsoft.com/office/officeart/2005/8/layout/bProcess2"/>
    <dgm:cxn modelId="{1EDAF7D8-6712-4D18-BD92-3BC81C4D6488}" type="presOf" srcId="{2008D8F7-4426-4A92-98AD-D82D0FA0DF20}" destId="{C5BFD143-E9ED-4967-9D91-EBEC0B4CE158}" srcOrd="0" destOrd="0" presId="urn:microsoft.com/office/officeart/2005/8/layout/bProcess2"/>
    <dgm:cxn modelId="{FE452265-C070-4445-9393-39FE886CA296}" type="presOf" srcId="{2E17FC9A-6720-4CE4-A23E-2254FB4DC066}" destId="{D1A064A2-F7CC-4DF2-A0C7-3A27DE606493}" srcOrd="0" destOrd="0" presId="urn:microsoft.com/office/officeart/2005/8/layout/bProcess2"/>
    <dgm:cxn modelId="{DB9A6A3B-6E32-431C-A901-A4B5E77F10FB}" srcId="{7D541AD4-60A0-4473-8BE3-66BC7BF3B744}" destId="{408E1758-31D3-4BBC-AF16-0E30185B5967}" srcOrd="4" destOrd="0" parTransId="{A7267CE6-F4D2-467C-BE35-E33191630032}" sibTransId="{2008D8F7-4426-4A92-98AD-D82D0FA0DF20}"/>
    <dgm:cxn modelId="{5FBCE6BB-5A51-464F-BCB1-5615D1F0E7EB}" type="presOf" srcId="{621547B8-6A65-4641-B1C7-360599CD999C}" destId="{C8CC1F78-81D2-491D-8A23-72D7917BCF24}" srcOrd="0" destOrd="0" presId="urn:microsoft.com/office/officeart/2005/8/layout/bProcess2"/>
    <dgm:cxn modelId="{20F38072-805F-429A-B195-D2D1C3039889}" type="presOf" srcId="{7D541AD4-60A0-4473-8BE3-66BC7BF3B744}" destId="{378E8DE1-3359-41AB-B011-53E29F343AF5}" srcOrd="0" destOrd="0" presId="urn:microsoft.com/office/officeart/2005/8/layout/bProcess2"/>
    <dgm:cxn modelId="{C2C92B25-E852-42B1-AAA8-BBBBD8E2378E}" srcId="{7D541AD4-60A0-4473-8BE3-66BC7BF3B744}" destId="{5A34F541-221B-48DA-80F4-9AE143257353}" srcOrd="0" destOrd="0" parTransId="{1E0CB808-10AC-4CB3-89F4-DE8A5C659642}" sibTransId="{25DF6019-AA0B-493F-87A5-ED770330D132}"/>
    <dgm:cxn modelId="{2F92D85F-8947-4147-9227-A811A85383C0}" type="presOf" srcId="{65305543-6F97-4598-B85C-6300E59A1CFF}" destId="{FA270B2E-0A16-4F9F-B472-49066849DAD0}" srcOrd="0" destOrd="0" presId="urn:microsoft.com/office/officeart/2005/8/layout/bProcess2"/>
    <dgm:cxn modelId="{38D9874A-D1C2-4C61-B89B-66ADF36CF87D}" srcId="{7D541AD4-60A0-4473-8BE3-66BC7BF3B744}" destId="{83ADA846-2081-4916-B813-1A67C9D99E7A}" srcOrd="1" destOrd="0" parTransId="{1EE3CFE3-031C-4B98-8C5D-D7CC853786CE}" sibTransId="{7DFFACEE-706E-4F35-B680-EB13D53519F6}"/>
    <dgm:cxn modelId="{713C9199-B850-4156-B694-8AA2AF0D4483}" type="presOf" srcId="{83ADA846-2081-4916-B813-1A67C9D99E7A}" destId="{235C94A0-429B-4E9F-B0F0-380D53AE622B}" srcOrd="0" destOrd="0" presId="urn:microsoft.com/office/officeart/2005/8/layout/bProcess2"/>
    <dgm:cxn modelId="{A43E4F65-78BE-4813-82FF-B6E4428E7100}" type="presOf" srcId="{25DF6019-AA0B-493F-87A5-ED770330D132}" destId="{A440A871-4476-499F-A4E7-4C98BFCD2339}" srcOrd="0" destOrd="0" presId="urn:microsoft.com/office/officeart/2005/8/layout/bProcess2"/>
    <dgm:cxn modelId="{D11BAEBF-E28E-4684-9ED5-0A6015B3F757}" srcId="{7D541AD4-60A0-4473-8BE3-66BC7BF3B744}" destId="{621547B8-6A65-4641-B1C7-360599CD999C}" srcOrd="3" destOrd="0" parTransId="{05DFADBD-CA84-4019-A5C4-A91815DBFED2}" sibTransId="{EB0273B6-4345-46E3-8005-106771A9306F}"/>
    <dgm:cxn modelId="{A163E90B-B239-41C1-9998-BC25CF6DF3E7}" srcId="{7D541AD4-60A0-4473-8BE3-66BC7BF3B744}" destId="{2E17FC9A-6720-4CE4-A23E-2254FB4DC066}" srcOrd="2" destOrd="0" parTransId="{97BC8914-978F-458C-8399-CADCD9CAF91A}" sibTransId="{883FE231-E17F-4BCC-8D63-CAF2B1004C08}"/>
    <dgm:cxn modelId="{85152692-8265-4FF1-9CA4-19286951F8FC}" type="presParOf" srcId="{378E8DE1-3359-41AB-B011-53E29F343AF5}" destId="{5C67E0D1-77E3-495B-B70D-BAF0003ECDD7}" srcOrd="0" destOrd="0" presId="urn:microsoft.com/office/officeart/2005/8/layout/bProcess2"/>
    <dgm:cxn modelId="{C2BCB4C8-A456-4C8B-B8FA-9147FCAF983F}" type="presParOf" srcId="{378E8DE1-3359-41AB-B011-53E29F343AF5}" destId="{A440A871-4476-499F-A4E7-4C98BFCD2339}" srcOrd="1" destOrd="0" presId="urn:microsoft.com/office/officeart/2005/8/layout/bProcess2"/>
    <dgm:cxn modelId="{ECDEBEDB-ABF8-488D-A4E8-46DC18D9CFB6}" type="presParOf" srcId="{378E8DE1-3359-41AB-B011-53E29F343AF5}" destId="{C4EE98CB-9039-4870-9234-E319A90FB480}" srcOrd="2" destOrd="0" presId="urn:microsoft.com/office/officeart/2005/8/layout/bProcess2"/>
    <dgm:cxn modelId="{96B61C80-FD2F-4A86-8B1D-486968C4E6D2}" type="presParOf" srcId="{C4EE98CB-9039-4870-9234-E319A90FB480}" destId="{E3E2DC54-F876-463C-9F2A-32253BBB0DFB}" srcOrd="0" destOrd="0" presId="urn:microsoft.com/office/officeart/2005/8/layout/bProcess2"/>
    <dgm:cxn modelId="{FE531DF6-7455-4D8A-AB5D-6BE3BFB0EE95}" type="presParOf" srcId="{C4EE98CB-9039-4870-9234-E319A90FB480}" destId="{235C94A0-429B-4E9F-B0F0-380D53AE622B}" srcOrd="1" destOrd="0" presId="urn:microsoft.com/office/officeart/2005/8/layout/bProcess2"/>
    <dgm:cxn modelId="{E5439E5D-5050-455A-B05B-55882DD2EB5C}" type="presParOf" srcId="{378E8DE1-3359-41AB-B011-53E29F343AF5}" destId="{173D20B6-3E61-4F9F-9840-4BE568F4376A}" srcOrd="3" destOrd="0" presId="urn:microsoft.com/office/officeart/2005/8/layout/bProcess2"/>
    <dgm:cxn modelId="{46A21BED-930B-4140-9532-39585B021B16}" type="presParOf" srcId="{378E8DE1-3359-41AB-B011-53E29F343AF5}" destId="{A352360C-CEAE-4C4A-9DC7-A722BC43DECA}" srcOrd="4" destOrd="0" presId="urn:microsoft.com/office/officeart/2005/8/layout/bProcess2"/>
    <dgm:cxn modelId="{77977361-9A60-43BE-AB88-47133F8D2CF9}" type="presParOf" srcId="{A352360C-CEAE-4C4A-9DC7-A722BC43DECA}" destId="{3CF4B731-5B6A-4FD5-BF23-834748FD45B2}" srcOrd="0" destOrd="0" presId="urn:microsoft.com/office/officeart/2005/8/layout/bProcess2"/>
    <dgm:cxn modelId="{8CDE10A6-33C3-4F91-B5BD-81408303BE3E}" type="presParOf" srcId="{A352360C-CEAE-4C4A-9DC7-A722BC43DECA}" destId="{D1A064A2-F7CC-4DF2-A0C7-3A27DE606493}" srcOrd="1" destOrd="0" presId="urn:microsoft.com/office/officeart/2005/8/layout/bProcess2"/>
    <dgm:cxn modelId="{B5742AAC-14BA-4617-B58E-77B8DEE83E0F}" type="presParOf" srcId="{378E8DE1-3359-41AB-B011-53E29F343AF5}" destId="{64E9AE15-E519-4311-A556-8545C378D071}" srcOrd="5" destOrd="0" presId="urn:microsoft.com/office/officeart/2005/8/layout/bProcess2"/>
    <dgm:cxn modelId="{6EFEADAE-6BA6-4C70-BACC-4F9EDD5177BF}" type="presParOf" srcId="{378E8DE1-3359-41AB-B011-53E29F343AF5}" destId="{4DCB7A13-A67D-4005-A565-9E2C1F54A0C1}" srcOrd="6" destOrd="0" presId="urn:microsoft.com/office/officeart/2005/8/layout/bProcess2"/>
    <dgm:cxn modelId="{E4ADEDD1-B93F-4636-94C4-BE2CEC09D905}" type="presParOf" srcId="{4DCB7A13-A67D-4005-A565-9E2C1F54A0C1}" destId="{FB36FFC2-8FC5-4540-A9CA-9B5992F42CCD}" srcOrd="0" destOrd="0" presId="urn:microsoft.com/office/officeart/2005/8/layout/bProcess2"/>
    <dgm:cxn modelId="{F0069752-5E4A-4FBF-BFE2-5CFF20F98FAC}" type="presParOf" srcId="{4DCB7A13-A67D-4005-A565-9E2C1F54A0C1}" destId="{C8CC1F78-81D2-491D-8A23-72D7917BCF24}" srcOrd="1" destOrd="0" presId="urn:microsoft.com/office/officeart/2005/8/layout/bProcess2"/>
    <dgm:cxn modelId="{06AC33C9-CC1F-46F1-A836-B01E112F7A7D}" type="presParOf" srcId="{378E8DE1-3359-41AB-B011-53E29F343AF5}" destId="{B1B378C1-A7DC-436D-BD5C-09638CBDFF80}" srcOrd="7" destOrd="0" presId="urn:microsoft.com/office/officeart/2005/8/layout/bProcess2"/>
    <dgm:cxn modelId="{EB9A4DC0-7A4C-42EB-8394-59585FB3AD58}" type="presParOf" srcId="{378E8DE1-3359-41AB-B011-53E29F343AF5}" destId="{1C6FD080-424D-49F7-BD30-7072512A142F}" srcOrd="8" destOrd="0" presId="urn:microsoft.com/office/officeart/2005/8/layout/bProcess2"/>
    <dgm:cxn modelId="{31E31D6C-7ED6-4170-8E00-79529BC6C659}" type="presParOf" srcId="{1C6FD080-424D-49F7-BD30-7072512A142F}" destId="{86501EA7-925E-44C8-BB0C-80A7F41C942A}" srcOrd="0" destOrd="0" presId="urn:microsoft.com/office/officeart/2005/8/layout/bProcess2"/>
    <dgm:cxn modelId="{7D8C1A98-5C5C-4454-B944-7D0952918C64}" type="presParOf" srcId="{1C6FD080-424D-49F7-BD30-7072512A142F}" destId="{08845820-4F3B-4862-B361-2708AB42503C}" srcOrd="1" destOrd="0" presId="urn:microsoft.com/office/officeart/2005/8/layout/bProcess2"/>
    <dgm:cxn modelId="{72DBCECE-90D8-41F3-BF0C-F10BE1BC1724}" type="presParOf" srcId="{378E8DE1-3359-41AB-B011-53E29F343AF5}" destId="{C5BFD143-E9ED-4967-9D91-EBEC0B4CE158}" srcOrd="9" destOrd="0" presId="urn:microsoft.com/office/officeart/2005/8/layout/bProcess2"/>
    <dgm:cxn modelId="{D97B4BF0-59F1-46A4-A2B3-ED6DBD3F0B4C}" type="presParOf" srcId="{378E8DE1-3359-41AB-B011-53E29F343AF5}" destId="{DB5FB854-AC5B-483E-8755-84AED73AEC07}" srcOrd="10" destOrd="0" presId="urn:microsoft.com/office/officeart/2005/8/layout/bProcess2"/>
    <dgm:cxn modelId="{C36B23E6-6616-4409-8D02-B1DC64727D4F}" type="presParOf" srcId="{DB5FB854-AC5B-483E-8755-84AED73AEC07}" destId="{E79C627F-9137-4756-B24C-095C5FAC89E3}" srcOrd="0" destOrd="0" presId="urn:microsoft.com/office/officeart/2005/8/layout/bProcess2"/>
    <dgm:cxn modelId="{8F293428-8DB2-476F-B97A-B1329F97AEFB}" type="presParOf" srcId="{DB5FB854-AC5B-483E-8755-84AED73AEC07}" destId="{B44E3D25-8567-449B-BA20-792BE9ED2F91}" srcOrd="1" destOrd="0" presId="urn:microsoft.com/office/officeart/2005/8/layout/bProcess2"/>
    <dgm:cxn modelId="{63F6E030-A3FF-4C0D-B58C-104CD3722950}" type="presParOf" srcId="{378E8DE1-3359-41AB-B011-53E29F343AF5}" destId="{51DA5AF1-B558-4336-8CD6-FC9483527F3D}" srcOrd="11" destOrd="0" presId="urn:microsoft.com/office/officeart/2005/8/layout/bProcess2"/>
    <dgm:cxn modelId="{77B2EF4D-6A46-4D32-8CBA-477FCCD77ED8}" type="presParOf" srcId="{378E8DE1-3359-41AB-B011-53E29F343AF5}" destId="{FA270B2E-0A16-4F9F-B472-49066849DAD0}" srcOrd="12" destOrd="0" presId="urn:microsoft.com/office/officeart/2005/8/layout/b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5E33E9-28A0-40EB-B192-1746E3F9AD71}"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s-ES"/>
        </a:p>
      </dgm:t>
    </dgm:pt>
    <dgm:pt modelId="{4951162B-AB67-485E-A8EA-D266AA581336}">
      <dgm:prSet phldrT="[Texto]"/>
      <dgm:spPr/>
      <dgm:t>
        <a:bodyPr/>
        <a:lstStyle/>
        <a:p>
          <a:r>
            <a:rPr lang="es-ES"/>
            <a:t>Balbino Arizu y Sotero Arizu</a:t>
          </a:r>
        </a:p>
      </dgm:t>
    </dgm:pt>
    <dgm:pt modelId="{C70ACBC7-A7E6-4380-8A1E-9C20AEB7142C}" type="parTrans" cxnId="{12D5F44A-DC1F-406B-B015-6CBC60CD5929}">
      <dgm:prSet/>
      <dgm:spPr/>
      <dgm:t>
        <a:bodyPr/>
        <a:lstStyle/>
        <a:p>
          <a:endParaRPr lang="es-ES"/>
        </a:p>
      </dgm:t>
    </dgm:pt>
    <dgm:pt modelId="{DC7C3471-D642-4A38-96BF-24F5ED046671}" type="sibTrans" cxnId="{12D5F44A-DC1F-406B-B015-6CBC60CD5929}">
      <dgm:prSet/>
      <dgm:spPr/>
      <dgm:t>
        <a:bodyPr/>
        <a:lstStyle/>
        <a:p>
          <a:endParaRPr lang="es-ES"/>
        </a:p>
      </dgm:t>
    </dgm:pt>
    <dgm:pt modelId="{DBE30456-1C63-4CB7-8B86-68EFA37462E2}">
      <dgm:prSet phldrT="[Texto]"/>
      <dgm:spPr/>
      <dgm:t>
        <a:bodyPr/>
        <a:lstStyle/>
        <a:p>
          <a:r>
            <a:rPr lang="es-ES"/>
            <a:t>1888 Arizu Hnos.</a:t>
          </a:r>
        </a:p>
      </dgm:t>
    </dgm:pt>
    <dgm:pt modelId="{94BC6AFE-41C7-4085-B9AE-C8E5CD4B0341}" type="parTrans" cxnId="{B002480D-C636-48E3-83F5-DFFC2FFA15D7}">
      <dgm:prSet/>
      <dgm:spPr/>
      <dgm:t>
        <a:bodyPr/>
        <a:lstStyle/>
        <a:p>
          <a:endParaRPr lang="es-ES"/>
        </a:p>
      </dgm:t>
    </dgm:pt>
    <dgm:pt modelId="{56D83E97-2A61-4A9C-8735-4BFCF416BB0C}" type="sibTrans" cxnId="{B002480D-C636-48E3-83F5-DFFC2FFA15D7}">
      <dgm:prSet/>
      <dgm:spPr/>
      <dgm:t>
        <a:bodyPr/>
        <a:lstStyle/>
        <a:p>
          <a:endParaRPr lang="es-ES"/>
        </a:p>
      </dgm:t>
    </dgm:pt>
    <dgm:pt modelId="{122B1BA6-B0C3-4374-85D1-00F7BD735BF9}">
      <dgm:prSet phldrT="[Texto]"/>
      <dgm:spPr/>
      <dgm:t>
        <a:bodyPr/>
        <a:lstStyle/>
        <a:p>
          <a:r>
            <a:rPr lang="es-ES"/>
            <a:t>1914 Balbino condecoarado por Rey Alfonso XIII.</a:t>
          </a:r>
        </a:p>
      </dgm:t>
    </dgm:pt>
    <dgm:pt modelId="{E169403B-F72C-4441-AC6E-8ADAA0EF9A38}" type="parTrans" cxnId="{648D19F8-E104-4A60-BF9F-963E01F0AD5F}">
      <dgm:prSet/>
      <dgm:spPr/>
      <dgm:t>
        <a:bodyPr/>
        <a:lstStyle/>
        <a:p>
          <a:endParaRPr lang="es-ES"/>
        </a:p>
      </dgm:t>
    </dgm:pt>
    <dgm:pt modelId="{E5BF3823-F482-47A0-90E8-AE8EDE598F42}" type="sibTrans" cxnId="{648D19F8-E104-4A60-BF9F-963E01F0AD5F}">
      <dgm:prSet/>
      <dgm:spPr/>
      <dgm:t>
        <a:bodyPr/>
        <a:lstStyle/>
        <a:p>
          <a:endParaRPr lang="es-ES"/>
        </a:p>
      </dgm:t>
    </dgm:pt>
    <dgm:pt modelId="{C52D0CA9-5847-4FA8-B023-7E6C4D3405BB}">
      <dgm:prSet phldrT="[Texto]"/>
      <dgm:spPr/>
      <dgm:t>
        <a:bodyPr/>
        <a:lstStyle/>
        <a:p>
          <a:r>
            <a:rPr lang="es-ES"/>
            <a:t>1904 Sotero y Balbino, Sociedad Solidaria.</a:t>
          </a:r>
        </a:p>
      </dgm:t>
    </dgm:pt>
    <dgm:pt modelId="{93345B19-54FC-4CC8-8D0D-8404BCD6A27A}" type="parTrans" cxnId="{6F3B0A71-EC2F-4131-B27A-C6C0641872EA}">
      <dgm:prSet/>
      <dgm:spPr/>
      <dgm:t>
        <a:bodyPr/>
        <a:lstStyle/>
        <a:p>
          <a:endParaRPr lang="es-ES"/>
        </a:p>
      </dgm:t>
    </dgm:pt>
    <dgm:pt modelId="{1C643339-1469-42DB-93F1-E1F21F391ECF}" type="sibTrans" cxnId="{6F3B0A71-EC2F-4131-B27A-C6C0641872EA}">
      <dgm:prSet/>
      <dgm:spPr/>
      <dgm:t>
        <a:bodyPr/>
        <a:lstStyle/>
        <a:p>
          <a:endParaRPr lang="es-ES"/>
        </a:p>
      </dgm:t>
    </dgm:pt>
    <dgm:pt modelId="{6B0A4D88-5683-4D17-AD64-BE6486FB93CE}">
      <dgm:prSet phldrT="[Texto]"/>
      <dgm:spPr/>
      <dgm:t>
        <a:bodyPr/>
        <a:lstStyle/>
        <a:p>
          <a:r>
            <a:rPr lang="es-ES"/>
            <a:t>1889 Bodega en Godoy Cruz</a:t>
          </a:r>
        </a:p>
      </dgm:t>
    </dgm:pt>
    <dgm:pt modelId="{F4ECC71A-3FAE-4176-8BE7-DE1065A99886}" type="parTrans" cxnId="{C852EA0E-A7FA-4734-BBDE-62BFEFB4CFEF}">
      <dgm:prSet/>
      <dgm:spPr/>
      <dgm:t>
        <a:bodyPr/>
        <a:lstStyle/>
        <a:p>
          <a:endParaRPr lang="es-ES"/>
        </a:p>
      </dgm:t>
    </dgm:pt>
    <dgm:pt modelId="{0F44E7C5-7BC4-4F3D-A9F5-5DB193E04269}" type="sibTrans" cxnId="{C852EA0E-A7FA-4734-BBDE-62BFEFB4CFEF}">
      <dgm:prSet/>
      <dgm:spPr/>
      <dgm:t>
        <a:bodyPr/>
        <a:lstStyle/>
        <a:p>
          <a:endParaRPr lang="es-ES"/>
        </a:p>
      </dgm:t>
    </dgm:pt>
    <dgm:pt modelId="{4CAD1086-71BC-47CE-840C-6BB72F6A1A8D}">
      <dgm:prSet/>
      <dgm:spPr/>
      <dgm:t>
        <a:bodyPr/>
        <a:lstStyle/>
        <a:p>
          <a:r>
            <a:rPr lang="es-ES"/>
            <a:t>1907 donan terrenos para Villa Atuel</a:t>
          </a:r>
        </a:p>
      </dgm:t>
    </dgm:pt>
    <dgm:pt modelId="{A0902780-3689-4BD2-A281-4E2031BA8196}" type="parTrans" cxnId="{718563F0-F5A8-4B3B-83A8-0239217768D5}">
      <dgm:prSet/>
      <dgm:spPr/>
      <dgm:t>
        <a:bodyPr/>
        <a:lstStyle/>
        <a:p>
          <a:endParaRPr lang="es-ES"/>
        </a:p>
      </dgm:t>
    </dgm:pt>
    <dgm:pt modelId="{486C80E9-782E-4D40-80E2-7B549EE3483C}" type="sibTrans" cxnId="{718563F0-F5A8-4B3B-83A8-0239217768D5}">
      <dgm:prSet/>
      <dgm:spPr/>
      <dgm:t>
        <a:bodyPr/>
        <a:lstStyle/>
        <a:p>
          <a:endParaRPr lang="es-ES"/>
        </a:p>
      </dgm:t>
    </dgm:pt>
    <dgm:pt modelId="{1424CE21-1C23-4443-8B3C-CBED3FA3BEA5}">
      <dgm:prSet/>
      <dgm:spPr/>
      <dgm:t>
        <a:bodyPr/>
        <a:lstStyle/>
        <a:p>
          <a:r>
            <a:rPr lang="es-ES"/>
            <a:t>1908 Socedidad Anónima en Godoy Cruz</a:t>
          </a:r>
        </a:p>
      </dgm:t>
    </dgm:pt>
    <dgm:pt modelId="{33D4D031-668A-44D2-9870-800C3FF9010C}" type="parTrans" cxnId="{D5C8407E-63D4-4E39-BE1F-8F67AF200351}">
      <dgm:prSet/>
      <dgm:spPr/>
      <dgm:t>
        <a:bodyPr/>
        <a:lstStyle/>
        <a:p>
          <a:endParaRPr lang="es-ES"/>
        </a:p>
      </dgm:t>
    </dgm:pt>
    <dgm:pt modelId="{1E320BFD-FEA3-4F3A-A70C-A68A67E0BB8A}" type="sibTrans" cxnId="{D5C8407E-63D4-4E39-BE1F-8F67AF200351}">
      <dgm:prSet/>
      <dgm:spPr/>
      <dgm:t>
        <a:bodyPr/>
        <a:lstStyle/>
        <a:p>
          <a:endParaRPr lang="es-ES"/>
        </a:p>
      </dgm:t>
    </dgm:pt>
    <dgm:pt modelId="{69DE560F-8FCC-4078-903D-B69C434DB24B}" type="pres">
      <dgm:prSet presAssocID="{6D5E33E9-28A0-40EB-B192-1746E3F9AD71}" presName="Name0" presStyleCnt="0">
        <dgm:presLayoutVars>
          <dgm:chMax val="1"/>
          <dgm:dir/>
          <dgm:animLvl val="ctr"/>
          <dgm:resizeHandles val="exact"/>
        </dgm:presLayoutVars>
      </dgm:prSet>
      <dgm:spPr/>
      <dgm:t>
        <a:bodyPr/>
        <a:lstStyle/>
        <a:p>
          <a:endParaRPr lang="es-ES"/>
        </a:p>
      </dgm:t>
    </dgm:pt>
    <dgm:pt modelId="{79496190-3A72-4BEC-B308-1CC3D04D37EA}" type="pres">
      <dgm:prSet presAssocID="{4951162B-AB67-485E-A8EA-D266AA581336}" presName="centerShape" presStyleLbl="node0" presStyleIdx="0" presStyleCnt="1"/>
      <dgm:spPr/>
      <dgm:t>
        <a:bodyPr/>
        <a:lstStyle/>
        <a:p>
          <a:endParaRPr lang="es-ES"/>
        </a:p>
      </dgm:t>
    </dgm:pt>
    <dgm:pt modelId="{82F774D0-0EE3-4030-8E77-DF790CFB92D0}" type="pres">
      <dgm:prSet presAssocID="{94BC6AFE-41C7-4085-B9AE-C8E5CD4B0341}" presName="parTrans" presStyleLbl="sibTrans2D1" presStyleIdx="0" presStyleCnt="6"/>
      <dgm:spPr/>
      <dgm:t>
        <a:bodyPr/>
        <a:lstStyle/>
        <a:p>
          <a:endParaRPr lang="es-ES"/>
        </a:p>
      </dgm:t>
    </dgm:pt>
    <dgm:pt modelId="{F6B36A8C-E74E-41BA-B070-1D37177E3536}" type="pres">
      <dgm:prSet presAssocID="{94BC6AFE-41C7-4085-B9AE-C8E5CD4B0341}" presName="connectorText" presStyleLbl="sibTrans2D1" presStyleIdx="0" presStyleCnt="6"/>
      <dgm:spPr/>
      <dgm:t>
        <a:bodyPr/>
        <a:lstStyle/>
        <a:p>
          <a:endParaRPr lang="es-ES"/>
        </a:p>
      </dgm:t>
    </dgm:pt>
    <dgm:pt modelId="{66F67500-3957-439D-973D-4083D6B80C7A}" type="pres">
      <dgm:prSet presAssocID="{DBE30456-1C63-4CB7-8B86-68EFA37462E2}" presName="node" presStyleLbl="node1" presStyleIdx="0" presStyleCnt="6">
        <dgm:presLayoutVars>
          <dgm:bulletEnabled val="1"/>
        </dgm:presLayoutVars>
      </dgm:prSet>
      <dgm:spPr/>
      <dgm:t>
        <a:bodyPr/>
        <a:lstStyle/>
        <a:p>
          <a:endParaRPr lang="es-ES"/>
        </a:p>
      </dgm:t>
    </dgm:pt>
    <dgm:pt modelId="{75BB2862-F06E-4B68-9CC4-B541FF5A7423}" type="pres">
      <dgm:prSet presAssocID="{E169403B-F72C-4441-AC6E-8ADAA0EF9A38}" presName="parTrans" presStyleLbl="sibTrans2D1" presStyleIdx="1" presStyleCnt="6"/>
      <dgm:spPr/>
      <dgm:t>
        <a:bodyPr/>
        <a:lstStyle/>
        <a:p>
          <a:endParaRPr lang="es-ES"/>
        </a:p>
      </dgm:t>
    </dgm:pt>
    <dgm:pt modelId="{8CF8FF53-48C9-46C9-A7BE-5690F6E21AAC}" type="pres">
      <dgm:prSet presAssocID="{E169403B-F72C-4441-AC6E-8ADAA0EF9A38}" presName="connectorText" presStyleLbl="sibTrans2D1" presStyleIdx="1" presStyleCnt="6"/>
      <dgm:spPr/>
      <dgm:t>
        <a:bodyPr/>
        <a:lstStyle/>
        <a:p>
          <a:endParaRPr lang="es-ES"/>
        </a:p>
      </dgm:t>
    </dgm:pt>
    <dgm:pt modelId="{79042726-4D61-4F4F-9A3F-4EF7242878E1}" type="pres">
      <dgm:prSet presAssocID="{122B1BA6-B0C3-4374-85D1-00F7BD735BF9}" presName="node" presStyleLbl="node1" presStyleIdx="1" presStyleCnt="6">
        <dgm:presLayoutVars>
          <dgm:bulletEnabled val="1"/>
        </dgm:presLayoutVars>
      </dgm:prSet>
      <dgm:spPr/>
      <dgm:t>
        <a:bodyPr/>
        <a:lstStyle/>
        <a:p>
          <a:endParaRPr lang="es-ES"/>
        </a:p>
      </dgm:t>
    </dgm:pt>
    <dgm:pt modelId="{A08E2BBE-790B-4377-B710-A47C4584ACCB}" type="pres">
      <dgm:prSet presAssocID="{33D4D031-668A-44D2-9870-800C3FF9010C}" presName="parTrans" presStyleLbl="sibTrans2D1" presStyleIdx="2" presStyleCnt="6"/>
      <dgm:spPr/>
      <dgm:t>
        <a:bodyPr/>
        <a:lstStyle/>
        <a:p>
          <a:endParaRPr lang="es-ES"/>
        </a:p>
      </dgm:t>
    </dgm:pt>
    <dgm:pt modelId="{24E0486F-D8A6-47A6-8942-1208E481DB35}" type="pres">
      <dgm:prSet presAssocID="{33D4D031-668A-44D2-9870-800C3FF9010C}" presName="connectorText" presStyleLbl="sibTrans2D1" presStyleIdx="2" presStyleCnt="6"/>
      <dgm:spPr/>
      <dgm:t>
        <a:bodyPr/>
        <a:lstStyle/>
        <a:p>
          <a:endParaRPr lang="es-ES"/>
        </a:p>
      </dgm:t>
    </dgm:pt>
    <dgm:pt modelId="{C0D51493-5906-4038-8264-E5865D893DCD}" type="pres">
      <dgm:prSet presAssocID="{1424CE21-1C23-4443-8B3C-CBED3FA3BEA5}" presName="node" presStyleLbl="node1" presStyleIdx="2" presStyleCnt="6">
        <dgm:presLayoutVars>
          <dgm:bulletEnabled val="1"/>
        </dgm:presLayoutVars>
      </dgm:prSet>
      <dgm:spPr/>
      <dgm:t>
        <a:bodyPr/>
        <a:lstStyle/>
        <a:p>
          <a:endParaRPr lang="es-ES"/>
        </a:p>
      </dgm:t>
    </dgm:pt>
    <dgm:pt modelId="{D19A8AA7-BBD3-495D-B32E-AE51CF2DA6D4}" type="pres">
      <dgm:prSet presAssocID="{A0902780-3689-4BD2-A281-4E2031BA8196}" presName="parTrans" presStyleLbl="sibTrans2D1" presStyleIdx="3" presStyleCnt="6"/>
      <dgm:spPr/>
      <dgm:t>
        <a:bodyPr/>
        <a:lstStyle/>
        <a:p>
          <a:endParaRPr lang="es-ES"/>
        </a:p>
      </dgm:t>
    </dgm:pt>
    <dgm:pt modelId="{DD4E62D5-165C-4171-83BD-E4553F7ECBD3}" type="pres">
      <dgm:prSet presAssocID="{A0902780-3689-4BD2-A281-4E2031BA8196}" presName="connectorText" presStyleLbl="sibTrans2D1" presStyleIdx="3" presStyleCnt="6"/>
      <dgm:spPr/>
      <dgm:t>
        <a:bodyPr/>
        <a:lstStyle/>
        <a:p>
          <a:endParaRPr lang="es-ES"/>
        </a:p>
      </dgm:t>
    </dgm:pt>
    <dgm:pt modelId="{F49ECFB3-7F59-42A3-AACD-E91091552617}" type="pres">
      <dgm:prSet presAssocID="{4CAD1086-71BC-47CE-840C-6BB72F6A1A8D}" presName="node" presStyleLbl="node1" presStyleIdx="3" presStyleCnt="6">
        <dgm:presLayoutVars>
          <dgm:bulletEnabled val="1"/>
        </dgm:presLayoutVars>
      </dgm:prSet>
      <dgm:spPr/>
      <dgm:t>
        <a:bodyPr/>
        <a:lstStyle/>
        <a:p>
          <a:endParaRPr lang="es-ES"/>
        </a:p>
      </dgm:t>
    </dgm:pt>
    <dgm:pt modelId="{26D0F2E8-F7F0-4058-B1EC-681E52FA7810}" type="pres">
      <dgm:prSet presAssocID="{93345B19-54FC-4CC8-8D0D-8404BCD6A27A}" presName="parTrans" presStyleLbl="sibTrans2D1" presStyleIdx="4" presStyleCnt="6"/>
      <dgm:spPr/>
      <dgm:t>
        <a:bodyPr/>
        <a:lstStyle/>
        <a:p>
          <a:endParaRPr lang="es-ES"/>
        </a:p>
      </dgm:t>
    </dgm:pt>
    <dgm:pt modelId="{16D98726-DD98-4EA5-9B99-7A893F274F45}" type="pres">
      <dgm:prSet presAssocID="{93345B19-54FC-4CC8-8D0D-8404BCD6A27A}" presName="connectorText" presStyleLbl="sibTrans2D1" presStyleIdx="4" presStyleCnt="6"/>
      <dgm:spPr/>
      <dgm:t>
        <a:bodyPr/>
        <a:lstStyle/>
        <a:p>
          <a:endParaRPr lang="es-ES"/>
        </a:p>
      </dgm:t>
    </dgm:pt>
    <dgm:pt modelId="{9E052CC0-922C-4EAC-8FAD-396472A3563A}" type="pres">
      <dgm:prSet presAssocID="{C52D0CA9-5847-4FA8-B023-7E6C4D3405BB}" presName="node" presStyleLbl="node1" presStyleIdx="4" presStyleCnt="6">
        <dgm:presLayoutVars>
          <dgm:bulletEnabled val="1"/>
        </dgm:presLayoutVars>
      </dgm:prSet>
      <dgm:spPr/>
      <dgm:t>
        <a:bodyPr/>
        <a:lstStyle/>
        <a:p>
          <a:endParaRPr lang="es-ES"/>
        </a:p>
      </dgm:t>
    </dgm:pt>
    <dgm:pt modelId="{BE37FFBE-5DD4-47D0-8C66-72DFC3877579}" type="pres">
      <dgm:prSet presAssocID="{F4ECC71A-3FAE-4176-8BE7-DE1065A99886}" presName="parTrans" presStyleLbl="sibTrans2D1" presStyleIdx="5" presStyleCnt="6"/>
      <dgm:spPr/>
      <dgm:t>
        <a:bodyPr/>
        <a:lstStyle/>
        <a:p>
          <a:endParaRPr lang="es-ES"/>
        </a:p>
      </dgm:t>
    </dgm:pt>
    <dgm:pt modelId="{D8971F84-A630-4E77-A58A-A2CC6B755149}" type="pres">
      <dgm:prSet presAssocID="{F4ECC71A-3FAE-4176-8BE7-DE1065A99886}" presName="connectorText" presStyleLbl="sibTrans2D1" presStyleIdx="5" presStyleCnt="6"/>
      <dgm:spPr/>
      <dgm:t>
        <a:bodyPr/>
        <a:lstStyle/>
        <a:p>
          <a:endParaRPr lang="es-ES"/>
        </a:p>
      </dgm:t>
    </dgm:pt>
    <dgm:pt modelId="{55711BCB-6B1F-4463-BCA8-4BA954D3A2BB}" type="pres">
      <dgm:prSet presAssocID="{6B0A4D88-5683-4D17-AD64-BE6486FB93CE}" presName="node" presStyleLbl="node1" presStyleIdx="5" presStyleCnt="6">
        <dgm:presLayoutVars>
          <dgm:bulletEnabled val="1"/>
        </dgm:presLayoutVars>
      </dgm:prSet>
      <dgm:spPr/>
      <dgm:t>
        <a:bodyPr/>
        <a:lstStyle/>
        <a:p>
          <a:endParaRPr lang="es-ES"/>
        </a:p>
      </dgm:t>
    </dgm:pt>
  </dgm:ptLst>
  <dgm:cxnLst>
    <dgm:cxn modelId="{73506649-E7A5-46B7-936D-A0F83FE7D65F}" type="presOf" srcId="{F4ECC71A-3FAE-4176-8BE7-DE1065A99886}" destId="{D8971F84-A630-4E77-A58A-A2CC6B755149}" srcOrd="1" destOrd="0" presId="urn:microsoft.com/office/officeart/2005/8/layout/radial5"/>
    <dgm:cxn modelId="{6F3B0A71-EC2F-4131-B27A-C6C0641872EA}" srcId="{4951162B-AB67-485E-A8EA-D266AA581336}" destId="{C52D0CA9-5847-4FA8-B023-7E6C4D3405BB}" srcOrd="4" destOrd="0" parTransId="{93345B19-54FC-4CC8-8D0D-8404BCD6A27A}" sibTransId="{1C643339-1469-42DB-93F1-E1F21F391ECF}"/>
    <dgm:cxn modelId="{D93BB0B0-0F41-4037-9103-414CC89F315B}" type="presOf" srcId="{93345B19-54FC-4CC8-8D0D-8404BCD6A27A}" destId="{16D98726-DD98-4EA5-9B99-7A893F274F45}" srcOrd="1" destOrd="0" presId="urn:microsoft.com/office/officeart/2005/8/layout/radial5"/>
    <dgm:cxn modelId="{C2E9F149-5529-4E67-B101-EA5CBCF63A40}" type="presOf" srcId="{33D4D031-668A-44D2-9870-800C3FF9010C}" destId="{24E0486F-D8A6-47A6-8942-1208E481DB35}" srcOrd="1" destOrd="0" presId="urn:microsoft.com/office/officeart/2005/8/layout/radial5"/>
    <dgm:cxn modelId="{214B4468-34F0-4BEB-90AD-77582C85A9C1}" type="presOf" srcId="{E169403B-F72C-4441-AC6E-8ADAA0EF9A38}" destId="{8CF8FF53-48C9-46C9-A7BE-5690F6E21AAC}" srcOrd="1" destOrd="0" presId="urn:microsoft.com/office/officeart/2005/8/layout/radial5"/>
    <dgm:cxn modelId="{9C6EECA6-88DD-4681-BFDE-EAD66C8CBDB6}" type="presOf" srcId="{A0902780-3689-4BD2-A281-4E2031BA8196}" destId="{D19A8AA7-BBD3-495D-B32E-AE51CF2DA6D4}" srcOrd="0" destOrd="0" presId="urn:microsoft.com/office/officeart/2005/8/layout/radial5"/>
    <dgm:cxn modelId="{648D19F8-E104-4A60-BF9F-963E01F0AD5F}" srcId="{4951162B-AB67-485E-A8EA-D266AA581336}" destId="{122B1BA6-B0C3-4374-85D1-00F7BD735BF9}" srcOrd="1" destOrd="0" parTransId="{E169403B-F72C-4441-AC6E-8ADAA0EF9A38}" sibTransId="{E5BF3823-F482-47A0-90E8-AE8EDE598F42}"/>
    <dgm:cxn modelId="{25275B45-90BA-49D0-B5FF-8A0BAEB3E1FB}" type="presOf" srcId="{6D5E33E9-28A0-40EB-B192-1746E3F9AD71}" destId="{69DE560F-8FCC-4078-903D-B69C434DB24B}" srcOrd="0" destOrd="0" presId="urn:microsoft.com/office/officeart/2005/8/layout/radial5"/>
    <dgm:cxn modelId="{7552023B-BFAF-4D4C-8CF8-018088796B0E}" type="presOf" srcId="{4CAD1086-71BC-47CE-840C-6BB72F6A1A8D}" destId="{F49ECFB3-7F59-42A3-AACD-E91091552617}" srcOrd="0" destOrd="0" presId="urn:microsoft.com/office/officeart/2005/8/layout/radial5"/>
    <dgm:cxn modelId="{718563F0-F5A8-4B3B-83A8-0239217768D5}" srcId="{4951162B-AB67-485E-A8EA-D266AA581336}" destId="{4CAD1086-71BC-47CE-840C-6BB72F6A1A8D}" srcOrd="3" destOrd="0" parTransId="{A0902780-3689-4BD2-A281-4E2031BA8196}" sibTransId="{486C80E9-782E-4D40-80E2-7B549EE3483C}"/>
    <dgm:cxn modelId="{0E4F4626-4FB9-48EE-9BE7-D5E0A118975E}" type="presOf" srcId="{F4ECC71A-3FAE-4176-8BE7-DE1065A99886}" destId="{BE37FFBE-5DD4-47D0-8C66-72DFC3877579}" srcOrd="0" destOrd="0" presId="urn:microsoft.com/office/officeart/2005/8/layout/radial5"/>
    <dgm:cxn modelId="{9EA06CFE-A697-4891-9596-A429F2A79F25}" type="presOf" srcId="{94BC6AFE-41C7-4085-B9AE-C8E5CD4B0341}" destId="{82F774D0-0EE3-4030-8E77-DF790CFB92D0}" srcOrd="0" destOrd="0" presId="urn:microsoft.com/office/officeart/2005/8/layout/radial5"/>
    <dgm:cxn modelId="{B002480D-C636-48E3-83F5-DFFC2FFA15D7}" srcId="{4951162B-AB67-485E-A8EA-D266AA581336}" destId="{DBE30456-1C63-4CB7-8B86-68EFA37462E2}" srcOrd="0" destOrd="0" parTransId="{94BC6AFE-41C7-4085-B9AE-C8E5CD4B0341}" sibTransId="{56D83E97-2A61-4A9C-8735-4BFCF416BB0C}"/>
    <dgm:cxn modelId="{B536CA95-D7EF-4524-BCF5-128AAE96BB36}" type="presOf" srcId="{122B1BA6-B0C3-4374-85D1-00F7BD735BF9}" destId="{79042726-4D61-4F4F-9A3F-4EF7242878E1}" srcOrd="0" destOrd="0" presId="urn:microsoft.com/office/officeart/2005/8/layout/radial5"/>
    <dgm:cxn modelId="{3E85CBAE-7141-4E78-AB03-C4F256E871B8}" type="presOf" srcId="{E169403B-F72C-4441-AC6E-8ADAA0EF9A38}" destId="{75BB2862-F06E-4B68-9CC4-B541FF5A7423}" srcOrd="0" destOrd="0" presId="urn:microsoft.com/office/officeart/2005/8/layout/radial5"/>
    <dgm:cxn modelId="{F6E52FDD-17F8-4999-938D-3FC8BC2D45B3}" type="presOf" srcId="{33D4D031-668A-44D2-9870-800C3FF9010C}" destId="{A08E2BBE-790B-4377-B710-A47C4584ACCB}" srcOrd="0" destOrd="0" presId="urn:microsoft.com/office/officeart/2005/8/layout/radial5"/>
    <dgm:cxn modelId="{A338E83D-EBF2-4C43-A899-8C203BC5EF9B}" type="presOf" srcId="{C52D0CA9-5847-4FA8-B023-7E6C4D3405BB}" destId="{9E052CC0-922C-4EAC-8FAD-396472A3563A}" srcOrd="0" destOrd="0" presId="urn:microsoft.com/office/officeart/2005/8/layout/radial5"/>
    <dgm:cxn modelId="{70A68633-D618-40E2-A98F-7278DF5D0006}" type="presOf" srcId="{6B0A4D88-5683-4D17-AD64-BE6486FB93CE}" destId="{55711BCB-6B1F-4463-BCA8-4BA954D3A2BB}" srcOrd="0" destOrd="0" presId="urn:microsoft.com/office/officeart/2005/8/layout/radial5"/>
    <dgm:cxn modelId="{B9BDBCB5-E543-4337-869A-42B4C444C568}" type="presOf" srcId="{93345B19-54FC-4CC8-8D0D-8404BCD6A27A}" destId="{26D0F2E8-F7F0-4058-B1EC-681E52FA7810}" srcOrd="0" destOrd="0" presId="urn:microsoft.com/office/officeart/2005/8/layout/radial5"/>
    <dgm:cxn modelId="{794AFB29-A357-414B-BBFE-3EE6ADA261E2}" type="presOf" srcId="{94BC6AFE-41C7-4085-B9AE-C8E5CD4B0341}" destId="{F6B36A8C-E74E-41BA-B070-1D37177E3536}" srcOrd="1" destOrd="0" presId="urn:microsoft.com/office/officeart/2005/8/layout/radial5"/>
    <dgm:cxn modelId="{BC4D6762-654A-4B59-8BB7-CFB2A873A34A}" type="presOf" srcId="{DBE30456-1C63-4CB7-8B86-68EFA37462E2}" destId="{66F67500-3957-439D-973D-4083D6B80C7A}" srcOrd="0" destOrd="0" presId="urn:microsoft.com/office/officeart/2005/8/layout/radial5"/>
    <dgm:cxn modelId="{FBD2DC85-08C6-46DD-9AD2-E76AFB1E0234}" type="presOf" srcId="{1424CE21-1C23-4443-8B3C-CBED3FA3BEA5}" destId="{C0D51493-5906-4038-8264-E5865D893DCD}" srcOrd="0" destOrd="0" presId="urn:microsoft.com/office/officeart/2005/8/layout/radial5"/>
    <dgm:cxn modelId="{B79C3D2E-7758-4336-8DF2-5F916235CDD9}" type="presOf" srcId="{A0902780-3689-4BD2-A281-4E2031BA8196}" destId="{DD4E62D5-165C-4171-83BD-E4553F7ECBD3}" srcOrd="1" destOrd="0" presId="urn:microsoft.com/office/officeart/2005/8/layout/radial5"/>
    <dgm:cxn modelId="{12D5F44A-DC1F-406B-B015-6CBC60CD5929}" srcId="{6D5E33E9-28A0-40EB-B192-1746E3F9AD71}" destId="{4951162B-AB67-485E-A8EA-D266AA581336}" srcOrd="0" destOrd="0" parTransId="{C70ACBC7-A7E6-4380-8A1E-9C20AEB7142C}" sibTransId="{DC7C3471-D642-4A38-96BF-24F5ED046671}"/>
    <dgm:cxn modelId="{C852EA0E-A7FA-4734-BBDE-62BFEFB4CFEF}" srcId="{4951162B-AB67-485E-A8EA-D266AA581336}" destId="{6B0A4D88-5683-4D17-AD64-BE6486FB93CE}" srcOrd="5" destOrd="0" parTransId="{F4ECC71A-3FAE-4176-8BE7-DE1065A99886}" sibTransId="{0F44E7C5-7BC4-4F3D-A9F5-5DB193E04269}"/>
    <dgm:cxn modelId="{D5C8407E-63D4-4E39-BE1F-8F67AF200351}" srcId="{4951162B-AB67-485E-A8EA-D266AA581336}" destId="{1424CE21-1C23-4443-8B3C-CBED3FA3BEA5}" srcOrd="2" destOrd="0" parTransId="{33D4D031-668A-44D2-9870-800C3FF9010C}" sibTransId="{1E320BFD-FEA3-4F3A-A70C-A68A67E0BB8A}"/>
    <dgm:cxn modelId="{499833F9-14A5-4A68-A447-78991742E721}" type="presOf" srcId="{4951162B-AB67-485E-A8EA-D266AA581336}" destId="{79496190-3A72-4BEC-B308-1CC3D04D37EA}" srcOrd="0" destOrd="0" presId="urn:microsoft.com/office/officeart/2005/8/layout/radial5"/>
    <dgm:cxn modelId="{D0E30575-C19C-4622-8451-E8F4DF485022}" type="presParOf" srcId="{69DE560F-8FCC-4078-903D-B69C434DB24B}" destId="{79496190-3A72-4BEC-B308-1CC3D04D37EA}" srcOrd="0" destOrd="0" presId="urn:microsoft.com/office/officeart/2005/8/layout/radial5"/>
    <dgm:cxn modelId="{BCFAC8BC-1F26-4219-9D69-B1D1CA7535E7}" type="presParOf" srcId="{69DE560F-8FCC-4078-903D-B69C434DB24B}" destId="{82F774D0-0EE3-4030-8E77-DF790CFB92D0}" srcOrd="1" destOrd="0" presId="urn:microsoft.com/office/officeart/2005/8/layout/radial5"/>
    <dgm:cxn modelId="{165148E5-4E5C-4482-AD5A-C7C7EE1C6EDC}" type="presParOf" srcId="{82F774D0-0EE3-4030-8E77-DF790CFB92D0}" destId="{F6B36A8C-E74E-41BA-B070-1D37177E3536}" srcOrd="0" destOrd="0" presId="urn:microsoft.com/office/officeart/2005/8/layout/radial5"/>
    <dgm:cxn modelId="{31DFB772-EAB3-428C-84E2-49DCC4202B50}" type="presParOf" srcId="{69DE560F-8FCC-4078-903D-B69C434DB24B}" destId="{66F67500-3957-439D-973D-4083D6B80C7A}" srcOrd="2" destOrd="0" presId="urn:microsoft.com/office/officeart/2005/8/layout/radial5"/>
    <dgm:cxn modelId="{A8C32C94-58A9-496B-88FD-B7F3D79126E3}" type="presParOf" srcId="{69DE560F-8FCC-4078-903D-B69C434DB24B}" destId="{75BB2862-F06E-4B68-9CC4-B541FF5A7423}" srcOrd="3" destOrd="0" presId="urn:microsoft.com/office/officeart/2005/8/layout/radial5"/>
    <dgm:cxn modelId="{9C42DE0E-437B-4DD0-BF3C-9A2C4DEE887B}" type="presParOf" srcId="{75BB2862-F06E-4B68-9CC4-B541FF5A7423}" destId="{8CF8FF53-48C9-46C9-A7BE-5690F6E21AAC}" srcOrd="0" destOrd="0" presId="urn:microsoft.com/office/officeart/2005/8/layout/radial5"/>
    <dgm:cxn modelId="{6E27E5B6-0823-44C3-921B-6EBC8903D4A9}" type="presParOf" srcId="{69DE560F-8FCC-4078-903D-B69C434DB24B}" destId="{79042726-4D61-4F4F-9A3F-4EF7242878E1}" srcOrd="4" destOrd="0" presId="urn:microsoft.com/office/officeart/2005/8/layout/radial5"/>
    <dgm:cxn modelId="{1586CF26-E496-454A-9A11-044473F98A41}" type="presParOf" srcId="{69DE560F-8FCC-4078-903D-B69C434DB24B}" destId="{A08E2BBE-790B-4377-B710-A47C4584ACCB}" srcOrd="5" destOrd="0" presId="urn:microsoft.com/office/officeart/2005/8/layout/radial5"/>
    <dgm:cxn modelId="{E43DFD7F-7C9E-4709-8E0D-231CAE50832A}" type="presParOf" srcId="{A08E2BBE-790B-4377-B710-A47C4584ACCB}" destId="{24E0486F-D8A6-47A6-8942-1208E481DB35}" srcOrd="0" destOrd="0" presId="urn:microsoft.com/office/officeart/2005/8/layout/radial5"/>
    <dgm:cxn modelId="{91915AD1-57E3-46CF-87F9-BDC76ADE0F0F}" type="presParOf" srcId="{69DE560F-8FCC-4078-903D-B69C434DB24B}" destId="{C0D51493-5906-4038-8264-E5865D893DCD}" srcOrd="6" destOrd="0" presId="urn:microsoft.com/office/officeart/2005/8/layout/radial5"/>
    <dgm:cxn modelId="{0C457F11-2C8D-4214-B342-3F8623393EBB}" type="presParOf" srcId="{69DE560F-8FCC-4078-903D-B69C434DB24B}" destId="{D19A8AA7-BBD3-495D-B32E-AE51CF2DA6D4}" srcOrd="7" destOrd="0" presId="urn:microsoft.com/office/officeart/2005/8/layout/radial5"/>
    <dgm:cxn modelId="{5631BB2E-A7C9-461F-B016-0ECC509CA073}" type="presParOf" srcId="{D19A8AA7-BBD3-495D-B32E-AE51CF2DA6D4}" destId="{DD4E62D5-165C-4171-83BD-E4553F7ECBD3}" srcOrd="0" destOrd="0" presId="urn:microsoft.com/office/officeart/2005/8/layout/radial5"/>
    <dgm:cxn modelId="{F8042B81-28D0-42EB-B27F-D6D742AE77B7}" type="presParOf" srcId="{69DE560F-8FCC-4078-903D-B69C434DB24B}" destId="{F49ECFB3-7F59-42A3-AACD-E91091552617}" srcOrd="8" destOrd="0" presId="urn:microsoft.com/office/officeart/2005/8/layout/radial5"/>
    <dgm:cxn modelId="{DDCA6731-EE4F-46E0-8119-3E0BC20FFFD8}" type="presParOf" srcId="{69DE560F-8FCC-4078-903D-B69C434DB24B}" destId="{26D0F2E8-F7F0-4058-B1EC-681E52FA7810}" srcOrd="9" destOrd="0" presId="urn:microsoft.com/office/officeart/2005/8/layout/radial5"/>
    <dgm:cxn modelId="{9CD6F97E-732F-4E20-8F45-47D29255F2AF}" type="presParOf" srcId="{26D0F2E8-F7F0-4058-B1EC-681E52FA7810}" destId="{16D98726-DD98-4EA5-9B99-7A893F274F45}" srcOrd="0" destOrd="0" presId="urn:microsoft.com/office/officeart/2005/8/layout/radial5"/>
    <dgm:cxn modelId="{B229D8BC-5CEA-4C3B-BD8D-60B0D5311082}" type="presParOf" srcId="{69DE560F-8FCC-4078-903D-B69C434DB24B}" destId="{9E052CC0-922C-4EAC-8FAD-396472A3563A}" srcOrd="10" destOrd="0" presId="urn:microsoft.com/office/officeart/2005/8/layout/radial5"/>
    <dgm:cxn modelId="{6A856649-6BAD-472B-B63D-3EF5B1D81939}" type="presParOf" srcId="{69DE560F-8FCC-4078-903D-B69C434DB24B}" destId="{BE37FFBE-5DD4-47D0-8C66-72DFC3877579}" srcOrd="11" destOrd="0" presId="urn:microsoft.com/office/officeart/2005/8/layout/radial5"/>
    <dgm:cxn modelId="{A7E87559-E40E-4E7E-B820-69D208E33419}" type="presParOf" srcId="{BE37FFBE-5DD4-47D0-8C66-72DFC3877579}" destId="{D8971F84-A630-4E77-A58A-A2CC6B755149}" srcOrd="0" destOrd="0" presId="urn:microsoft.com/office/officeart/2005/8/layout/radial5"/>
    <dgm:cxn modelId="{D5E8F0A5-C5FD-4743-A957-889059062906}" type="presParOf" srcId="{69DE560F-8FCC-4078-903D-B69C434DB24B}" destId="{55711BCB-6B1F-4463-BCA8-4BA954D3A2BB}" srcOrd="12"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F26F9-8A37-4ED3-8F01-26394DDA4F8B}">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0FF5892-1B1A-40BA-B238-7AC58CDB9764}">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Juan Goico (1723)</a:t>
          </a:r>
        </a:p>
        <a:p>
          <a:pPr marL="57150" lvl="1" indent="-57150" algn="l" defTabSz="355600">
            <a:lnSpc>
              <a:spcPct val="90000"/>
            </a:lnSpc>
            <a:spcBef>
              <a:spcPct val="0"/>
            </a:spcBef>
            <a:spcAft>
              <a:spcPct val="15000"/>
            </a:spcAft>
            <a:buChar char="••"/>
          </a:pPr>
          <a:r>
            <a:rPr lang="es-ES" sz="800" kern="1200"/>
            <a:t>Cacique de la Frontera de Mendoza</a:t>
          </a:r>
        </a:p>
      </dsp:txBody>
      <dsp:txXfrm>
        <a:off x="29075" y="54131"/>
        <a:ext cx="1444876" cy="845873"/>
      </dsp:txXfrm>
    </dsp:sp>
    <dsp:sp modelId="{023F6149-85B1-4554-838D-FC9076430CD3}">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7E3E07B-83F2-4C04-80F1-081B9B20EFEC}">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Marcos Goico (1780)</a:t>
          </a:r>
        </a:p>
        <a:p>
          <a:pPr marL="57150" lvl="1" indent="-57150" algn="l" defTabSz="355600">
            <a:lnSpc>
              <a:spcPct val="90000"/>
            </a:lnSpc>
            <a:spcBef>
              <a:spcPct val="0"/>
            </a:spcBef>
            <a:spcAft>
              <a:spcPct val="15000"/>
            </a:spcAft>
            <a:buChar char="••"/>
          </a:pPr>
          <a:r>
            <a:rPr lang="es-ES" sz="800" kern="1200"/>
            <a:t>Aparece en los 1° pactos de paz entre el gobierno y los indígenas del sur mendocino.</a:t>
          </a:r>
        </a:p>
        <a:p>
          <a:pPr marL="57150" lvl="1" indent="-57150" algn="l" defTabSz="355600">
            <a:lnSpc>
              <a:spcPct val="90000"/>
            </a:lnSpc>
            <a:spcBef>
              <a:spcPct val="0"/>
            </a:spcBef>
            <a:spcAft>
              <a:spcPct val="15000"/>
            </a:spcAft>
            <a:buChar char="••"/>
          </a:pPr>
          <a:endParaRPr lang="es-ES" sz="800" kern="1200"/>
        </a:p>
      </dsp:txBody>
      <dsp:txXfrm>
        <a:off x="29075" y="1177263"/>
        <a:ext cx="1444876" cy="845873"/>
      </dsp:txXfrm>
    </dsp:sp>
    <dsp:sp modelId="{BD31CE89-DCD7-411E-98D7-99C4A6DBFF1B}">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7882D0C-BAE0-440B-AD2D-7AAEC080402D}">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Pascual Goico (1790)</a:t>
          </a:r>
        </a:p>
        <a:p>
          <a:pPr marL="57150" lvl="1" indent="-57150" algn="l" defTabSz="355600">
            <a:lnSpc>
              <a:spcPct val="90000"/>
            </a:lnSpc>
            <a:spcBef>
              <a:spcPct val="0"/>
            </a:spcBef>
            <a:spcAft>
              <a:spcPct val="15000"/>
            </a:spcAft>
            <a:buChar char="••"/>
          </a:pPr>
          <a:r>
            <a:rPr lang="es-ES" sz="800" kern="1200"/>
            <a:t>Autoridades de San Luis dan cuenta de su presencia y buen trato con ellos.</a:t>
          </a:r>
        </a:p>
      </dsp:txBody>
      <dsp:txXfrm>
        <a:off x="29075" y="2300394"/>
        <a:ext cx="1444876" cy="845873"/>
      </dsp:txXfrm>
    </dsp:sp>
    <dsp:sp modelId="{4C47C587-5DEC-49DD-8BAE-613654CC8FCC}">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616E7DB-02CA-46A8-923F-CACD500F634B}">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Gaspar Goico (1797)</a:t>
          </a:r>
        </a:p>
        <a:p>
          <a:pPr lvl="0" algn="l" defTabSz="444500">
            <a:lnSpc>
              <a:spcPct val="90000"/>
            </a:lnSpc>
            <a:spcBef>
              <a:spcPct val="0"/>
            </a:spcBef>
            <a:spcAft>
              <a:spcPct val="35000"/>
            </a:spcAft>
          </a:pPr>
          <a:endParaRPr lang="es-ES" sz="1000" kern="1200"/>
        </a:p>
        <a:p>
          <a:pPr marL="57150" lvl="1" indent="-57150" algn="l" defTabSz="355600">
            <a:lnSpc>
              <a:spcPct val="90000"/>
            </a:lnSpc>
            <a:spcBef>
              <a:spcPct val="0"/>
            </a:spcBef>
            <a:spcAft>
              <a:spcPct val="15000"/>
            </a:spcAft>
            <a:buChar char="••"/>
          </a:pPr>
          <a:r>
            <a:rPr lang="es-ES" sz="800" kern="1200"/>
            <a:t>Capitanejo, en Villa y Fuerte de San Carlos.</a:t>
          </a:r>
        </a:p>
      </dsp:txBody>
      <dsp:txXfrm>
        <a:off x="2020761" y="2300394"/>
        <a:ext cx="1444876" cy="845873"/>
      </dsp:txXfrm>
    </dsp:sp>
    <dsp:sp modelId="{F84ADAAF-EAD5-4CD9-A553-4778855B0F5C}">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0351797-B4D3-4C08-AE42-7AC544F0AA96}">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Jose Goico (1804)</a:t>
          </a:r>
        </a:p>
        <a:p>
          <a:pPr lvl="0" algn="l" defTabSz="444500">
            <a:lnSpc>
              <a:spcPct val="90000"/>
            </a:lnSpc>
            <a:spcBef>
              <a:spcPct val="0"/>
            </a:spcBef>
            <a:spcAft>
              <a:spcPct val="35000"/>
            </a:spcAft>
          </a:pPr>
          <a:endParaRPr lang="es-ES" sz="1000" kern="1200"/>
        </a:p>
        <a:p>
          <a:pPr marL="57150" lvl="1" indent="-57150" algn="l" defTabSz="355600">
            <a:lnSpc>
              <a:spcPct val="90000"/>
            </a:lnSpc>
            <a:spcBef>
              <a:spcPct val="0"/>
            </a:spcBef>
            <a:spcAft>
              <a:spcPct val="15000"/>
            </a:spcAft>
            <a:buChar char="••"/>
          </a:pPr>
          <a:r>
            <a:rPr lang="es-ES" sz="800" kern="1200"/>
            <a:t>Cacique.</a:t>
          </a:r>
        </a:p>
      </dsp:txBody>
      <dsp:txXfrm>
        <a:off x="2020761" y="1177263"/>
        <a:ext cx="1444876" cy="845873"/>
      </dsp:txXfrm>
    </dsp:sp>
    <dsp:sp modelId="{26541E51-03C6-4AFB-9FAA-6D06B4AF78B0}">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E777157-0C1C-40C5-9B57-2B30315ADEA6}">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Vicente Goico (1822)</a:t>
          </a:r>
        </a:p>
        <a:p>
          <a:pPr lvl="0" algn="l" defTabSz="444500">
            <a:lnSpc>
              <a:spcPct val="90000"/>
            </a:lnSpc>
            <a:spcBef>
              <a:spcPct val="0"/>
            </a:spcBef>
            <a:spcAft>
              <a:spcPct val="35000"/>
            </a:spcAft>
          </a:pPr>
          <a:endParaRPr lang="es-ES" sz="1000" kern="1200"/>
        </a:p>
        <a:p>
          <a:pPr marL="57150" lvl="1" indent="-57150" algn="l" defTabSz="355600">
            <a:lnSpc>
              <a:spcPct val="90000"/>
            </a:lnSpc>
            <a:spcBef>
              <a:spcPct val="0"/>
            </a:spcBef>
            <a:spcAft>
              <a:spcPct val="15000"/>
            </a:spcAft>
            <a:buChar char="••"/>
          </a:pPr>
          <a:r>
            <a:rPr lang="es-ES" sz="800" kern="1200"/>
            <a:t>Hereda el cacicazgo de su padre Marcos. Fortalece las relaciones con los criollos</a:t>
          </a:r>
        </a:p>
      </dsp:txBody>
      <dsp:txXfrm>
        <a:off x="2020761" y="54131"/>
        <a:ext cx="1444876" cy="845873"/>
      </dsp:txXfrm>
    </dsp:sp>
    <dsp:sp modelId="{113DADAD-AB96-4C43-BEF2-0D1CE7E7007C}">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A93B59A-0713-4BFA-ACF5-30B5BDBD5DF1}">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Juan Goico (1828)</a:t>
          </a:r>
        </a:p>
        <a:p>
          <a:pPr lvl="0" algn="l" defTabSz="444500">
            <a:lnSpc>
              <a:spcPct val="90000"/>
            </a:lnSpc>
            <a:spcBef>
              <a:spcPct val="0"/>
            </a:spcBef>
            <a:spcAft>
              <a:spcPct val="35000"/>
            </a:spcAft>
          </a:pPr>
          <a:endParaRPr lang="es-ES" sz="1000" kern="1200"/>
        </a:p>
        <a:p>
          <a:pPr marL="57150" lvl="1" indent="-57150" algn="l" defTabSz="355600">
            <a:lnSpc>
              <a:spcPct val="90000"/>
            </a:lnSpc>
            <a:spcBef>
              <a:spcPct val="0"/>
            </a:spcBef>
            <a:spcAft>
              <a:spcPct val="15000"/>
            </a:spcAft>
            <a:buChar char="••"/>
          </a:pPr>
          <a:r>
            <a:rPr lang="es-ES" sz="800" kern="1200"/>
            <a:t>Cacique que integra las fuerzas del Gral. Aldao en 1833.</a:t>
          </a:r>
        </a:p>
      </dsp:txBody>
      <dsp:txXfrm>
        <a:off x="4012448" y="54131"/>
        <a:ext cx="1444876" cy="845873"/>
      </dsp:txXfrm>
    </dsp:sp>
    <dsp:sp modelId="{47CBD286-1582-45BF-9D6B-4D0720061CDF}">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S" sz="1000" kern="1200"/>
            <a:t>Jose Goico</a:t>
          </a:r>
        </a:p>
        <a:p>
          <a:pPr lvl="0" algn="l" defTabSz="444500">
            <a:lnSpc>
              <a:spcPct val="90000"/>
            </a:lnSpc>
            <a:spcBef>
              <a:spcPct val="0"/>
            </a:spcBef>
            <a:spcAft>
              <a:spcPct val="35000"/>
            </a:spcAft>
          </a:pPr>
          <a:endParaRPr lang="es-ES" sz="1000" kern="1200"/>
        </a:p>
        <a:p>
          <a:pPr marL="57150" lvl="1" indent="-57150" algn="l" defTabSz="355600">
            <a:lnSpc>
              <a:spcPct val="90000"/>
            </a:lnSpc>
            <a:spcBef>
              <a:spcPct val="0"/>
            </a:spcBef>
            <a:spcAft>
              <a:spcPct val="15000"/>
            </a:spcAft>
            <a:buChar char="••"/>
          </a:pPr>
          <a:r>
            <a:rPr lang="es-ES" sz="800" kern="1200"/>
            <a:t>Último de los descendientes.</a:t>
          </a:r>
        </a:p>
      </dsp:txBody>
      <dsp:txXfrm>
        <a:off x="4012448" y="1177263"/>
        <a:ext cx="1444876" cy="845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7E0D1-77E3-495B-B70D-BAF0003ECDD7}">
      <dsp:nvSpPr>
        <dsp:cNvPr id="0" name=""/>
        <dsp:cNvSpPr/>
      </dsp:nvSpPr>
      <dsp:spPr>
        <a:xfrm>
          <a:off x="2678" y="429250"/>
          <a:ext cx="996553" cy="9965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Vicente Goico (1825</a:t>
          </a:r>
        </a:p>
      </dsp:txBody>
      <dsp:txXfrm>
        <a:off x="148620" y="575192"/>
        <a:ext cx="704669" cy="704669"/>
      </dsp:txXfrm>
    </dsp:sp>
    <dsp:sp modelId="{A440A871-4476-499F-A4E7-4C98BFCD2339}">
      <dsp:nvSpPr>
        <dsp:cNvPr id="0" name=""/>
        <dsp:cNvSpPr/>
      </dsp:nvSpPr>
      <dsp:spPr>
        <a:xfrm rot="10800000">
          <a:off x="326558" y="1554483"/>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C94A0-429B-4E9F-B0F0-380D53AE622B}">
      <dsp:nvSpPr>
        <dsp:cNvPr id="0" name=""/>
        <dsp:cNvSpPr/>
      </dsp:nvSpPr>
      <dsp:spPr>
        <a:xfrm>
          <a:off x="168605" y="1940522"/>
          <a:ext cx="664700" cy="664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A. Baez, (1825)</a:t>
          </a:r>
        </a:p>
      </dsp:txBody>
      <dsp:txXfrm>
        <a:off x="265948" y="2037865"/>
        <a:ext cx="470014" cy="470014"/>
      </dsp:txXfrm>
    </dsp:sp>
    <dsp:sp modelId="{173D20B6-3E61-4F9F-9840-4BE568F4376A}">
      <dsp:nvSpPr>
        <dsp:cNvPr id="0" name=""/>
        <dsp:cNvSpPr/>
      </dsp:nvSpPr>
      <dsp:spPr>
        <a:xfrm rot="5400000">
          <a:off x="1081694" y="2136472"/>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A064A2-F7CC-4DF2-A0C7-3A27DE606493}">
      <dsp:nvSpPr>
        <dsp:cNvPr id="0" name=""/>
        <dsp:cNvSpPr/>
      </dsp:nvSpPr>
      <dsp:spPr>
        <a:xfrm>
          <a:off x="1663434" y="1940522"/>
          <a:ext cx="664700" cy="664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Putch y Cía. (1825)</a:t>
          </a:r>
        </a:p>
      </dsp:txBody>
      <dsp:txXfrm>
        <a:off x="1760777" y="2037865"/>
        <a:ext cx="470014" cy="470014"/>
      </dsp:txXfrm>
    </dsp:sp>
    <dsp:sp modelId="{64E9AE15-E519-4311-A556-8545C378D071}">
      <dsp:nvSpPr>
        <dsp:cNvPr id="0" name=""/>
        <dsp:cNvSpPr/>
      </dsp:nvSpPr>
      <dsp:spPr>
        <a:xfrm>
          <a:off x="1821388" y="1456078"/>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CC1F78-81D2-491D-8A23-72D7917BCF24}">
      <dsp:nvSpPr>
        <dsp:cNvPr id="0" name=""/>
        <dsp:cNvSpPr/>
      </dsp:nvSpPr>
      <dsp:spPr>
        <a:xfrm>
          <a:off x="1663434" y="595176"/>
          <a:ext cx="664700" cy="664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Gillies y Videla (1826)</a:t>
          </a:r>
        </a:p>
      </dsp:txBody>
      <dsp:txXfrm>
        <a:off x="1760777" y="692519"/>
        <a:ext cx="470014" cy="470014"/>
      </dsp:txXfrm>
    </dsp:sp>
    <dsp:sp modelId="{B1B378C1-A7DC-436D-BD5C-09638CBDFF80}">
      <dsp:nvSpPr>
        <dsp:cNvPr id="0" name=""/>
        <dsp:cNvSpPr/>
      </dsp:nvSpPr>
      <dsp:spPr>
        <a:xfrm rot="5400000">
          <a:off x="2576523" y="791125"/>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845820-4F3B-4862-B361-2708AB42503C}">
      <dsp:nvSpPr>
        <dsp:cNvPr id="0" name=""/>
        <dsp:cNvSpPr/>
      </dsp:nvSpPr>
      <dsp:spPr>
        <a:xfrm>
          <a:off x="3158264" y="595176"/>
          <a:ext cx="664700" cy="664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Suseción Videla (1883)</a:t>
          </a:r>
        </a:p>
      </dsp:txBody>
      <dsp:txXfrm>
        <a:off x="3255607" y="692519"/>
        <a:ext cx="470014" cy="470014"/>
      </dsp:txXfrm>
    </dsp:sp>
    <dsp:sp modelId="{C5BFD143-E9ED-4967-9D91-EBEC0B4CE158}">
      <dsp:nvSpPr>
        <dsp:cNvPr id="0" name=""/>
        <dsp:cNvSpPr/>
      </dsp:nvSpPr>
      <dsp:spPr>
        <a:xfrm rot="10800000">
          <a:off x="3316218" y="1471520"/>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4E3D25-8567-449B-BA20-792BE9ED2F91}">
      <dsp:nvSpPr>
        <dsp:cNvPr id="0" name=""/>
        <dsp:cNvSpPr/>
      </dsp:nvSpPr>
      <dsp:spPr>
        <a:xfrm>
          <a:off x="3158264" y="1940522"/>
          <a:ext cx="664700" cy="664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Melchor Belaustegui y Taboada </a:t>
          </a:r>
        </a:p>
      </dsp:txBody>
      <dsp:txXfrm>
        <a:off x="3255607" y="2037865"/>
        <a:ext cx="470014" cy="470014"/>
      </dsp:txXfrm>
    </dsp:sp>
    <dsp:sp modelId="{51DA5AF1-B558-4336-8CD6-FC9483527F3D}">
      <dsp:nvSpPr>
        <dsp:cNvPr id="0" name=""/>
        <dsp:cNvSpPr/>
      </dsp:nvSpPr>
      <dsp:spPr>
        <a:xfrm rot="5400000">
          <a:off x="3988390" y="2136472"/>
          <a:ext cx="348793" cy="272801"/>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270B2E-0A16-4F9F-B472-49066849DAD0}">
      <dsp:nvSpPr>
        <dsp:cNvPr id="0" name=""/>
        <dsp:cNvSpPr/>
      </dsp:nvSpPr>
      <dsp:spPr>
        <a:xfrm>
          <a:off x="4487167" y="1774596"/>
          <a:ext cx="996553" cy="9965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Diego de Alvear(1884)</a:t>
          </a:r>
        </a:p>
      </dsp:txBody>
      <dsp:txXfrm>
        <a:off x="4633109" y="1920538"/>
        <a:ext cx="704669" cy="7046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96190-3A72-4BEC-B308-1CC3D04D37EA}">
      <dsp:nvSpPr>
        <dsp:cNvPr id="0" name=""/>
        <dsp:cNvSpPr/>
      </dsp:nvSpPr>
      <dsp:spPr>
        <a:xfrm>
          <a:off x="2374565" y="1231565"/>
          <a:ext cx="737268" cy="7372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Balbino Arizu y Sotero Arizu</a:t>
          </a:r>
        </a:p>
      </dsp:txBody>
      <dsp:txXfrm>
        <a:off x="2482535" y="1339535"/>
        <a:ext cx="521328" cy="521328"/>
      </dsp:txXfrm>
    </dsp:sp>
    <dsp:sp modelId="{82F774D0-0EE3-4030-8E77-DF790CFB92D0}">
      <dsp:nvSpPr>
        <dsp:cNvPr id="0" name=""/>
        <dsp:cNvSpPr/>
      </dsp:nvSpPr>
      <dsp:spPr>
        <a:xfrm rot="16200000">
          <a:off x="2660930" y="958717"/>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2685611" y="1032309"/>
        <a:ext cx="115177" cy="146735"/>
      </dsp:txXfrm>
    </dsp:sp>
    <dsp:sp modelId="{66F67500-3957-439D-973D-4083D6B80C7A}">
      <dsp:nvSpPr>
        <dsp:cNvPr id="0" name=""/>
        <dsp:cNvSpPr/>
      </dsp:nvSpPr>
      <dsp:spPr>
        <a:xfrm>
          <a:off x="2285287" y="5288"/>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1888 Arizu Hnos.</a:t>
          </a:r>
        </a:p>
      </dsp:txBody>
      <dsp:txXfrm>
        <a:off x="2419406" y="139407"/>
        <a:ext cx="647587" cy="647587"/>
      </dsp:txXfrm>
    </dsp:sp>
    <dsp:sp modelId="{75BB2862-F06E-4B68-9CC4-B541FF5A7423}">
      <dsp:nvSpPr>
        <dsp:cNvPr id="0" name=""/>
        <dsp:cNvSpPr/>
      </dsp:nvSpPr>
      <dsp:spPr>
        <a:xfrm rot="19800000">
          <a:off x="3110573" y="1218319"/>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3113880" y="1279571"/>
        <a:ext cx="115177" cy="146735"/>
      </dsp:txXfrm>
    </dsp:sp>
    <dsp:sp modelId="{79042726-4D61-4F4F-9A3F-4EF7242878E1}">
      <dsp:nvSpPr>
        <dsp:cNvPr id="0" name=""/>
        <dsp:cNvSpPr/>
      </dsp:nvSpPr>
      <dsp:spPr>
        <a:xfrm>
          <a:off x="3269957" y="573787"/>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1914 Balbino condecoarado por Rey Alfonso XIII.</a:t>
          </a:r>
        </a:p>
      </dsp:txBody>
      <dsp:txXfrm>
        <a:off x="3404076" y="707906"/>
        <a:ext cx="647587" cy="647587"/>
      </dsp:txXfrm>
    </dsp:sp>
    <dsp:sp modelId="{A08E2BBE-790B-4377-B710-A47C4584ACCB}">
      <dsp:nvSpPr>
        <dsp:cNvPr id="0" name=""/>
        <dsp:cNvSpPr/>
      </dsp:nvSpPr>
      <dsp:spPr>
        <a:xfrm rot="1800000">
          <a:off x="3110573" y="1737523"/>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3113880" y="1774094"/>
        <a:ext cx="115177" cy="146735"/>
      </dsp:txXfrm>
    </dsp:sp>
    <dsp:sp modelId="{C0D51493-5906-4038-8264-E5865D893DCD}">
      <dsp:nvSpPr>
        <dsp:cNvPr id="0" name=""/>
        <dsp:cNvSpPr/>
      </dsp:nvSpPr>
      <dsp:spPr>
        <a:xfrm>
          <a:off x="3269957" y="1710786"/>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1908 Socedidad Anónima en Godoy Cruz</a:t>
          </a:r>
        </a:p>
      </dsp:txBody>
      <dsp:txXfrm>
        <a:off x="3404076" y="1844905"/>
        <a:ext cx="647587" cy="647587"/>
      </dsp:txXfrm>
    </dsp:sp>
    <dsp:sp modelId="{D19A8AA7-BBD3-495D-B32E-AE51CF2DA6D4}">
      <dsp:nvSpPr>
        <dsp:cNvPr id="0" name=""/>
        <dsp:cNvSpPr/>
      </dsp:nvSpPr>
      <dsp:spPr>
        <a:xfrm rot="5400000">
          <a:off x="2660930" y="1997124"/>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2685611" y="2021354"/>
        <a:ext cx="115177" cy="146735"/>
      </dsp:txXfrm>
    </dsp:sp>
    <dsp:sp modelId="{F49ECFB3-7F59-42A3-AACD-E91091552617}">
      <dsp:nvSpPr>
        <dsp:cNvPr id="0" name=""/>
        <dsp:cNvSpPr/>
      </dsp:nvSpPr>
      <dsp:spPr>
        <a:xfrm>
          <a:off x="2285287" y="2279286"/>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1907 donan terrenos para Villa Atuel</a:t>
          </a:r>
        </a:p>
      </dsp:txBody>
      <dsp:txXfrm>
        <a:off x="2419406" y="2413405"/>
        <a:ext cx="647587" cy="647587"/>
      </dsp:txXfrm>
    </dsp:sp>
    <dsp:sp modelId="{26D0F2E8-F7F0-4058-B1EC-681E52FA7810}">
      <dsp:nvSpPr>
        <dsp:cNvPr id="0" name=""/>
        <dsp:cNvSpPr/>
      </dsp:nvSpPr>
      <dsp:spPr>
        <a:xfrm rot="9000000">
          <a:off x="2211286" y="1737523"/>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2257341" y="1774094"/>
        <a:ext cx="115177" cy="146735"/>
      </dsp:txXfrm>
    </dsp:sp>
    <dsp:sp modelId="{9E052CC0-922C-4EAC-8FAD-396472A3563A}">
      <dsp:nvSpPr>
        <dsp:cNvPr id="0" name=""/>
        <dsp:cNvSpPr/>
      </dsp:nvSpPr>
      <dsp:spPr>
        <a:xfrm>
          <a:off x="1300617" y="1710786"/>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1904 Sotero y Balbino, Sociedad Solidaria.</a:t>
          </a:r>
        </a:p>
      </dsp:txBody>
      <dsp:txXfrm>
        <a:off x="1434736" y="1844905"/>
        <a:ext cx="647587" cy="647587"/>
      </dsp:txXfrm>
    </dsp:sp>
    <dsp:sp modelId="{BE37FFBE-5DD4-47D0-8C66-72DFC3877579}">
      <dsp:nvSpPr>
        <dsp:cNvPr id="0" name=""/>
        <dsp:cNvSpPr/>
      </dsp:nvSpPr>
      <dsp:spPr>
        <a:xfrm rot="12600000">
          <a:off x="2211286" y="1218319"/>
          <a:ext cx="164539" cy="2445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2257341" y="1279571"/>
        <a:ext cx="115177" cy="146735"/>
      </dsp:txXfrm>
    </dsp:sp>
    <dsp:sp modelId="{55711BCB-6B1F-4463-BCA8-4BA954D3A2BB}">
      <dsp:nvSpPr>
        <dsp:cNvPr id="0" name=""/>
        <dsp:cNvSpPr/>
      </dsp:nvSpPr>
      <dsp:spPr>
        <a:xfrm>
          <a:off x="1300617" y="573787"/>
          <a:ext cx="915825" cy="915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1889 Bodega en Godoy Cruz</a:t>
          </a:r>
        </a:p>
      </dsp:txBody>
      <dsp:txXfrm>
        <a:off x="1434736" y="707906"/>
        <a:ext cx="647587" cy="64758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Reb141</b:Tag>
    <b:SourceType>JournalArticle</b:SourceType>
    <b:Guid>{232567A6-9C73-485A-8710-52E488D9217C}</b:Guid>
    <b:Author>
      <b:Author>
        <b:NameList>
          <b:Person>
            <b:Last>Lave</b:Last>
            <b:First>Rebecca</b:First>
          </b:Person>
        </b:NameList>
      </b:Author>
    </b:Author>
    <b:Title>Intervention: critical physical geography.</b:Title>
    <b:JournalName>The Canadian Geographer</b:JournalName>
    <b:Year>2014</b:Year>
    <b:Pages>1-10</b:Pages>
    <b:RefOrder>3</b:RefOrder>
  </b:Source>
  <b:Source>
    <b:Tag>And171</b:Tag>
    <b:SourceType>JournalArticle</b:SourceType>
    <b:Guid>{7FDE44D4-F5F6-45AE-9B72-D01FB2332F71}</b:Guid>
    <b:Author>
      <b:Author>
        <b:NameList>
          <b:Person>
            <b:Last>Goudie</b:Last>
            <b:First>Andrew</b:First>
          </b:Person>
        </b:NameList>
      </b:Author>
    </b:Author>
    <b:Title>The integration of human and Physical Geography revisited.</b:Title>
    <b:JournalName>The Canadian Reporter</b:JournalName>
    <b:Year>2017</b:Year>
    <b:Pages>19-27</b:Pages>
    <b:RefOrder>4</b:RefOrder>
  </b:Source>
  <b:Source>
    <b:Tag>Rut16</b:Tag>
    <b:SourceType>JournalArticle</b:SourceType>
    <b:Guid>{1F1B144E-664C-4ED5-A8E5-25762B62B611}</b:Guid>
    <b:Title>Hydrosocial territories: a politicas ecology perspective.</b:Title>
    <b:Year>2016</b:Year>
    <b:Author>
      <b:Author>
        <b:Corporate>Rutgerd Boelens et al.</b:Corporate>
      </b:Author>
    </b:Author>
    <b:JournalName>Water International</b:JournalName>
    <b:Pages>1-14</b:Pages>
    <b:RefOrder>7</b:RefOrder>
  </b:Source>
  <b:Source>
    <b:Tag>Lop18</b:Tag>
    <b:SourceType>JournalArticle</b:SourceType>
    <b:Guid>{46BE316C-4A07-4C15-AB54-34BD9EBB1702}</b:Guid>
    <b:Title>Quando o trunfo se revela um fardo: reexaminando os percalcos de um campo disciplinar que se pretendeu uma ponte entre o conhecimento da natureza e da sociedade.</b:Title>
    <b:Year>2018</b:Year>
    <b:Author>
      <b:Author>
        <b:NameList>
          <b:Person>
            <b:Last>Lopes de Souza</b:Last>
            <b:First>M.</b:First>
          </b:Person>
        </b:NameList>
      </b:Author>
    </b:Author>
    <b:JournalName>Geousp-Espaco e tempo.</b:JournalName>
    <b:Pages>274-308</b:Pages>
    <b:RefOrder>9</b:RefOrder>
  </b:Source>
  <b:Source>
    <b:Tag>sAu</b:Tag>
    <b:SourceType>Book</b:SourceType>
    <b:Guid>{5F95C2A8-84AF-4BD6-92E5-FC75F29A24D5}</b:Guid>
    <b:Title>Territórios e territorialidades: teorias, processos e conflitos.</b:Title>
    <b:Year>2009</b:Year>
    <b:Author>
      <b:Author>
        <b:Corporate> Saquet, M. ; Sposito, E. </b:Corporate>
      </b:Author>
    </b:Author>
    <b:City>San pablo</b:City>
    <b:Publisher>Expressao Popular</b:Publisher>
    <b:RefOrder>8</b:RefOrder>
  </b:Source>
  <b:Source>
    <b:Tag>Jam141</b:Tag>
    <b:SourceType>JournalArticle</b:SourceType>
    <b:Guid>{73B4A6F5-957B-434F-8CF0-53AFA2E33097}</b:Guid>
    <b:Author>
      <b:Author>
        <b:Corporate> Linton J.; Budds, J.</b:Corporate>
      </b:Author>
    </b:Author>
    <b:Title>The hydrosocial cycle: defining and mobilizing a relational-dialectical approach to water.</b:Title>
    <b:JournalName>Geoforum</b:JournalName>
    <b:Year>2014</b:Year>
    <b:Pages>170-180</b:Pages>
    <b:RefOrder>6</b:RefOrder>
  </b:Source>
  <b:Source>
    <b:Tag>Hae11</b:Tag>
    <b:SourceType>Book</b:SourceType>
    <b:Guid>{ED6A232D-8E2C-4898-AEE9-1D2A89C095E6}</b:Guid>
    <b:Title>El mito de la desterritorialización. Del fin de los territorios a la multiterritorialidad.</b:Title>
    <b:Year>2011</b:Year>
    <b:Author>
      <b:Author>
        <b:NameList>
          <b:Person>
            <b:Last>Haesbaert</b:Last>
            <b:First>R.</b:First>
          </b:Person>
        </b:NameList>
      </b:Author>
    </b:Author>
    <b:City>México</b:City>
    <b:Publisher>Siglo Veintiuno.</b:Publisher>
    <b:RefOrder>10</b:RefOrder>
  </b:Source>
  <b:Source>
    <b:Tag>Lag84</b:Tag>
    <b:SourceType>Misc</b:SourceType>
    <b:Guid>{80AB3B04-304F-4A00-9E2B-77B7354C9879}</b:Guid>
    <b:Title>El linaje de los Goico</b:Title>
    <b:Year>1984</b:Year>
    <b:City>Mendoza</b:City>
    <b:Publisher>Ed. Inc.</b:Publisher>
    <b:Author>
      <b:Author>
        <b:NameList>
          <b:Person>
            <b:Last>Lagiglia</b:Last>
            <b:First>H.</b:First>
          </b:Person>
        </b:NameList>
      </b:Author>
    </b:Author>
    <b:PublicationTitle>Sagema Gran Enciclopedia Ilustrada. Región Integrada del Nevado</b:PublicationTitle>
    <b:RefOrder>14</b:RefOrder>
  </b:Source>
  <b:Source>
    <b:Tag>Jor</b:Tag>
    <b:SourceType>JournalArticle</b:SourceType>
    <b:Guid>{BBEE6B25-14E1-4C27-B634-43FE6B846D79}</b:Guid>
    <b:Title>Desarrollo capitalista e inmigración europeadecimonónica hacia la región vitivinícola argentina con especial referencia a la influencia italiana en Mendoza, y algunas proyecciones actuales.</b:Title>
    <b:Author>
      <b:Author>
        <b:Corporate>Jorba, R.; Fresia. I. </b:Corporate>
      </b:Author>
    </b:Author>
    <b:JournalName>JSapiens. La revista académica del Seminario Rabínico Latinoamericano.</b:JournalName>
    <b:Pages>1-27</b:Pages>
    <b:RefOrder>16</b:RefOrder>
  </b:Source>
  <b:Source>
    <b:Tag>Sau12</b:Tag>
    <b:SourceType>BookSection</b:SourceType>
    <b:Guid>{2A07CFB8-2977-42C3-B00D-7F2AAEEE15A8}</b:Guid>
    <b:Title>La creación de la villa</b:Title>
    <b:Year>2012</b:Year>
    <b:Pages>23-27</b:Pages>
    <b:Author>
      <b:Author>
        <b:NameList>
          <b:Person>
            <b:Last>Saurina</b:Last>
            <b:First>S.</b:First>
          </b:Person>
        </b:NameList>
      </b:Author>
      <b:BookAuthor>
        <b:NameList>
          <b:Person>
            <b:Last>Saurina</b:Last>
            <b:First>S</b:First>
            <b:Middle>&amp; Aquiles, M.E.</b:Middle>
          </b:Person>
        </b:NameList>
      </b:BookAuthor>
    </b:Author>
    <b:BookTitle>Pioneros de Villa Atuel, Mendoza. Recuperación del patrimonio a cien años de su fundación. Protagonismo del agua.</b:BookTitle>
    <b:City>San Rafael</b:City>
    <b:Publisher>Municipalidad de San Rafael; INA</b:Publisher>
    <b:RefOrder>17</b:RefOrder>
  </b:Source>
  <b:Source>
    <b:Tag>Mat12</b:Tag>
    <b:SourceType>BookSection</b:SourceType>
    <b:Guid>{E599C923-FC2C-4AB7-A199-9456CA016D4B}</b:Guid>
    <b:Author>
      <b:Author>
        <b:NameList>
          <b:Person>
            <b:Last>Mateu</b:Last>
            <b:First>A.</b:First>
            <b:Middle>M.</b:Middle>
          </b:Person>
        </b:NameList>
      </b:Author>
      <b:BookAuthor>
        <b:NameList>
          <b:Person>
            <b:Last>Saurina</b:Last>
            <b:First>S.</b:First>
            <b:Middle>y Quiles, M.</b:Middle>
          </b:Person>
        </b:NameList>
      </b:BookAuthor>
    </b:Author>
    <b:Title>Los Arizu y la tierra prometida.</b:Title>
    <b:BookTitle>Pioneros de Villa Atuel. Recuperación del patrimonio a cien años de su fundación. Protagonismo del agua.</b:BookTitle>
    <b:Year>2012</b:Year>
    <b:Pages>57-82</b:Pages>
    <b:City>San Rafael</b:City>
    <b:Publisher>Municipalidad de San Rafael-INA</b:Publisher>
    <b:RefOrder>18</b:RefOrder>
  </b:Source>
  <b:Source>
    <b:Tag>Cam17</b:Tag>
    <b:SourceType>DocumentFromInternetSite</b:SourceType>
    <b:Guid>{E8D51884-C327-4189-A00C-57F2E7471C2E}</b:Guid>
    <b:Title>Cámara de Turismo de la Provincia de Mendoza.</b:Title>
    <b:Year>2017</b:Year>
    <b:Month>octubre</b:Month>
    <b:Day>12</b:Day>
    <b:Author>
      <b:Author>
        <b:NameList>
          <b:Person>
            <b:Last>Caminos</b:Last>
            <b:First>la</b:First>
            <b:Middle>revista de Mendoza</b:Middle>
          </b:Person>
        </b:NameList>
      </b:Author>
    </b:Author>
    <b:InternetSiteTitle>https://mendoza-camara.org/24087-2/</b:InternetSiteTitle>
    <b:URL>https://mendoza-camara.org/24087-2/</b:URL>
    <b:RefOrder>24</b:RefOrder>
  </b:Source>
  <b:Source>
    <b:Tag>Mar12</b:Tag>
    <b:SourceType>Book</b:SourceType>
    <b:Guid>{3F1B9E75-707E-4E81-AC88-CA9F7335AF07}</b:Guid>
    <b:Title>San Rafael: jornaleros, viñateros y bodegueros.</b:Title>
    <b:Year>2012</b:Year>
    <b:Author>
      <b:Author>
        <b:NameList>
          <b:Person>
            <b:Last>Izuel</b:Last>
            <b:First>Maria</b:First>
            <b:Middle>Elena</b:Middle>
          </b:Person>
        </b:NameList>
      </b:Author>
    </b:Author>
    <b:City>Buenos Aires</b:City>
    <b:Publisher>Armerías</b:Publisher>
    <b:RefOrder>19</b:RefOrder>
  </b:Source>
  <b:Source>
    <b:Tag>Pau12</b:Tag>
    <b:SourceType>Book</b:SourceType>
    <b:Guid>{72DCED15-3756-49C4-96E2-C22787B5975B}</b:Guid>
    <b:Author>
      <b:Author>
        <b:NameList>
          <b:Person>
            <b:Last>Robbins</b:Last>
            <b:First>Paul</b:First>
          </b:Person>
        </b:NameList>
      </b:Author>
    </b:Author>
    <b:Title>Political ecology. A critical introduction. </b:Title>
    <b:Year>2012</b:Year>
    <b:City>Oxford</b:City>
    <b:Publisher>Wiley Blackwell</b:Publisher>
    <b:RefOrder>1</b:RefOrder>
  </b:Source>
  <b:Source>
    <b:Tag>Swy17</b:Tag>
    <b:SourceType>JournalArticle</b:SourceType>
    <b:Guid>{61A89D2F-CAEB-4290-BAAB-0C23B7BEBDA3}</b:Guid>
    <b:Title>Economía olítica y ecología política del ciclo hidrosocial.</b:Title>
    <b:Year>2017</b:Year>
    <b:Author>
      <b:Author>
        <b:NameList>
          <b:Person>
            <b:Last>Swyngedouw</b:Last>
            <b:First>Erik</b:First>
          </b:Person>
        </b:NameList>
      </b:Author>
    </b:Author>
    <b:Pages>6-14</b:Pages>
    <b:JournalName>Waterlat-Gobacit Networking Papers</b:JournalName>
    <b:RefOrder>2</b:RefOrder>
  </b:Source>
  <b:Source>
    <b:Tag>Tri49</b:Tag>
    <b:SourceType>Report</b:SourceType>
    <b:Guid>{FCD3F1A9-ED65-4803-B116-D84C6F2B8420}</b:Guid>
    <b:Title>El río Atuel constituye un curso de aguas públicas tipicamente interno de la provincia de Mendoza. </b:Title>
    <b:Year>1949</b:Year>
    <b:Author>
      <b:Author>
        <b:NameList>
          <b:Person>
            <b:Last>Irrigación</b:Last>
            <b:First>Tribunal</b:First>
            <b:Middle>Administrativo del Departamento de</b:Middle>
          </b:Person>
        </b:NameList>
      </b:Author>
    </b:Author>
    <b:City>Mendoza</b:City>
    <b:RefOrder>20</b:RefOrder>
  </b:Source>
  <b:Source>
    <b:Tag>Ric13</b:Tag>
    <b:SourceType>Report</b:SourceType>
    <b:Guid>{EFC2B939-F8C8-492C-90FC-3AF3BAFBCD44}</b:Guid>
    <b:Title>Apuntes hidrogeológicos sobre el sud-este de la provincia de Mendoza.</b:Title>
    <b:Year>1913</b:Year>
    <b:Publisher>Talleres de la Oficina Meteorológica Argentina</b:Publisher>
    <b:City>Buenos Aires.</b:City>
    <b:Author>
      <b:Author>
        <b:NameList>
          <b:Person>
            <b:Last>Stappenbeck</b:Last>
            <b:First>Richard</b:First>
          </b:Person>
        </b:NameList>
      </b:Author>
    </b:Author>
    <b:RefOrder>21</b:RefOrder>
  </b:Source>
  <b:Source>
    <b:Tag>Fed31</b:Tag>
    <b:SourceType>Report</b:SourceType>
    <b:Guid>{93C4DE59-C92D-4D95-A42B-5A0FEB2D1EFA}</b:Guid>
    <b:Author>
      <b:Author>
        <b:NameList>
          <b:Person>
            <b:Last>Tapper</b:Last>
            <b:First>Federico</b:First>
          </b:Person>
        </b:NameList>
      </b:Author>
    </b:Author>
    <b:Title>Río Atuel. Memoria general. Antecedentes, descripción del río y situación geográfica. Resumen general de los trabajos de la Comisión a la fecha.</b:Title>
    <b:Year>1931</b:Year>
    <b:City>Buenos Aires</b:City>
    <b:RefOrder>22</b:RefOrder>
  </b:Source>
  <b:Source>
    <b:Tag>Min34</b:Tag>
    <b:SourceType>Report</b:SourceType>
    <b:Guid>{8B65625E-0499-4685-948A-779298B5D77E}</b:Guid>
    <b:Author>
      <b:Author>
        <b:NameList>
          <b:Person>
            <b:Last>Nación.</b:Last>
            <b:First>Ministerio</b:First>
            <b:Middle>de Obras Públicas. Dirección General de Irrigación de la</b:Middle>
          </b:Person>
        </b:NameList>
      </b:Author>
    </b:Author>
    <b:Title>Informe del Ingeniero Carlos Dillon con motivo del reconocimiento efectcuado en los bañados y en el curso inferior del río Atuel.</b:Title>
    <b:Year>1934</b:Year>
    <b:City>Buenos Aires.</b:City>
    <b:RefOrder>23</b:RefOrder>
  </b:Source>
  <b:Source>
    <b:Tag>Dir86</b:Tag>
    <b:SourceType>Misc</b:SourceType>
    <b:Guid>{09745C26-8E2D-41D8-AEFC-5B5E2FE6E1BF}</b:Guid>
    <b:Title>Sucesión Diego de Alvear</b:Title>
    <b:Year>1886</b:Year>
    <b:Publisher>Peuser</b:Publisher>
    <b:City>Buenos Aires</b:City>
    <b:Author>
      <b:Author>
        <b:NameList>
          <b:Person>
            <b:Last>Geodesia.</b:Last>
            <b:First>Dirección</b:First>
            <b:Middle>General de Tierras.</b:Middle>
          </b:Person>
        </b:NameList>
      </b:Author>
    </b:Author>
    <b:Month>Febrero</b:Month>
    <b:Day>24</b:Day>
    <b:StateProvince>Buenos Aires</b:StateProvince>
    <b:CountryRegion>Argentina</b:CountryRegion>
    <b:RefOrder>15</b:RefOrder>
  </b:Source>
  <b:Source>
    <b:Tag>Jam142</b:Tag>
    <b:SourceType>JournalArticle</b:SourceType>
    <b:Guid>{E0C942A0-DEEE-4BC9-A8E9-02F1745E4F24}</b:Guid>
    <b:Title>The hydrosocial cycle: defining and mobilizing a relational-dialectical approach to water.</b:Title>
    <b:Year>2014</b:Year>
    <b:Author>
      <b:Author>
        <b:Corporate>J. Linton y J. Budds</b:Corporate>
      </b:Author>
    </b:Author>
    <b:JournalName>Geoforum</b:JournalName>
    <b:Pages>170-180</b:Pages>
    <b:RefOrder>5</b:RefOrder>
  </b:Source>
  <b:Source>
    <b:Tag>Her10</b:Tag>
    <b:SourceType>Book</b:SourceType>
    <b:Guid>{66C8163E-55E9-4BD0-9A86-AA68BE6C186F}</b:Guid>
    <b:Title>Metodología de la Investigación.</b:Title>
    <b:Year>2010</b:Year>
    <b:Author>
      <b:Author>
        <b:Corporate>Hernández Sampieri; Fernandez Collado y Baptista Lucio.</b:Corporate>
      </b:Author>
    </b:Author>
    <b:City>México</b:City>
    <b:Publisher>Mc Graw Hill</b:Publisher>
    <b:RefOrder>11</b:RefOrder>
  </b:Source>
  <b:Source>
    <b:Tag>EBr82</b:Tag>
    <b:SourceType>JournalArticle</b:SourceType>
    <b:Guid>{4E816426-4200-492E-A1DB-1115CC09DCDF}</b:Guid>
    <b:Title>La diagonal árida argentina: un límite climático real.</b:Title>
    <b:Year>1982</b:Year>
    <b:Author>
      <b:Author>
        <b:NameList>
          <b:Person>
            <b:Last>Bruniard</b:Last>
            <b:First>E.</b:First>
          </b:Person>
        </b:NameList>
      </b:Author>
    </b:Author>
    <b:JournalName>Revista Geográfica</b:JournalName>
    <b:Pages>5-20</b:Pages>
    <b:RefOrder>13</b:RefOrder>
  </b:Source>
  <b:Source>
    <b:Tag>RNe76</b:Tag>
    <b:SourceType>BookSection</b:SourceType>
    <b:Guid>{0ABDF7CD-2A51-4A36-8FFD-EFDBBBF62CDA}</b:Guid>
    <b:Title>Doce enfoques operativos en geografía histórica.</b:Title>
    <b:Year>1976</b:Year>
    <b:Author>
      <b:Author>
        <b:NameList>
          <b:Person>
            <b:Last>Newcomb</b:Last>
            <b:First>R.</b:First>
          </b:Person>
        </b:NameList>
      </b:Author>
      <b:BookAuthor>
        <b:NameList>
          <b:Person>
            <b:Last>Randle</b:Last>
            <b:First>P.</b:First>
          </b:Person>
        </b:NameList>
      </b:BookAuthor>
    </b:Author>
    <b:BookTitle>Teoría de la Geografía</b:BookTitle>
    <b:City>Buenos Aires</b:City>
    <b:Publisher>Sociedad de Estudios Geográficos.</b:Publisher>
    <b:RefOrder>12</b:RefOrder>
  </b:Source>
</b:Sources>
</file>

<file path=customXml/itemProps1.xml><?xml version="1.0" encoding="utf-8"?>
<ds:datastoreItem xmlns:ds="http://schemas.openxmlformats.org/officeDocument/2006/customXml" ds:itemID="{7A7C1E79-E99E-4BDF-9845-7E811981D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5708</Words>
  <Characters>32540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Langhoff</dc:creator>
  <cp:lastModifiedBy>Laura Langhoff</cp:lastModifiedBy>
  <cp:revision>20</cp:revision>
  <dcterms:created xsi:type="dcterms:W3CDTF">2019-08-15T14:51:00Z</dcterms:created>
  <dcterms:modified xsi:type="dcterms:W3CDTF">2019-08-17T00:41:00Z</dcterms:modified>
</cp:coreProperties>
</file>