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Jornadas de Jóvenes </w:t>
      </w:r>
      <w:proofErr w:type="spellStart"/>
      <w:r>
        <w:rPr>
          <w:rFonts w:ascii="Times New Roman" w:eastAsia="Times New Roman" w:hAnsi="Times New Roman" w:cs="Times New Roman"/>
          <w:sz w:val="24"/>
          <w:szCs w:val="24"/>
        </w:rPr>
        <w:t>Investigadorxs</w:t>
      </w:r>
      <w:proofErr w:type="spellEnd"/>
      <w:r>
        <w:rPr>
          <w:rFonts w:ascii="Times New Roman" w:eastAsia="Times New Roman" w:hAnsi="Times New Roman" w:cs="Times New Roman"/>
          <w:sz w:val="24"/>
          <w:szCs w:val="24"/>
        </w:rPr>
        <w:br/>
        <w:t xml:space="preserve">Instituto de Investigaciones Gino </w:t>
      </w:r>
      <w:proofErr w:type="spellStart"/>
      <w:r>
        <w:rPr>
          <w:rFonts w:ascii="Times New Roman" w:eastAsia="Times New Roman" w:hAnsi="Times New Roman" w:cs="Times New Roman"/>
          <w:sz w:val="24"/>
          <w:szCs w:val="24"/>
        </w:rPr>
        <w:t>Germani</w:t>
      </w:r>
      <w:proofErr w:type="spellEnd"/>
      <w:r>
        <w:rPr>
          <w:rFonts w:ascii="Times New Roman" w:eastAsia="Times New Roman" w:hAnsi="Times New Roman" w:cs="Times New Roman"/>
          <w:sz w:val="24"/>
          <w:szCs w:val="24"/>
        </w:rPr>
        <w:br/>
        <w:t>6, 7 y 8 de noviembre de 2019</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Laura Ivana </w:t>
      </w:r>
      <w:proofErr w:type="spellStart"/>
      <w:r>
        <w:rPr>
          <w:rFonts w:ascii="Times New Roman" w:eastAsia="Times New Roman" w:hAnsi="Times New Roman" w:cs="Times New Roman"/>
          <w:sz w:val="24"/>
          <w:szCs w:val="24"/>
        </w:rPr>
        <w:t>Tarasiuk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Ploc</w:t>
      </w:r>
      <w:proofErr w:type="spellEnd"/>
      <w:r>
        <w:rPr>
          <w:rFonts w:ascii="Times New Roman" w:eastAsia="Times New Roman" w:hAnsi="Times New Roman" w:cs="Times New Roman"/>
          <w:sz w:val="24"/>
          <w:szCs w:val="24"/>
        </w:rPr>
        <w:br/>
        <w:t>Universidad Nacional de Lanús</w:t>
      </w:r>
      <w:r>
        <w:rPr>
          <w:rFonts w:ascii="Times New Roman" w:eastAsia="Times New Roman" w:hAnsi="Times New Roman" w:cs="Times New Roman"/>
          <w:sz w:val="24"/>
          <w:szCs w:val="24"/>
        </w:rPr>
        <w:br/>
      </w:r>
      <w:hyperlink r:id="rId8">
        <w:r>
          <w:rPr>
            <w:rFonts w:ascii="Times New Roman" w:eastAsia="Times New Roman" w:hAnsi="Times New Roman" w:cs="Times New Roman"/>
            <w:color w:val="1155CC"/>
            <w:sz w:val="24"/>
            <w:szCs w:val="24"/>
            <w:u w:val="single"/>
          </w:rPr>
          <w:t>litarasiukploc@unla.edu.ar</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Estudiante de la Maestría en Metodología de la Investigación Científica (</w:t>
      </w:r>
      <w:proofErr w:type="spellStart"/>
      <w:r>
        <w:rPr>
          <w:rFonts w:ascii="Times New Roman" w:eastAsia="Times New Roman" w:hAnsi="Times New Roman" w:cs="Times New Roman"/>
          <w:sz w:val="24"/>
          <w:szCs w:val="24"/>
        </w:rPr>
        <w:t>UNLa</w:t>
      </w:r>
      <w:proofErr w:type="spellEnd"/>
      <w:r>
        <w:rPr>
          <w:rFonts w:ascii="Times New Roman" w:eastAsia="Times New Roman" w:hAnsi="Times New Roman" w:cs="Times New Roman"/>
          <w:sz w:val="24"/>
          <w:szCs w:val="24"/>
        </w:rPr>
        <w:t>). Lic. En Diseño y Comunicación Visual (</w:t>
      </w:r>
      <w:proofErr w:type="spellStart"/>
      <w:r>
        <w:rPr>
          <w:rFonts w:ascii="Times New Roman" w:eastAsia="Times New Roman" w:hAnsi="Times New Roman" w:cs="Times New Roman"/>
          <w:sz w:val="24"/>
          <w:szCs w:val="24"/>
        </w:rPr>
        <w:t>UNLa</w:t>
      </w:r>
      <w:proofErr w:type="spellEnd"/>
      <w:r>
        <w:rPr>
          <w:rFonts w:ascii="Times New Roman" w:eastAsia="Times New Roman" w:hAnsi="Times New Roman" w:cs="Times New Roman"/>
          <w:sz w:val="24"/>
          <w:szCs w:val="24"/>
        </w:rPr>
        <w:t>)</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Mariano </w:t>
      </w:r>
      <w:proofErr w:type="spellStart"/>
      <w:r>
        <w:rPr>
          <w:rFonts w:ascii="Times New Roman" w:eastAsia="Times New Roman" w:hAnsi="Times New Roman" w:cs="Times New Roman"/>
          <w:sz w:val="24"/>
          <w:szCs w:val="24"/>
        </w:rPr>
        <w:t>Wiszniacki</w:t>
      </w:r>
      <w:proofErr w:type="spellEnd"/>
      <w:r>
        <w:rPr>
          <w:rFonts w:ascii="Times New Roman" w:eastAsia="Times New Roman" w:hAnsi="Times New Roman" w:cs="Times New Roman"/>
          <w:sz w:val="24"/>
          <w:szCs w:val="24"/>
        </w:rPr>
        <w:br/>
        <w:t>Universidad Nacional de Lanús</w:t>
      </w:r>
      <w:r>
        <w:rPr>
          <w:rFonts w:ascii="Times New Roman" w:eastAsia="Times New Roman" w:hAnsi="Times New Roman" w:cs="Times New Roman"/>
          <w:sz w:val="24"/>
          <w:szCs w:val="24"/>
        </w:rPr>
        <w:br/>
      </w:r>
      <w:hyperlink r:id="rId9">
        <w:r>
          <w:rPr>
            <w:rFonts w:ascii="Times New Roman" w:eastAsia="Times New Roman" w:hAnsi="Times New Roman" w:cs="Times New Roman"/>
            <w:color w:val="0000FF"/>
            <w:sz w:val="24"/>
            <w:szCs w:val="24"/>
            <w:u w:val="single"/>
          </w:rPr>
          <w:t>marianwis@gmail.com</w:t>
        </w:r>
      </w:hyperlink>
      <w:r>
        <w:rPr>
          <w:rFonts w:ascii="Times New Roman" w:eastAsia="Times New Roman" w:hAnsi="Times New Roman" w:cs="Times New Roman"/>
          <w:sz w:val="24"/>
          <w:szCs w:val="24"/>
        </w:rPr>
        <w:tab/>
      </w:r>
      <w:r>
        <w:rPr>
          <w:rFonts w:ascii="Times New Roman" w:eastAsia="Times New Roman" w:hAnsi="Times New Roman" w:cs="Times New Roman"/>
          <w:sz w:val="24"/>
          <w:szCs w:val="24"/>
          <w:highlight w:val="yellow"/>
        </w:rPr>
        <w:br/>
      </w:r>
      <w:r>
        <w:rPr>
          <w:rFonts w:ascii="Times New Roman" w:eastAsia="Times New Roman" w:hAnsi="Times New Roman" w:cs="Times New Roman"/>
          <w:sz w:val="24"/>
          <w:szCs w:val="24"/>
        </w:rPr>
        <w:t xml:space="preserve">Especialista en </w:t>
      </w:r>
      <w:r>
        <w:rPr>
          <w:rFonts w:ascii="Times New Roman" w:eastAsia="Times New Roman" w:hAnsi="Times New Roman" w:cs="Times New Roman"/>
          <w:sz w:val="24"/>
          <w:szCs w:val="24"/>
        </w:rPr>
        <w:t>Metodología de la Investigación Científica (</w:t>
      </w:r>
      <w:proofErr w:type="spellStart"/>
      <w:r>
        <w:rPr>
          <w:rFonts w:ascii="Times New Roman" w:eastAsia="Times New Roman" w:hAnsi="Times New Roman" w:cs="Times New Roman"/>
          <w:sz w:val="24"/>
          <w:szCs w:val="24"/>
        </w:rPr>
        <w:t>UNLa</w:t>
      </w:r>
      <w:proofErr w:type="spellEnd"/>
      <w:r>
        <w:rPr>
          <w:rFonts w:ascii="Times New Roman" w:eastAsia="Times New Roman" w:hAnsi="Times New Roman" w:cs="Times New Roman"/>
          <w:sz w:val="24"/>
          <w:szCs w:val="24"/>
        </w:rPr>
        <w:t>), maestría en Metodología de la Investigación Científica (</w:t>
      </w:r>
      <w:proofErr w:type="spellStart"/>
      <w:r>
        <w:rPr>
          <w:rFonts w:ascii="Times New Roman" w:eastAsia="Times New Roman" w:hAnsi="Times New Roman" w:cs="Times New Roman"/>
          <w:sz w:val="24"/>
          <w:szCs w:val="24"/>
        </w:rPr>
        <w:t>UNLa</w:t>
      </w:r>
      <w:proofErr w:type="spellEnd"/>
      <w:r>
        <w:rPr>
          <w:rFonts w:ascii="Times New Roman" w:eastAsia="Times New Roman" w:hAnsi="Times New Roman" w:cs="Times New Roman"/>
          <w:sz w:val="24"/>
          <w:szCs w:val="24"/>
        </w:rPr>
        <w:t>) completada, tesis en elaboración. Lic. En Ciencias de la Comunicación (FSOC-UBA)</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Eje problemático propuesto 4. Cultura y sociedad: artes, medio</w:t>
      </w:r>
      <w:r>
        <w:rPr>
          <w:rFonts w:ascii="Times New Roman" w:eastAsia="Times New Roman" w:hAnsi="Times New Roman" w:cs="Times New Roman"/>
          <w:b/>
          <w:sz w:val="24"/>
          <w:szCs w:val="24"/>
        </w:rPr>
        <w:t>s y tecnologías digitales</w:t>
      </w:r>
      <w:r>
        <w:rPr>
          <w:rFonts w:ascii="Times New Roman" w:eastAsia="Times New Roman" w:hAnsi="Times New Roman" w:cs="Times New Roman"/>
          <w:b/>
          <w:sz w:val="24"/>
          <w:szCs w:val="24"/>
        </w:rPr>
        <w:br/>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TÍTULO: La ilustración en los inicios de la Revista PBT (1904-1908). Prensa, comunicación visual y sátira política.</w:t>
      </w:r>
    </w:p>
    <w:p w:rsidR="00B37A57" w:rsidRDefault="00B37A57" w:rsidP="000A461F">
      <w:pPr>
        <w:spacing w:before="100" w:beforeAutospacing="1" w:after="100" w:afterAutospacing="1" w:line="360" w:lineRule="auto"/>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Palabras claves: Artes gráficas, PBT, historia de la prensa, ilustración.</w:t>
      </w:r>
    </w:p>
    <w:p w:rsidR="00B37A57" w:rsidRDefault="00B37A57" w:rsidP="000A461F">
      <w:pPr>
        <w:spacing w:before="100" w:beforeAutospacing="1" w:after="100" w:afterAutospacing="1" w:line="360" w:lineRule="auto"/>
        <w:rPr>
          <w:rFonts w:ascii="Times New Roman" w:eastAsia="Times New Roman" w:hAnsi="Times New Roman" w:cs="Times New Roman"/>
          <w:b/>
          <w:sz w:val="24"/>
          <w:szCs w:val="24"/>
        </w:rPr>
      </w:pPr>
    </w:p>
    <w:p w:rsidR="000F0752" w:rsidRDefault="000F0752" w:rsidP="000A461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37A57" w:rsidRDefault="000F0752"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 </w:t>
      </w:r>
      <w:r w:rsidR="00BF263E">
        <w:rPr>
          <w:rFonts w:ascii="Times New Roman" w:eastAsia="Times New Roman" w:hAnsi="Times New Roman" w:cs="Times New Roman"/>
          <w:b/>
          <w:sz w:val="24"/>
          <w:szCs w:val="24"/>
        </w:rPr>
        <w:t>Introducción</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form</w:t>
      </w:r>
      <w:r>
        <w:rPr>
          <w:rFonts w:ascii="Times New Roman" w:eastAsia="Times New Roman" w:hAnsi="Times New Roman" w:cs="Times New Roman"/>
          <w:sz w:val="24"/>
          <w:szCs w:val="24"/>
        </w:rPr>
        <w:t xml:space="preserve">a parte del Proyecto de Investigación en curso correspondiente a la Convocatoria </w:t>
      </w:r>
      <w:r w:rsidR="000A461F">
        <w:rPr>
          <w:rFonts w:ascii="Times New Roman" w:eastAsia="Times New Roman" w:hAnsi="Times New Roman" w:cs="Times New Roman"/>
          <w:i/>
          <w:sz w:val="24"/>
          <w:szCs w:val="24"/>
        </w:rPr>
        <w:t>Amílcar</w:t>
      </w:r>
      <w:r>
        <w:rPr>
          <w:rFonts w:ascii="Times New Roman" w:eastAsia="Times New Roman" w:hAnsi="Times New Roman" w:cs="Times New Roman"/>
          <w:i/>
          <w:sz w:val="24"/>
          <w:szCs w:val="24"/>
        </w:rPr>
        <w:t xml:space="preserve"> Herrera</w:t>
      </w:r>
      <w:r>
        <w:rPr>
          <w:rFonts w:ascii="Times New Roman" w:eastAsia="Times New Roman" w:hAnsi="Times New Roman" w:cs="Times New Roman"/>
          <w:sz w:val="24"/>
          <w:szCs w:val="24"/>
        </w:rPr>
        <w:t xml:space="preserve"> 2017 de la Universidad Nacional de Lanús: “Vivir del oficio: dibujantes, grabadores y litógrafos en la modernización de la prensa diaria argentina (1894-1916),</w:t>
      </w:r>
      <w:r>
        <w:rPr>
          <w:rFonts w:ascii="Times New Roman" w:eastAsia="Times New Roman" w:hAnsi="Times New Roman" w:cs="Times New Roman"/>
          <w:sz w:val="24"/>
          <w:szCs w:val="24"/>
        </w:rPr>
        <w:t xml:space="preserve"> entre el empleo y el negocio independiente” dirigido por la Dra. Alejandra Ojeda. Se trata del quinto proyecto que lleva a cabo este equipo de trabajo en esa casa de estudios, donde bajo la dirección de la Dra. Ojeda y el Dr. Julio E.</w:t>
      </w:r>
      <w:r w:rsidR="000A46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Moyano se han relevad</w:t>
      </w:r>
      <w:r>
        <w:rPr>
          <w:rFonts w:ascii="Times New Roman" w:eastAsia="Times New Roman" w:hAnsi="Times New Roman" w:cs="Times New Roman"/>
          <w:sz w:val="24"/>
          <w:szCs w:val="24"/>
        </w:rPr>
        <w:t>o, descripto y analizado las problemáticas relativas a la configuración de la comunicación visual en la prensa argentina de circulación nacional desde 1869 hasta 1916. El primero de los proyectos: “Configuración histórica de lenguaje visual en prensa” abor</w:t>
      </w:r>
      <w:r>
        <w:rPr>
          <w:rFonts w:ascii="Times New Roman" w:eastAsia="Times New Roman" w:hAnsi="Times New Roman" w:cs="Times New Roman"/>
          <w:sz w:val="24"/>
          <w:szCs w:val="24"/>
        </w:rPr>
        <w:t>dó la forja del armado y diseño de página modernos en los casos de los diarios La Nación y La Prensa entre 1869 y 1905” y tanto como en “La transformación del rol de la publicidad en la prensa diaria argentina (1894-1904): Nuevas relaciones y tensiones ent</w:t>
      </w:r>
      <w:r>
        <w:rPr>
          <w:rFonts w:ascii="Times New Roman" w:eastAsia="Times New Roman" w:hAnsi="Times New Roman" w:cs="Times New Roman"/>
          <w:sz w:val="24"/>
          <w:szCs w:val="24"/>
        </w:rPr>
        <w:t xml:space="preserve">re política, prensa y mercado. Los casos de El Nacional, La Prensa, La Nación y El Diario” se trabajaron los profundos cambios en la función política de la prensa y el tránsito desde la lógica </w:t>
      </w:r>
      <w:proofErr w:type="spellStart"/>
      <w:r>
        <w:rPr>
          <w:rFonts w:ascii="Times New Roman" w:eastAsia="Times New Roman" w:hAnsi="Times New Roman" w:cs="Times New Roman"/>
          <w:sz w:val="24"/>
          <w:szCs w:val="24"/>
        </w:rPr>
        <w:t>faccional</w:t>
      </w:r>
      <w:proofErr w:type="spellEnd"/>
      <w:r>
        <w:rPr>
          <w:rFonts w:ascii="Times New Roman" w:eastAsia="Times New Roman" w:hAnsi="Times New Roman" w:cs="Times New Roman"/>
          <w:sz w:val="24"/>
          <w:szCs w:val="24"/>
        </w:rPr>
        <w:t xml:space="preserve"> a la de plena hegemonía de las reglas empresariales d</w:t>
      </w:r>
      <w:r>
        <w:rPr>
          <w:rFonts w:ascii="Times New Roman" w:eastAsia="Times New Roman" w:hAnsi="Times New Roman" w:cs="Times New Roman"/>
          <w:sz w:val="24"/>
          <w:szCs w:val="24"/>
        </w:rPr>
        <w:t>e mercado mediadas por la expansión de la inversión de las empresas anunciantes, el aumento del público lector y la diversificación de la oferta. Luego, en “Prensa, política y mercado en el ‘900’: Prácticas, protagonistas y luchas por el sentido en el peri</w:t>
      </w:r>
      <w:r>
        <w:rPr>
          <w:rFonts w:ascii="Times New Roman" w:eastAsia="Times New Roman" w:hAnsi="Times New Roman" w:cs="Times New Roman"/>
          <w:sz w:val="24"/>
          <w:szCs w:val="24"/>
        </w:rPr>
        <w:t>odismo de Buenos Aires (1898-1904)”, se investigó sobre las redes familiares que ligaron a la fuerza política liderada por Mitre con otras figuras clave de la configuración empresarial del periodismo industrializado. Finalmente, en el proyecto anterior, de</w:t>
      </w:r>
      <w:r>
        <w:rPr>
          <w:rFonts w:ascii="Times New Roman" w:eastAsia="Times New Roman" w:hAnsi="Times New Roman" w:cs="Times New Roman"/>
          <w:sz w:val="24"/>
          <w:szCs w:val="24"/>
        </w:rPr>
        <w:t xml:space="preserve">nominado “La forja de la empresa: las industrias periodísticas en Buenos Aires entre el </w:t>
      </w:r>
      <w:proofErr w:type="spellStart"/>
      <w:r>
        <w:rPr>
          <w:rFonts w:ascii="Times New Roman" w:eastAsia="Times New Roman" w:hAnsi="Times New Roman" w:cs="Times New Roman"/>
          <w:sz w:val="24"/>
          <w:szCs w:val="24"/>
        </w:rPr>
        <w:t>roquismo</w:t>
      </w:r>
      <w:proofErr w:type="spellEnd"/>
      <w:r>
        <w:rPr>
          <w:rFonts w:ascii="Times New Roman" w:eastAsia="Times New Roman" w:hAnsi="Times New Roman" w:cs="Times New Roman"/>
          <w:sz w:val="24"/>
          <w:szCs w:val="24"/>
        </w:rPr>
        <w:t xml:space="preserve"> y las irrupción </w:t>
      </w:r>
      <w:proofErr w:type="spellStart"/>
      <w:r>
        <w:rPr>
          <w:rFonts w:ascii="Times New Roman" w:eastAsia="Times New Roman" w:hAnsi="Times New Roman" w:cs="Times New Roman"/>
          <w:sz w:val="24"/>
          <w:szCs w:val="24"/>
        </w:rPr>
        <w:t>irigoyenista</w:t>
      </w:r>
      <w:proofErr w:type="spellEnd"/>
      <w:r>
        <w:rPr>
          <w:rFonts w:ascii="Times New Roman" w:eastAsia="Times New Roman" w:hAnsi="Times New Roman" w:cs="Times New Roman"/>
          <w:sz w:val="24"/>
          <w:szCs w:val="24"/>
        </w:rPr>
        <w:t xml:space="preserve"> (1904-1916)”, el equipo continuó profundizando acerca de los modos de configuración de los oficios gráficos en el marco de un noto</w:t>
      </w:r>
      <w:r>
        <w:rPr>
          <w:rFonts w:ascii="Times New Roman" w:eastAsia="Times New Roman" w:hAnsi="Times New Roman" w:cs="Times New Roman"/>
          <w:sz w:val="24"/>
          <w:szCs w:val="24"/>
        </w:rPr>
        <w:t xml:space="preserve">rio despliegue de nuevas estrategias empresariales de diversificación, segmentación e innovación de contenidos. En ese proyecto se exploró, entre otras cuestiones, el nacimiento de los magazines y la sátira política a partir del emblemático </w:t>
      </w:r>
      <w:r>
        <w:rPr>
          <w:rFonts w:ascii="Times New Roman" w:eastAsia="Times New Roman" w:hAnsi="Times New Roman" w:cs="Times New Roman"/>
          <w:i/>
          <w:sz w:val="24"/>
          <w:szCs w:val="24"/>
        </w:rPr>
        <w:t>Caras y Caretas</w:t>
      </w:r>
      <w:r>
        <w:rPr>
          <w:rFonts w:ascii="Times New Roman" w:eastAsia="Times New Roman" w:hAnsi="Times New Roman" w:cs="Times New Roman"/>
          <w:sz w:val="24"/>
          <w:szCs w:val="24"/>
        </w:rPr>
        <w:t xml:space="preserve">.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actual pretende revisar los principales casos de dibujantes, grabadores y litógrafos que prestaron servicios a la prensa diaria argentina de circulación nacional entre la última década del siglo XIX y mediados de la década de 1910.  En</w:t>
      </w:r>
      <w:r>
        <w:rPr>
          <w:rFonts w:ascii="Times New Roman" w:eastAsia="Times New Roman" w:hAnsi="Times New Roman" w:cs="Times New Roman"/>
          <w:sz w:val="24"/>
          <w:szCs w:val="24"/>
        </w:rPr>
        <w:t xml:space="preserve"> tal sentido, se ha definido elaborar un listado exhaustivo de ilustradores que participaron en la prensa diaria de circulación </w:t>
      </w:r>
      <w:r>
        <w:rPr>
          <w:rFonts w:ascii="Times New Roman" w:eastAsia="Times New Roman" w:hAnsi="Times New Roman" w:cs="Times New Roman"/>
          <w:sz w:val="24"/>
          <w:szCs w:val="24"/>
        </w:rPr>
        <w:lastRenderedPageBreak/>
        <w:t>nacional en el período, estudiar las diversas estrategias y vinculaciones con el naciente oficio, así como construir posibles ti</w:t>
      </w:r>
      <w:r>
        <w:rPr>
          <w:rFonts w:ascii="Times New Roman" w:eastAsia="Times New Roman" w:hAnsi="Times New Roman" w:cs="Times New Roman"/>
          <w:sz w:val="24"/>
          <w:szCs w:val="24"/>
        </w:rPr>
        <w:t>pologías. El recorte temporal de este proyecto toma en consideración el proceso de incorporación sistemática de la imagen visual a la prensa gráfica, que se produce fuertemente durante la última década del Siglo XIX, proceso que es acompañado por una moder</w:t>
      </w:r>
      <w:r>
        <w:rPr>
          <w:rFonts w:ascii="Times New Roman" w:eastAsia="Times New Roman" w:hAnsi="Times New Roman" w:cs="Times New Roman"/>
          <w:sz w:val="24"/>
          <w:szCs w:val="24"/>
        </w:rPr>
        <w:t>nización general del periodismo argentino –donde esa inclusión de la imagen es un aspecto central no sólo desde el punto de vista tecnológico, sino fundamentalmente comunicacional-, tal como estudia Eduardo Romano en</w:t>
      </w:r>
      <w:r>
        <w:rPr>
          <w:rFonts w:ascii="Times New Roman" w:eastAsia="Times New Roman" w:hAnsi="Times New Roman" w:cs="Times New Roman"/>
          <w:i/>
          <w:sz w:val="24"/>
          <w:szCs w:val="24"/>
        </w:rPr>
        <w:t xml:space="preserve"> Revolución en la lectura. El discurso p</w:t>
      </w:r>
      <w:r>
        <w:rPr>
          <w:rFonts w:ascii="Times New Roman" w:eastAsia="Times New Roman" w:hAnsi="Times New Roman" w:cs="Times New Roman"/>
          <w:i/>
          <w:sz w:val="24"/>
          <w:szCs w:val="24"/>
        </w:rPr>
        <w:t xml:space="preserve">eriodístico-literario de las primeras revistas ilustradas rioplatenses </w:t>
      </w:r>
      <w:r>
        <w:rPr>
          <w:rFonts w:ascii="Times New Roman" w:eastAsia="Times New Roman" w:hAnsi="Times New Roman" w:cs="Times New Roman"/>
          <w:sz w:val="24"/>
          <w:szCs w:val="24"/>
        </w:rPr>
        <w:t xml:space="preserve">(2004).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marco de incesante incorporación de la imagen visual a las publicaciones periódicas nacionales es que se produce además una profesionalización de los oficios gráficos. </w:t>
      </w:r>
      <w:r>
        <w:rPr>
          <w:rFonts w:ascii="Times New Roman" w:eastAsia="Times New Roman" w:hAnsi="Times New Roman" w:cs="Times New Roman"/>
          <w:sz w:val="24"/>
          <w:szCs w:val="24"/>
        </w:rPr>
        <w:t>Afirman Ojeda y Moyano (2018, p.3) que en ese período “se sistematizó la búsqueda de armonía estética entre avisos y contenidos de redacción, los géneros de la imagen visual, la optimización de las distintas tecnologías disponibles, la profesionalización d</w:t>
      </w:r>
      <w:r>
        <w:rPr>
          <w:rFonts w:ascii="Times New Roman" w:eastAsia="Times New Roman" w:hAnsi="Times New Roman" w:cs="Times New Roman"/>
          <w:sz w:val="24"/>
          <w:szCs w:val="24"/>
        </w:rPr>
        <w:t>e los oficios ligados a la imagen y su uso con funciones comunicacionales específicas (ilustrar, informar, argumentar)”. En la misma obra, los autores sostienen que fue en las revistas ilustradas, de caricatura satírico-política, como es el caso, entre otr</w:t>
      </w:r>
      <w:r>
        <w:rPr>
          <w:rFonts w:ascii="Times New Roman" w:eastAsia="Times New Roman" w:hAnsi="Times New Roman" w:cs="Times New Roman"/>
          <w:sz w:val="24"/>
          <w:szCs w:val="24"/>
        </w:rPr>
        <w:t xml:space="preserve">as de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xml:space="preserve">, donde se ensayaron las principales innovaciones gráfico-visuales que luego fueron incorporadas a los diarios y donde se fueron profesionalizando los ilustradores, dibujantes y artistas que serán protagonistas de esas transformaciones.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señ</w:t>
      </w:r>
      <w:r>
        <w:rPr>
          <w:rFonts w:ascii="Times New Roman" w:eastAsia="Times New Roman" w:hAnsi="Times New Roman" w:cs="Times New Roman"/>
          <w:sz w:val="24"/>
          <w:szCs w:val="24"/>
        </w:rPr>
        <w:t xml:space="preserve">alar dos cuestiones que hacen a la incorporación de la imagen visual. La primera de ellas, el proceso de reconversión gerencial e inversión en tecnología que emprenden desde 1893 las familias propietarias de los diarios </w:t>
      </w:r>
      <w:r>
        <w:rPr>
          <w:rFonts w:ascii="Times New Roman" w:eastAsia="Times New Roman" w:hAnsi="Times New Roman" w:cs="Times New Roman"/>
          <w:i/>
          <w:sz w:val="24"/>
          <w:szCs w:val="24"/>
        </w:rPr>
        <w:t>La Prensa</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La Nación</w:t>
      </w:r>
      <w:r>
        <w:rPr>
          <w:rFonts w:ascii="Times New Roman" w:eastAsia="Times New Roman" w:hAnsi="Times New Roman" w:cs="Times New Roman"/>
          <w:sz w:val="24"/>
          <w:szCs w:val="24"/>
        </w:rPr>
        <w:t xml:space="preserve">, quienes se nutrirán de una generación de artistas visuales que se encontraban </w:t>
      </w:r>
      <w:r>
        <w:rPr>
          <w:rFonts w:ascii="Times New Roman" w:eastAsia="Times New Roman" w:hAnsi="Times New Roman" w:cs="Times New Roman"/>
          <w:i/>
          <w:sz w:val="24"/>
          <w:szCs w:val="24"/>
        </w:rPr>
        <w:t>disponibles</w:t>
      </w:r>
      <w:r>
        <w:rPr>
          <w:rFonts w:ascii="Times New Roman" w:eastAsia="Times New Roman" w:hAnsi="Times New Roman" w:cs="Times New Roman"/>
          <w:sz w:val="24"/>
          <w:szCs w:val="24"/>
        </w:rPr>
        <w:t xml:space="preserve">. Por otro lado, la profesionalización de los artistas visuales en las publicaciones periódicas va </w:t>
      </w:r>
      <w:proofErr w:type="gramStart"/>
      <w:r>
        <w:rPr>
          <w:rFonts w:ascii="Times New Roman" w:eastAsia="Times New Roman" w:hAnsi="Times New Roman" w:cs="Times New Roman"/>
          <w:sz w:val="24"/>
          <w:szCs w:val="24"/>
        </w:rPr>
        <w:t>acompañado</w:t>
      </w:r>
      <w:proofErr w:type="gramEnd"/>
      <w:r>
        <w:rPr>
          <w:rFonts w:ascii="Times New Roman" w:eastAsia="Times New Roman" w:hAnsi="Times New Roman" w:cs="Times New Roman"/>
          <w:sz w:val="24"/>
          <w:szCs w:val="24"/>
        </w:rPr>
        <w:t xml:space="preserve"> de una profesionalización también de los escritores en </w:t>
      </w:r>
      <w:r>
        <w:rPr>
          <w:rFonts w:ascii="Times New Roman" w:eastAsia="Times New Roman" w:hAnsi="Times New Roman" w:cs="Times New Roman"/>
          <w:sz w:val="24"/>
          <w:szCs w:val="24"/>
        </w:rPr>
        <w:t>la prensa. Todo esto permite afirmar que para comienzos del siglo XX el mercado periodístico nacional asume características similares a los de los principales países industrializados, en particular al mercado norteamericano. Finalmente, ya habiéndose conso</w:t>
      </w:r>
      <w:r>
        <w:rPr>
          <w:rFonts w:ascii="Times New Roman" w:eastAsia="Times New Roman" w:hAnsi="Times New Roman" w:cs="Times New Roman"/>
          <w:sz w:val="24"/>
          <w:szCs w:val="24"/>
        </w:rPr>
        <w:t>lidado un proceso de fuerte alfabetización y de la incesante inmigración de aquellos años existía para ese entonces un potencial mercado de lectores más formado, ávido de interactuar con la conformación de géneros y subgéneros periodísticos.</w:t>
      </w:r>
    </w:p>
    <w:p w:rsidR="00B37A57" w:rsidRDefault="00B37A57" w:rsidP="000A461F">
      <w:pPr>
        <w:spacing w:before="100" w:beforeAutospacing="1" w:after="100" w:afterAutospacing="1" w:line="360" w:lineRule="auto"/>
        <w:jc w:val="both"/>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tal modo, </w:t>
      </w:r>
      <w:r>
        <w:rPr>
          <w:rFonts w:ascii="Times New Roman" w:eastAsia="Times New Roman" w:hAnsi="Times New Roman" w:cs="Times New Roman"/>
          <w:sz w:val="24"/>
          <w:szCs w:val="24"/>
        </w:rPr>
        <w:t xml:space="preserve">el presente escrito busca explorar las características de las ilustraciones y la labor de los oficios gráficos visuales focalizado en la revista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en sus primeros años (1904-1908), con el objetivo de construir una tipología de las producciones visuales d</w:t>
      </w:r>
      <w:r>
        <w:rPr>
          <w:rFonts w:ascii="Times New Roman" w:eastAsia="Times New Roman" w:hAnsi="Times New Roman" w:cs="Times New Roman"/>
          <w:sz w:val="24"/>
          <w:szCs w:val="24"/>
        </w:rPr>
        <w:t>e los ilustradores que construyeron la visualidad de la publicación. Este estudio busca esbozar un análisis de las labores de los ilustradores dentro de las artes gráficas, con el objeto de realizar un aporte de datos para la reconstrucción de las biografí</w:t>
      </w:r>
      <w:r>
        <w:rPr>
          <w:rFonts w:ascii="Times New Roman" w:eastAsia="Times New Roman" w:hAnsi="Times New Roman" w:cs="Times New Roman"/>
          <w:sz w:val="24"/>
          <w:szCs w:val="24"/>
        </w:rPr>
        <w:t xml:space="preserve">as de esos personajes, con el propósito de realizar un aporte más a la historia social y cultural de nuestro país, focalizando en la configuración de su sistema de medios de comunicación.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términos metodológicos, el corpus de las ediciones de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ha si</w:t>
      </w:r>
      <w:r>
        <w:rPr>
          <w:rFonts w:ascii="Times New Roman" w:eastAsia="Times New Roman" w:hAnsi="Times New Roman" w:cs="Times New Roman"/>
          <w:sz w:val="24"/>
          <w:szCs w:val="24"/>
        </w:rPr>
        <w:t>do seleccionado en modalidad aleatoria sistemático, obteniendo un total de 53 ediciones que fueron relevadas sobre un universo de 215 números publicados entre 1904 y 1908. Se realizó una observación directa (</w:t>
      </w:r>
      <w:proofErr w:type="spellStart"/>
      <w:r>
        <w:rPr>
          <w:rFonts w:ascii="Times New Roman" w:eastAsia="Times New Roman" w:hAnsi="Times New Roman" w:cs="Times New Roman"/>
          <w:sz w:val="24"/>
          <w:szCs w:val="24"/>
        </w:rPr>
        <w:t>Ander-Egg</w:t>
      </w:r>
      <w:proofErr w:type="spellEnd"/>
      <w:r>
        <w:rPr>
          <w:rFonts w:ascii="Times New Roman" w:eastAsia="Times New Roman" w:hAnsi="Times New Roman" w:cs="Times New Roman"/>
          <w:sz w:val="24"/>
          <w:szCs w:val="24"/>
        </w:rPr>
        <w:t>, 2003) de las ilustraciones de la mues</w:t>
      </w:r>
      <w:r>
        <w:rPr>
          <w:rFonts w:ascii="Times New Roman" w:eastAsia="Times New Roman" w:hAnsi="Times New Roman" w:cs="Times New Roman"/>
          <w:sz w:val="24"/>
          <w:szCs w:val="24"/>
        </w:rPr>
        <w:t>tra, identificando las firmas de los ilustradores y clasificando por tipologías de imagen. Posteriormente el análisis se focalizó en la producción de aquellos ilustradores que participaron en secciones de la revista o tipologías fijas de manera regular dur</w:t>
      </w:r>
      <w:r>
        <w:rPr>
          <w:rFonts w:ascii="Times New Roman" w:eastAsia="Times New Roman" w:hAnsi="Times New Roman" w:cs="Times New Roman"/>
          <w:sz w:val="24"/>
          <w:szCs w:val="24"/>
        </w:rPr>
        <w:t xml:space="preserve">ante un período continuo superior a 4 publicaciones. </w:t>
      </w:r>
    </w:p>
    <w:p w:rsidR="000A461F" w:rsidRDefault="000A461F" w:rsidP="000A461F">
      <w:pPr>
        <w:spacing w:before="100" w:beforeAutospacing="1" w:after="100" w:afterAutospacing="1" w:line="360" w:lineRule="auto"/>
        <w:rPr>
          <w:rFonts w:ascii="Times New Roman" w:eastAsia="Times New Roman" w:hAnsi="Times New Roman" w:cs="Times New Roman"/>
          <w:b/>
          <w:sz w:val="24"/>
          <w:szCs w:val="24"/>
        </w:rPr>
      </w:pPr>
    </w:p>
    <w:p w:rsidR="00B37A57" w:rsidRDefault="00BF263E" w:rsidP="000A461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Desarrollo</w:t>
      </w:r>
    </w:p>
    <w:p w:rsidR="00B37A57" w:rsidRDefault="00BF263E" w:rsidP="000A461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El auge de los magazines en Argentina: la elección de PBT como caso de estudio</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Desde los comienzos de la prensa periódica argentina hacia principios del siglo XIX, los formatos periodísticos fueron experimentando gran variedad de modificaciones, entre ellas, sus modos de circulación, la diversificación de sus contenidos y también sus</w:t>
      </w:r>
      <w:r>
        <w:rPr>
          <w:rFonts w:ascii="Times New Roman" w:eastAsia="Times New Roman" w:hAnsi="Times New Roman" w:cs="Times New Roman"/>
          <w:sz w:val="24"/>
          <w:szCs w:val="24"/>
        </w:rPr>
        <w:t xml:space="preserve"> aspectos visuales. Nos encontramos en un período histórico que atraviesa un ecléctico panorama de situaciones y acontecimientos sociales, políticos, económicos, culturales y tecnológicos, que fueron puntapié de numerosos cambios a partir de la Revolución </w:t>
      </w:r>
      <w:r>
        <w:rPr>
          <w:rFonts w:ascii="Times New Roman" w:eastAsia="Times New Roman" w:hAnsi="Times New Roman" w:cs="Times New Roman"/>
          <w:sz w:val="24"/>
          <w:szCs w:val="24"/>
        </w:rPr>
        <w:t xml:space="preserve">Industrial. La prensa, sin estar ajena a estas cuestiones, se ve beneficiada por el desarrollo de la linotipia y el mejoramiento de las técnicas de grabado que permitieron agilizar la producción para alcanzar mayor cantidad de tirada de </w:t>
      </w:r>
      <w:r>
        <w:rPr>
          <w:rFonts w:ascii="Times New Roman" w:eastAsia="Times New Roman" w:hAnsi="Times New Roman" w:cs="Times New Roman"/>
          <w:sz w:val="24"/>
          <w:szCs w:val="24"/>
        </w:rPr>
        <w:lastRenderedPageBreak/>
        <w:t>ejemplares en menor</w:t>
      </w:r>
      <w:r>
        <w:rPr>
          <w:rFonts w:ascii="Times New Roman" w:eastAsia="Times New Roman" w:hAnsi="Times New Roman" w:cs="Times New Roman"/>
          <w:sz w:val="24"/>
          <w:szCs w:val="24"/>
        </w:rPr>
        <w:t xml:space="preserve"> tiempo, como así también incorporar imágenes, elemento que en poco tiempo modificaría sustancialmente la producción discursiva en la prensa (Ojeda, 2001).</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estructura de la prensa argentina a fines del siglo XIX estaba atravesando una transformación hac</w:t>
      </w:r>
      <w:r>
        <w:rPr>
          <w:rFonts w:ascii="Times New Roman" w:eastAsia="Times New Roman" w:hAnsi="Times New Roman" w:cs="Times New Roman"/>
          <w:sz w:val="24"/>
          <w:szCs w:val="24"/>
        </w:rPr>
        <w:t>ia modelos vinculados con la lógica del mercado, en donde era imprescindible poder generar productos periodísticos ya no destinados a un público selecto y de elite, sino que abriera las posibilidades al creciente número de lectores situados en las clases p</w:t>
      </w:r>
      <w:r>
        <w:rPr>
          <w:rFonts w:ascii="Times New Roman" w:eastAsia="Times New Roman" w:hAnsi="Times New Roman" w:cs="Times New Roman"/>
          <w:sz w:val="24"/>
          <w:szCs w:val="24"/>
        </w:rPr>
        <w:t xml:space="preserve">opulares. El magazine como formato periodístico replicó los modelos editoriales empresariales estadounidense, siendo </w:t>
      </w:r>
      <w:r>
        <w:rPr>
          <w:rFonts w:ascii="Times New Roman" w:eastAsia="Times New Roman" w:hAnsi="Times New Roman" w:cs="Times New Roman"/>
          <w:i/>
          <w:sz w:val="24"/>
          <w:szCs w:val="24"/>
        </w:rPr>
        <w:t>Caras y Caretas</w:t>
      </w:r>
      <w:r>
        <w:rPr>
          <w:rFonts w:ascii="Times New Roman" w:eastAsia="Times New Roman" w:hAnsi="Times New Roman" w:cs="Times New Roman"/>
          <w:sz w:val="24"/>
          <w:szCs w:val="24"/>
        </w:rPr>
        <w:t xml:space="preserve"> el caso pionero en nuestro país (Rogers, 2008).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Eustaquio Pellicer fue quien ya había dado origen a la revista homónima en</w:t>
      </w:r>
      <w:r>
        <w:rPr>
          <w:rFonts w:ascii="Times New Roman" w:eastAsia="Times New Roman" w:hAnsi="Times New Roman" w:cs="Times New Roman"/>
          <w:sz w:val="24"/>
          <w:szCs w:val="24"/>
        </w:rPr>
        <w:t xml:space="preserve"> Uruguay, de la cual se publicaron varios números entre los años 1890 y 1897. Pellicer viaja a Argentina y en el año 1898 funda </w:t>
      </w:r>
      <w:r>
        <w:rPr>
          <w:rFonts w:ascii="Times New Roman" w:eastAsia="Times New Roman" w:hAnsi="Times New Roman" w:cs="Times New Roman"/>
          <w:i/>
          <w:sz w:val="24"/>
          <w:szCs w:val="24"/>
        </w:rPr>
        <w:t>Caras y Caretas</w:t>
      </w:r>
      <w:r>
        <w:rPr>
          <w:rFonts w:ascii="Times New Roman" w:eastAsia="Times New Roman" w:hAnsi="Times New Roman" w:cs="Times New Roman"/>
          <w:sz w:val="24"/>
          <w:szCs w:val="24"/>
        </w:rPr>
        <w:t xml:space="preserve"> en Buenos Aires, aunque a diferencia del país vecino, por diversas circunstancias, él no figuraría como director</w:t>
      </w:r>
      <w:r>
        <w:rPr>
          <w:rFonts w:ascii="Times New Roman" w:eastAsia="Times New Roman" w:hAnsi="Times New Roman" w:cs="Times New Roman"/>
          <w:sz w:val="24"/>
          <w:szCs w:val="24"/>
        </w:rPr>
        <w:t xml:space="preserve"> de la misma sino como redactor. Hasta agosto del año 1903 – momento en el cual se anuncia el retiro de Pellicer de </w:t>
      </w:r>
      <w:r>
        <w:rPr>
          <w:rFonts w:ascii="Times New Roman" w:eastAsia="Times New Roman" w:hAnsi="Times New Roman" w:cs="Times New Roman"/>
          <w:i/>
          <w:sz w:val="24"/>
          <w:szCs w:val="24"/>
        </w:rPr>
        <w:t>Caras y Caret</w:t>
      </w:r>
      <w:r>
        <w:rPr>
          <w:rFonts w:ascii="Times New Roman" w:eastAsia="Times New Roman" w:hAnsi="Times New Roman" w:cs="Times New Roman"/>
          <w:sz w:val="24"/>
          <w:szCs w:val="24"/>
        </w:rPr>
        <w:t>as – el periodista se encargaría de la redacción de ciertas secciones de opinión, tal como la denominada “Sinfonía”. Un año más</w:t>
      </w:r>
      <w:r>
        <w:rPr>
          <w:rFonts w:ascii="Times New Roman" w:eastAsia="Times New Roman" w:hAnsi="Times New Roman" w:cs="Times New Roman"/>
          <w:sz w:val="24"/>
          <w:szCs w:val="24"/>
        </w:rPr>
        <w:t xml:space="preserve"> tarde de su retiro, fundaría el magazine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xml:space="preserve">, el cual conservó el mismo espíritu jocoso y humorístico de </w:t>
      </w:r>
      <w:r>
        <w:rPr>
          <w:rFonts w:ascii="Times New Roman" w:eastAsia="Times New Roman" w:hAnsi="Times New Roman" w:cs="Times New Roman"/>
          <w:i/>
          <w:sz w:val="24"/>
          <w:szCs w:val="24"/>
        </w:rPr>
        <w:t>Caras y Caretas</w:t>
      </w:r>
      <w:r>
        <w:rPr>
          <w:rFonts w:ascii="Times New Roman" w:eastAsia="Times New Roman" w:hAnsi="Times New Roman" w:cs="Times New Roman"/>
          <w:sz w:val="24"/>
          <w:szCs w:val="24"/>
        </w:rPr>
        <w:t>, incluso presentó numerosas similitudes en su contenido, estructura y manejo de la imagen. En este contexto nace el magazine estudiado</w:t>
      </w:r>
      <w:r>
        <w:rPr>
          <w:rFonts w:ascii="Times New Roman" w:eastAsia="Times New Roman" w:hAnsi="Times New Roman" w:cs="Times New Roman"/>
          <w:sz w:val="24"/>
          <w:szCs w:val="24"/>
        </w:rPr>
        <w:t xml:space="preserve">, año en el cual también se funda otra revista de contenido misceláneo – </w:t>
      </w:r>
      <w:r>
        <w:rPr>
          <w:rFonts w:ascii="Times New Roman" w:eastAsia="Times New Roman" w:hAnsi="Times New Roman" w:cs="Times New Roman"/>
          <w:i/>
          <w:sz w:val="24"/>
          <w:szCs w:val="24"/>
        </w:rPr>
        <w:t>El Hogar</w:t>
      </w:r>
      <w:r>
        <w:rPr>
          <w:rFonts w:ascii="Times New Roman" w:eastAsia="Times New Roman" w:hAnsi="Times New Roman" w:cs="Times New Roman"/>
          <w:sz w:val="24"/>
          <w:szCs w:val="24"/>
        </w:rPr>
        <w:t>-, coincidiendo con lo que Ojeda, Moyano y Sujatovich (2016) denominaron como “el primer boom expansivo” de las revistas de circulación masiva en nuestro país.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contexto soc</w:t>
      </w:r>
      <w:r>
        <w:rPr>
          <w:rFonts w:ascii="Times New Roman" w:eastAsia="Times New Roman" w:hAnsi="Times New Roman" w:cs="Times New Roman"/>
          <w:sz w:val="24"/>
          <w:szCs w:val="24"/>
        </w:rPr>
        <w:t>ial, político y económico que posibilitó el marco de expansión de este formato periodístico en nuestro país estuvo impulsado en parte por el gran aumento de la población en conjunto con el desarrollo de políticas orientadas a la alfabetización de los ciuda</w:t>
      </w:r>
      <w:r>
        <w:rPr>
          <w:rFonts w:ascii="Times New Roman" w:eastAsia="Times New Roman" w:hAnsi="Times New Roman" w:cs="Times New Roman"/>
          <w:sz w:val="24"/>
          <w:szCs w:val="24"/>
        </w:rPr>
        <w:t xml:space="preserve">danos nativos e inmigrantes. Por otro lado, la consolidación del Estado moderno y la incorporación de Argentina al mercado internacional, favoreció el incremento de demanda de avisos publicitarios, para lo cual la prensa jugó un rol fundamental.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Ojeda, Mo</w:t>
      </w:r>
      <w:r w:rsidR="000A461F">
        <w:rPr>
          <w:rFonts w:ascii="Times New Roman" w:eastAsia="Times New Roman" w:hAnsi="Times New Roman" w:cs="Times New Roman"/>
          <w:sz w:val="24"/>
          <w:szCs w:val="24"/>
        </w:rPr>
        <w:t>yano y Sujatovich (2016, p.6</w:t>
      </w:r>
      <w:r>
        <w:rPr>
          <w:rFonts w:ascii="Times New Roman" w:eastAsia="Times New Roman" w:hAnsi="Times New Roman" w:cs="Times New Roman"/>
          <w:sz w:val="24"/>
          <w:szCs w:val="24"/>
        </w:rPr>
        <w:t>) afirman que:</w:t>
      </w:r>
    </w:p>
    <w:p w:rsidR="00B37A57" w:rsidRDefault="00BF263E" w:rsidP="000A461F">
      <w:pPr>
        <w:spacing w:before="100" w:beforeAutospacing="1" w:after="100" w:afterAutospacing="1" w:line="360" w:lineRule="auto"/>
        <w:ind w:left="992" w:right="105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La diferencia, en cambio, estuvo en la escala empresarial de los intentos: cada revista logró pagar a un plantel altamente profesionalizado de directivos, redactores, dibujantes, orladores, grabadores y tipógrafo</w:t>
      </w:r>
      <w:r>
        <w:rPr>
          <w:rFonts w:ascii="Times New Roman" w:eastAsia="Times New Roman" w:hAnsi="Times New Roman" w:cs="Times New Roman"/>
          <w:i/>
          <w:sz w:val="24"/>
          <w:szCs w:val="24"/>
        </w:rPr>
        <w:t xml:space="preserve">s. También incorporó tecnología de punta, tanto en maquinaria como en procedimientos de gestión y promoción, así como en procesamiento veloz de imágenes. Complementariamente, habilitó el uso cotidiano del fotograbado </w:t>
      </w:r>
      <w:proofErr w:type="spellStart"/>
      <w:r>
        <w:rPr>
          <w:rFonts w:ascii="Times New Roman" w:eastAsia="Times New Roman" w:hAnsi="Times New Roman" w:cs="Times New Roman"/>
          <w:i/>
          <w:sz w:val="24"/>
          <w:szCs w:val="24"/>
        </w:rPr>
        <w:t>halftone</w:t>
      </w:r>
      <w:proofErr w:type="spellEnd"/>
      <w:r>
        <w:rPr>
          <w:rFonts w:ascii="Times New Roman" w:eastAsia="Times New Roman" w:hAnsi="Times New Roman" w:cs="Times New Roman"/>
          <w:i/>
          <w:sz w:val="24"/>
          <w:szCs w:val="24"/>
        </w:rPr>
        <w:t>, adaptó el armado de páginas a</w:t>
      </w:r>
      <w:r>
        <w:rPr>
          <w:rFonts w:ascii="Times New Roman" w:eastAsia="Times New Roman" w:hAnsi="Times New Roman" w:cs="Times New Roman"/>
          <w:i/>
          <w:sz w:val="24"/>
          <w:szCs w:val="24"/>
        </w:rPr>
        <w:t xml:space="preserve"> una nueva concepción de diseño y habilitó el pago de colaboraciones libres, tanto de material redactado como de imágenes, y tanto de profesionales como de amateurs.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decir que, si bien el nuevo género periodístico ofrecía destacadas ventajas en relación</w:t>
      </w:r>
      <w:r>
        <w:rPr>
          <w:rFonts w:ascii="Times New Roman" w:eastAsia="Times New Roman" w:hAnsi="Times New Roman" w:cs="Times New Roman"/>
          <w:sz w:val="24"/>
          <w:szCs w:val="24"/>
        </w:rPr>
        <w:t xml:space="preserve"> a la publicación de los diarios – posibilidad de publicar contenido misceláneo gracias a la periodicidad semanal, inclusión de fotografías, impresión a color, innovaciones visuales a través de grabados e ilustraciones, formato más pequeño, entre otras –, </w:t>
      </w:r>
      <w:r>
        <w:rPr>
          <w:rFonts w:ascii="Times New Roman" w:eastAsia="Times New Roman" w:hAnsi="Times New Roman" w:cs="Times New Roman"/>
          <w:sz w:val="24"/>
          <w:szCs w:val="24"/>
        </w:rPr>
        <w:t>la primordial diferencia se sitúa en la forma de organización empresarial adoptada, en la cual se fomentó la participación de diferentes actores que apuntaron a la profesionalización de sus oficios. En este sentido, los ilustradores constituyen un punto de</w:t>
      </w:r>
      <w:r>
        <w:rPr>
          <w:rFonts w:ascii="Times New Roman" w:eastAsia="Times New Roman" w:hAnsi="Times New Roman" w:cs="Times New Roman"/>
          <w:sz w:val="24"/>
          <w:szCs w:val="24"/>
        </w:rPr>
        <w:t xml:space="preserve"> partida a analizar de la publicación seleccionada para este estudio, dado que fueron quienes distinguen visualmente el sentido satírico y humorístico de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comenzando por la gran cantidad de caricaturas satírico-políticas publicadas en sus tapas e inter</w:t>
      </w:r>
      <w:r>
        <w:rPr>
          <w:rFonts w:ascii="Times New Roman" w:eastAsia="Times New Roman" w:hAnsi="Times New Roman" w:cs="Times New Roman"/>
          <w:sz w:val="24"/>
          <w:szCs w:val="24"/>
        </w:rPr>
        <w:t xml:space="preserve">ior, como así también la innovación en determinados géneros nóveles tal como la historieta. </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2.2 Estructura, diseño y aspectos tecnológicos de la revista PBT</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revista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nace luego de la separación de Eustaquio Pellicer de la exitosa </w:t>
      </w:r>
      <w:r>
        <w:rPr>
          <w:rFonts w:ascii="Times New Roman" w:eastAsia="Times New Roman" w:hAnsi="Times New Roman" w:cs="Times New Roman"/>
          <w:i/>
          <w:sz w:val="24"/>
          <w:szCs w:val="24"/>
        </w:rPr>
        <w:t>Caras y Caretas</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En 1904, un año después de la muerte de Álvarez, se retiró por no compartir el nuevo rumbo de la revista y fundó PBT, «Semanario infantil ilustrado para niños de 6 a 80 años», sobre el modelo de lo que había sido al comienzo el proyecto de Caras y Caretas.</w:t>
      </w:r>
      <w:r>
        <w:rPr>
          <w:rFonts w:ascii="Times New Roman" w:eastAsia="Times New Roman" w:hAnsi="Times New Roman" w:cs="Times New Roman"/>
          <w:sz w:val="24"/>
          <w:szCs w:val="24"/>
        </w:rPr>
        <w:t>” (Rogers, 2008, p.113). Como consecuencia, la estructura interna y la oferta informativa, cultural, artística y de entretenimiento conserva múltiples similitudes.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los aspectos de reproducción técnica,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apostó a numerosos cambios que marcaro</w:t>
      </w:r>
      <w:r>
        <w:rPr>
          <w:rFonts w:ascii="Times New Roman" w:eastAsia="Times New Roman" w:hAnsi="Times New Roman" w:cs="Times New Roman"/>
          <w:sz w:val="24"/>
          <w:szCs w:val="24"/>
        </w:rPr>
        <w:t xml:space="preserve">n el aspecto moderno de la publicación. Si bien algunos de estos aspectos fueron variando a lo largo del período abarcado en este trabajo, cada una de las modificaciones llevadas </w:t>
      </w:r>
      <w:r>
        <w:rPr>
          <w:rFonts w:ascii="Times New Roman" w:eastAsia="Times New Roman" w:hAnsi="Times New Roman" w:cs="Times New Roman"/>
          <w:sz w:val="24"/>
          <w:szCs w:val="24"/>
        </w:rPr>
        <w:lastRenderedPageBreak/>
        <w:t>adelante por la dirección del semanario se comunicaban en el interior de la r</w:t>
      </w:r>
      <w:r>
        <w:rPr>
          <w:rFonts w:ascii="Times New Roman" w:eastAsia="Times New Roman" w:hAnsi="Times New Roman" w:cs="Times New Roman"/>
          <w:sz w:val="24"/>
          <w:szCs w:val="24"/>
        </w:rPr>
        <w:t xml:space="preserve">evista, principalmente debajo de la sección </w:t>
      </w:r>
      <w:r>
        <w:rPr>
          <w:rFonts w:ascii="Times New Roman" w:eastAsia="Times New Roman" w:hAnsi="Times New Roman" w:cs="Times New Roman"/>
          <w:i/>
          <w:sz w:val="24"/>
          <w:szCs w:val="24"/>
        </w:rPr>
        <w:t>Chucherías</w:t>
      </w:r>
      <w:r>
        <w:rPr>
          <w:rFonts w:ascii="Times New Roman" w:eastAsia="Times New Roman" w:hAnsi="Times New Roman" w:cs="Times New Roman"/>
          <w:sz w:val="24"/>
          <w:szCs w:val="24"/>
        </w:rPr>
        <w:t>. Algunos de los aspectos más destacados del carácter moderno de PBT se pueden identificar en:</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Tamaño de la revista: </w:t>
      </w:r>
      <w:r>
        <w:rPr>
          <w:rFonts w:ascii="Times New Roman" w:eastAsia="Times New Roman" w:hAnsi="Times New Roman" w:cs="Times New Roman"/>
          <w:sz w:val="24"/>
          <w:szCs w:val="24"/>
        </w:rPr>
        <w:t xml:space="preserve">Si bien los magazines de principios de siglo XX ya se editaban en un formato más chico que los diarios de la época, las dimensiones de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eran considerablemente más chicas – medía 16cm x 23cm contra los 22,5cm x 30,4cm de </w:t>
      </w:r>
      <w:r>
        <w:rPr>
          <w:rFonts w:ascii="Times New Roman" w:eastAsia="Times New Roman" w:hAnsi="Times New Roman" w:cs="Times New Roman"/>
          <w:i/>
          <w:sz w:val="24"/>
          <w:szCs w:val="24"/>
        </w:rPr>
        <w:t>Caras y Careta</w:t>
      </w:r>
      <w:r>
        <w:rPr>
          <w:rFonts w:ascii="Times New Roman" w:eastAsia="Times New Roman" w:hAnsi="Times New Roman" w:cs="Times New Roman"/>
          <w:sz w:val="24"/>
          <w:szCs w:val="24"/>
        </w:rPr>
        <w:t>s-. Este aspecto ha</w:t>
      </w:r>
      <w:r>
        <w:rPr>
          <w:rFonts w:ascii="Times New Roman" w:eastAsia="Times New Roman" w:hAnsi="Times New Roman" w:cs="Times New Roman"/>
          <w:sz w:val="24"/>
          <w:szCs w:val="24"/>
        </w:rPr>
        <w:t>ce énfasis en el carácter “de bolsillo” que permitía tanto mejor portabilidad y carácter coleccionable.</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Impresión a color: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realiza una gran apuesta a la impresión a color tanto en las tapas como al interior de la revista, contando con una cantidad apro</w:t>
      </w:r>
      <w:r>
        <w:rPr>
          <w:rFonts w:ascii="Times New Roman" w:eastAsia="Times New Roman" w:hAnsi="Times New Roman" w:cs="Times New Roman"/>
          <w:sz w:val="24"/>
          <w:szCs w:val="24"/>
        </w:rPr>
        <w:t>ximada de 24 páginas a color.</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Gran volumen de cantidad de páginas:</w:t>
      </w:r>
      <w:r>
        <w:rPr>
          <w:rFonts w:ascii="Times New Roman" w:eastAsia="Times New Roman" w:hAnsi="Times New Roman" w:cs="Times New Roman"/>
          <w:sz w:val="24"/>
          <w:szCs w:val="24"/>
        </w:rPr>
        <w:t xml:space="preserve"> la revista comienza editándose con un total de 92 páginas, observándose varios incrementos durante el período de estudio hasta alcanzar las 152 páginas hacia el año 1908.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Incorporación de </w:t>
      </w:r>
      <w:r>
        <w:rPr>
          <w:rFonts w:ascii="Times New Roman" w:eastAsia="Times New Roman" w:hAnsi="Times New Roman" w:cs="Times New Roman"/>
          <w:b/>
          <w:i/>
          <w:sz w:val="24"/>
          <w:szCs w:val="24"/>
        </w:rPr>
        <w:t xml:space="preserve">géneros novedosos: </w:t>
      </w:r>
      <w:r>
        <w:rPr>
          <w:rFonts w:ascii="Times New Roman" w:eastAsia="Times New Roman" w:hAnsi="Times New Roman" w:cs="Times New Roman"/>
          <w:sz w:val="24"/>
          <w:szCs w:val="24"/>
        </w:rPr>
        <w:t>desde su primer número de edición, la revista continuó incorporando géneros visuales ya conocidos por el público lector - como por ejemplo las caricaturas satírico-políticas, que eran el elemento que reforzaba el carácter ilustrado de lo</w:t>
      </w:r>
      <w:r>
        <w:rPr>
          <w:rFonts w:ascii="Times New Roman" w:eastAsia="Times New Roman" w:hAnsi="Times New Roman" w:cs="Times New Roman"/>
          <w:sz w:val="24"/>
          <w:szCs w:val="24"/>
        </w:rPr>
        <w:t xml:space="preserve">s periódicos satíricos de fines del siglo XIX tales como </w:t>
      </w:r>
      <w:r>
        <w:rPr>
          <w:rFonts w:ascii="Times New Roman" w:eastAsia="Times New Roman" w:hAnsi="Times New Roman" w:cs="Times New Roman"/>
          <w:i/>
          <w:sz w:val="24"/>
          <w:szCs w:val="24"/>
        </w:rPr>
        <w:t>El Mosquito</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Don Quijote</w:t>
      </w:r>
      <w:r>
        <w:rPr>
          <w:rFonts w:ascii="Times New Roman" w:eastAsia="Times New Roman" w:hAnsi="Times New Roman" w:cs="Times New Roman"/>
          <w:sz w:val="24"/>
          <w:szCs w:val="24"/>
        </w:rPr>
        <w:t xml:space="preserve"> -. Sin embargo, también se incorporan con gran énfasis las viñetas humorísticas, muchas de ellas también denominadas </w:t>
      </w:r>
      <w:r>
        <w:rPr>
          <w:rFonts w:ascii="Times New Roman" w:eastAsia="Times New Roman" w:hAnsi="Times New Roman" w:cs="Times New Roman"/>
          <w:i/>
          <w:sz w:val="24"/>
          <w:szCs w:val="24"/>
        </w:rPr>
        <w:t>cuentos vivos</w:t>
      </w:r>
      <w:r>
        <w:rPr>
          <w:rFonts w:ascii="Times New Roman" w:eastAsia="Times New Roman" w:hAnsi="Times New Roman" w:cs="Times New Roman"/>
          <w:sz w:val="24"/>
          <w:szCs w:val="24"/>
        </w:rPr>
        <w:t>. En su primer número PBT contaba con 8 viñ</w:t>
      </w:r>
      <w:r>
        <w:rPr>
          <w:rFonts w:ascii="Times New Roman" w:eastAsia="Times New Roman" w:hAnsi="Times New Roman" w:cs="Times New Roman"/>
          <w:sz w:val="24"/>
          <w:szCs w:val="24"/>
        </w:rPr>
        <w:t>etas impresas a color - dos de las cuales eran a doble página - , sumando un total de 474 entre septiembre de 1904 y diciembre de 1905.</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carácter misceláneo propio del dispositivo del magazine se visualiza en la gran variedad de temáticas ofrecidas en la</w:t>
      </w:r>
      <w:r>
        <w:rPr>
          <w:rFonts w:ascii="Times New Roman" w:eastAsia="Times New Roman" w:hAnsi="Times New Roman" w:cs="Times New Roman"/>
          <w:sz w:val="24"/>
          <w:szCs w:val="24"/>
        </w:rPr>
        <w:t>s secciones de la revista. Dichas secciones se fueron incrementando a medida que se implementó un aumento en la cantidad de páginas. En el número 36 se alude a que dicho incremento permite incorporar nuevas secciones a la revista, con el objetivo de “hacer</w:t>
      </w:r>
      <w:r>
        <w:rPr>
          <w:rFonts w:ascii="Times New Roman" w:eastAsia="Times New Roman" w:hAnsi="Times New Roman" w:cs="Times New Roman"/>
          <w:sz w:val="24"/>
          <w:szCs w:val="24"/>
        </w:rPr>
        <w:t xml:space="preserve"> una publicación dotada de todos los atractivos necesarios para satisfacer los más variados gustos y merecer el puesto más prominente entre las populares.” (Anuncio de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xml:space="preserve">, Año 1905, </w:t>
      </w:r>
      <w:proofErr w:type="spellStart"/>
      <w:r>
        <w:rPr>
          <w:rFonts w:ascii="Times New Roman" w:eastAsia="Times New Roman" w:hAnsi="Times New Roman" w:cs="Times New Roman"/>
          <w:sz w:val="24"/>
          <w:szCs w:val="24"/>
        </w:rPr>
        <w:t>Nro</w:t>
      </w:r>
      <w:proofErr w:type="spellEnd"/>
      <w:r>
        <w:rPr>
          <w:rFonts w:ascii="Times New Roman" w:eastAsia="Times New Roman" w:hAnsi="Times New Roman" w:cs="Times New Roman"/>
          <w:sz w:val="24"/>
          <w:szCs w:val="24"/>
        </w:rPr>
        <w:t xml:space="preserve"> 36, Página 73). En el mismo comunicado, se informa que se suprimen al</w:t>
      </w:r>
      <w:r>
        <w:rPr>
          <w:rFonts w:ascii="Times New Roman" w:eastAsia="Times New Roman" w:hAnsi="Times New Roman" w:cs="Times New Roman"/>
          <w:sz w:val="24"/>
          <w:szCs w:val="24"/>
        </w:rPr>
        <w:t xml:space="preserve">gunas páginas de </w:t>
      </w:r>
      <w:r>
        <w:rPr>
          <w:rFonts w:ascii="Times New Roman" w:eastAsia="Times New Roman" w:hAnsi="Times New Roman" w:cs="Times New Roman"/>
          <w:sz w:val="24"/>
          <w:szCs w:val="24"/>
        </w:rPr>
        <w:lastRenderedPageBreak/>
        <w:t>ilustraciones a color, “obligados por la falta material de tiempo para hacer un tiraje efectivo superior a cincuenta mil ejemplares, teniendo que emplear procedimientos gráficos tan lentos como la impresión litográfica.”</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términos genera</w:t>
      </w:r>
      <w:r>
        <w:rPr>
          <w:rFonts w:ascii="Times New Roman" w:eastAsia="Times New Roman" w:hAnsi="Times New Roman" w:cs="Times New Roman"/>
          <w:sz w:val="24"/>
          <w:szCs w:val="24"/>
        </w:rPr>
        <w:t xml:space="preserve">les, la revista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tenía la siguiente estructura: tapas con impresión litográfica a color, en la cual se reproducen caricaturas satírico-políticas con temáticas alusivas a situaciones políticas o sociales nacionales que eran noticia en ese período </w:t>
      </w:r>
      <w:r>
        <w:rPr>
          <w:rFonts w:ascii="Times New Roman" w:eastAsia="Times New Roman" w:hAnsi="Times New Roman" w:cs="Times New Roman"/>
          <w:i/>
          <w:sz w:val="24"/>
          <w:szCs w:val="24"/>
        </w:rPr>
        <w:t>(imagen</w:t>
      </w:r>
      <w:r>
        <w:rPr>
          <w:rFonts w:ascii="Times New Roman" w:eastAsia="Times New Roman" w:hAnsi="Times New Roman" w:cs="Times New Roman"/>
          <w:i/>
          <w:sz w:val="24"/>
          <w:szCs w:val="24"/>
        </w:rPr>
        <w:t xml:space="preserve"> 1)</w:t>
      </w:r>
      <w:r>
        <w:rPr>
          <w:rFonts w:ascii="Times New Roman" w:eastAsia="Times New Roman" w:hAnsi="Times New Roman" w:cs="Times New Roman"/>
          <w:sz w:val="24"/>
          <w:szCs w:val="24"/>
        </w:rPr>
        <w:t xml:space="preserve">. Las retiraciones de tapas impresas a 1 tinta, el color podía variar, en donde se incluían publicidades y durante cierto período dos secciones propias de la revista: </w:t>
      </w:r>
      <w:r>
        <w:rPr>
          <w:rFonts w:ascii="Times New Roman" w:eastAsia="Times New Roman" w:hAnsi="Times New Roman" w:cs="Times New Roman"/>
          <w:i/>
          <w:sz w:val="24"/>
          <w:szCs w:val="24"/>
        </w:rPr>
        <w:t>Lo que dice el médico</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Soluciones útiles</w:t>
      </w:r>
      <w:r>
        <w:rPr>
          <w:rFonts w:ascii="Times New Roman" w:eastAsia="Times New Roman" w:hAnsi="Times New Roman" w:cs="Times New Roman"/>
          <w:sz w:val="24"/>
          <w:szCs w:val="24"/>
        </w:rPr>
        <w:t>. La primer parte de la revista reproducía no</w:t>
      </w:r>
      <w:r>
        <w:rPr>
          <w:rFonts w:ascii="Times New Roman" w:eastAsia="Times New Roman" w:hAnsi="Times New Roman" w:cs="Times New Roman"/>
          <w:sz w:val="24"/>
          <w:szCs w:val="24"/>
        </w:rPr>
        <w:t xml:space="preserve">ticias del contexto internacional acompañadas por fotografías. Las publicidades generalmente ocupaban una página completa y se intercalaban con el contenido de la revista. Hacia la mitad de la publicación se encontraba una portada interna, que contenía un </w:t>
      </w:r>
      <w:r>
        <w:rPr>
          <w:rFonts w:ascii="Times New Roman" w:eastAsia="Times New Roman" w:hAnsi="Times New Roman" w:cs="Times New Roman"/>
          <w:sz w:val="24"/>
          <w:szCs w:val="24"/>
        </w:rPr>
        <w:t xml:space="preserve">nuevo frontispicio diferente al de la tapa </w:t>
      </w:r>
      <w:r>
        <w:rPr>
          <w:rFonts w:ascii="Times New Roman" w:eastAsia="Times New Roman" w:hAnsi="Times New Roman" w:cs="Times New Roman"/>
          <w:i/>
          <w:sz w:val="24"/>
          <w:szCs w:val="24"/>
        </w:rPr>
        <w:t>(imagen 2)</w:t>
      </w:r>
      <w:r>
        <w:rPr>
          <w:rFonts w:ascii="Times New Roman" w:eastAsia="Times New Roman" w:hAnsi="Times New Roman" w:cs="Times New Roman"/>
          <w:sz w:val="24"/>
          <w:szCs w:val="24"/>
        </w:rPr>
        <w:t>. Esta portada que incluía fecha y nombre del director, en los primeros números contenía textos y fotografías de noticias del contexto local nacional; sin embargo, paulatinamente se comienza a dedicar es</w:t>
      </w:r>
      <w:r>
        <w:rPr>
          <w:rFonts w:ascii="Times New Roman" w:eastAsia="Times New Roman" w:hAnsi="Times New Roman" w:cs="Times New Roman"/>
          <w:sz w:val="24"/>
          <w:szCs w:val="24"/>
        </w:rPr>
        <w:t>te espacio a publicar una nueva caricatura satírico-política, impresa en tinta negra, reforzando el carácter humorístico de la publicación. A partir de esta portada predomina el material artístico y literario. Los textos se encuentran firmados por sus auto</w:t>
      </w:r>
      <w:r>
        <w:rPr>
          <w:rFonts w:ascii="Times New Roman" w:eastAsia="Times New Roman" w:hAnsi="Times New Roman" w:cs="Times New Roman"/>
          <w:sz w:val="24"/>
          <w:szCs w:val="24"/>
        </w:rPr>
        <w:t>res - bajo nombres reales o seudónimos - y se identifica la mayor cantidad de contenido de grabados artísticos de la revista. Finalmente, la contratapa destinada como espacio publicitario, con anuncios a color.</w:t>
      </w:r>
    </w:p>
    <w:p w:rsidR="00B37A57" w:rsidRDefault="00BF263E" w:rsidP="000A461F">
      <w:pPr>
        <w:spacing w:before="100" w:beforeAutospacing="1"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lastRenderedPageBreak/>
        <w:drawing>
          <wp:inline distT="114300" distB="114300" distL="114300" distR="114300" wp14:anchorId="71B576D9" wp14:editId="599D45BC">
            <wp:extent cx="4877753" cy="462879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877753" cy="4628793"/>
                    </a:xfrm>
                    <a:prstGeom prst="rect">
                      <a:avLst/>
                    </a:prstGeom>
                    <a:ln/>
                  </pic:spPr>
                </pic:pic>
              </a:graphicData>
            </a:graphic>
          </wp:inline>
        </w:drawing>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al igual que otras revistas de la época, el uso de la fotografía se empleaba en su mayoría para las novedades y noticias nacionales o extranjeras. Desde su primer número, una de las secciones fijas que se mantuvo a lo largo del período s</w:t>
      </w:r>
      <w:r>
        <w:rPr>
          <w:rFonts w:ascii="Times New Roman" w:eastAsia="Times New Roman" w:hAnsi="Times New Roman" w:cs="Times New Roman"/>
          <w:sz w:val="24"/>
          <w:szCs w:val="24"/>
        </w:rPr>
        <w:t>e denominó “La semana a través del objetivo”. En dicha sección se priorizó mostrar noticias del contexto local a través de fotografías con epígrafes como texto de anclaje. Alrededor de 17 páginas exclusivamente de material fotográfico.</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secciones en las</w:t>
      </w:r>
      <w:r>
        <w:rPr>
          <w:rFonts w:ascii="Times New Roman" w:eastAsia="Times New Roman" w:hAnsi="Times New Roman" w:cs="Times New Roman"/>
          <w:sz w:val="24"/>
          <w:szCs w:val="24"/>
        </w:rPr>
        <w:t xml:space="preserve"> cuales tuvieron mayor predominio los grabados de ilustradores de la época pueden reconocerse en: </w:t>
      </w:r>
    </w:p>
    <w:p w:rsidR="00B37A57" w:rsidRDefault="00BF263E" w:rsidP="000A461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PBT Novelesco</w:t>
      </w:r>
      <w:r>
        <w:rPr>
          <w:rFonts w:ascii="Times New Roman" w:eastAsia="Times New Roman" w:hAnsi="Times New Roman" w:cs="Times New Roman"/>
          <w:sz w:val="24"/>
          <w:szCs w:val="24"/>
        </w:rPr>
        <w:t>: sección en la cual se iban publicando fragmentos de novelas de la época, en entregas coleccionables.</w:t>
      </w:r>
    </w:p>
    <w:p w:rsidR="00B37A57" w:rsidRDefault="00BF263E" w:rsidP="000A461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De mi Guignol</w:t>
      </w:r>
      <w:r>
        <w:rPr>
          <w:rFonts w:ascii="Times New Roman" w:eastAsia="Times New Roman" w:hAnsi="Times New Roman" w:cs="Times New Roman"/>
          <w:sz w:val="24"/>
          <w:szCs w:val="24"/>
        </w:rPr>
        <w:t>: sección fija desde los ini</w:t>
      </w:r>
      <w:r>
        <w:rPr>
          <w:rFonts w:ascii="Times New Roman" w:eastAsia="Times New Roman" w:hAnsi="Times New Roman" w:cs="Times New Roman"/>
          <w:sz w:val="24"/>
          <w:szCs w:val="24"/>
        </w:rPr>
        <w:t>cios de la revista, en la cual se presentaban caricaturas de reconocidos personajes de la época, acompañados por un verso al pie.</w:t>
      </w:r>
    </w:p>
    <w:p w:rsidR="00B37A57" w:rsidRDefault="00BF263E" w:rsidP="000A461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Frases cómicas</w:t>
      </w:r>
      <w:r>
        <w:rPr>
          <w:rFonts w:ascii="Times New Roman" w:eastAsia="Times New Roman" w:hAnsi="Times New Roman" w:cs="Times New Roman"/>
          <w:sz w:val="24"/>
          <w:szCs w:val="24"/>
        </w:rPr>
        <w:t xml:space="preserve">: se presentaban pequeños chistes o situaciones humorísticas ilustradas por viñetas inconexas. </w:t>
      </w:r>
    </w:p>
    <w:p w:rsidR="00B37A57" w:rsidRDefault="00BF263E" w:rsidP="000A461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Del Natural</w:t>
      </w:r>
      <w:r>
        <w:rPr>
          <w:rFonts w:ascii="Times New Roman" w:eastAsia="Times New Roman" w:hAnsi="Times New Roman" w:cs="Times New Roman"/>
          <w:sz w:val="24"/>
          <w:szCs w:val="24"/>
        </w:rPr>
        <w:t>: sec</w:t>
      </w:r>
      <w:r>
        <w:rPr>
          <w:rFonts w:ascii="Times New Roman" w:eastAsia="Times New Roman" w:hAnsi="Times New Roman" w:cs="Times New Roman"/>
          <w:sz w:val="24"/>
          <w:szCs w:val="24"/>
        </w:rPr>
        <w:t>ción que publicaba a página completa la obra de artistas plásticos que retrataban situaciones cotidianas de la ciudad de Buenos Aires.</w:t>
      </w:r>
    </w:p>
    <w:p w:rsidR="00B37A57" w:rsidRDefault="00BF263E" w:rsidP="000A461F">
      <w:pPr>
        <w:spacing w:before="100" w:beforeAutospacing="1" w:after="100" w:afterAutospacing="1" w:line="360" w:lineRule="auto"/>
        <w:jc w:val="both"/>
        <w:rPr>
          <w:rFonts w:ascii="Times New Roman" w:eastAsia="Times New Roman" w:hAnsi="Times New Roman" w:cs="Times New Roman"/>
          <w:color w:val="FF9900"/>
          <w:sz w:val="24"/>
          <w:szCs w:val="24"/>
        </w:rPr>
      </w:pPr>
      <w:r>
        <w:rPr>
          <w:rFonts w:ascii="Times New Roman" w:eastAsia="Times New Roman" w:hAnsi="Times New Roman" w:cs="Times New Roman"/>
          <w:sz w:val="24"/>
          <w:szCs w:val="24"/>
        </w:rPr>
        <w:t xml:space="preserve">La tipología de ilustraciones construida para el presente trabajo constituye un complejo análisis de los diferentes grabados que se publicaron en la revista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atravesada al mismo tiempo por las secciones de la revista en las cuales se insertaron. De est</w:t>
      </w:r>
      <w:r>
        <w:rPr>
          <w:rFonts w:ascii="Times New Roman" w:eastAsia="Times New Roman" w:hAnsi="Times New Roman" w:cs="Times New Roman"/>
          <w:sz w:val="24"/>
          <w:szCs w:val="24"/>
        </w:rPr>
        <w:t xml:space="preserve">a manera se observará que si bien las tipologías que se describirán a continuación están presentes en las secciones de la revista, muchas veces se encuentran grabados de una misma tipología sin secciones fijas en las cuales se inserten. </w:t>
      </w:r>
    </w:p>
    <w:p w:rsidR="00B37A57" w:rsidRDefault="00B37A57" w:rsidP="000A461F">
      <w:pPr>
        <w:spacing w:before="100" w:beforeAutospacing="1" w:after="100" w:afterAutospacing="1" w:line="360" w:lineRule="auto"/>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La ilustració</w:t>
      </w:r>
      <w:r>
        <w:rPr>
          <w:rFonts w:ascii="Times New Roman" w:eastAsia="Times New Roman" w:hAnsi="Times New Roman" w:cs="Times New Roman"/>
          <w:b/>
          <w:sz w:val="24"/>
          <w:szCs w:val="24"/>
        </w:rPr>
        <w:t>n en PBT: una tipologización posible</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presente trabajo, tal como se afirmó en la introducción, se ha efectuado un relevamiento del período 1904-1908 utilizando un criterio muestral aleatorio, bajo la modalidad sistemática de modo tal de poder repre</w:t>
      </w:r>
      <w:r>
        <w:rPr>
          <w:rFonts w:ascii="Times New Roman" w:eastAsia="Times New Roman" w:hAnsi="Times New Roman" w:cs="Times New Roman"/>
          <w:sz w:val="24"/>
          <w:szCs w:val="24"/>
        </w:rPr>
        <w:t>sentar lo más cabalmente posible en el estudio la heterogeneidad o varianza del universo. Para ello, vale destacar que se contaba con el marco muestral actualizado de todas las ediciones producidas durante esos años. En total, de los 213 números publicados</w:t>
      </w:r>
      <w:r>
        <w:rPr>
          <w:rFonts w:ascii="Times New Roman" w:eastAsia="Times New Roman" w:hAnsi="Times New Roman" w:cs="Times New Roman"/>
          <w:sz w:val="24"/>
          <w:szCs w:val="24"/>
        </w:rPr>
        <w:t xml:space="preserve"> durante esos años se seleccionaron 53 que conforman el total de la muestra. En esas 53 ediciones se pudieron identificar 788 ilustraciones -casi en su totalidad firmadas por los artistas-, en las cuales se examinaron el nombre/seudónimo del ilustrador, el</w:t>
      </w:r>
      <w:r>
        <w:rPr>
          <w:rFonts w:ascii="Times New Roman" w:eastAsia="Times New Roman" w:hAnsi="Times New Roman" w:cs="Times New Roman"/>
          <w:sz w:val="24"/>
          <w:szCs w:val="24"/>
        </w:rPr>
        <w:t xml:space="preserve"> tipo de ilustración realizada a efectos de construir una categorización y si se trataba de impresiones color o blanco y negro. En lo que respecta a esto último, es decir el tipo de impresión, se advierte que el 23% correspondió a trabajos en color.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w:t>
      </w:r>
      <w:r>
        <w:rPr>
          <w:rFonts w:ascii="Times New Roman" w:eastAsia="Times New Roman" w:hAnsi="Times New Roman" w:cs="Times New Roman"/>
          <w:sz w:val="24"/>
          <w:szCs w:val="24"/>
        </w:rPr>
        <w:t xml:space="preserve">otro lado y en términos generales, si bien pasaron por esos años más de 100 firmantes que se pudieron identificar, lo cierto es que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(20% sobre el total), Rojas (11%), el español Ramón de Castro Rivera (7%) y </w:t>
      </w:r>
      <w:proofErr w:type="spellStart"/>
      <w:r>
        <w:rPr>
          <w:rFonts w:ascii="Times New Roman" w:eastAsia="Times New Roman" w:hAnsi="Times New Roman" w:cs="Times New Roman"/>
          <w:sz w:val="24"/>
          <w:szCs w:val="24"/>
        </w:rPr>
        <w:t>Meluna</w:t>
      </w:r>
      <w:proofErr w:type="spellEnd"/>
      <w:r>
        <w:rPr>
          <w:rFonts w:ascii="Times New Roman" w:eastAsia="Times New Roman" w:hAnsi="Times New Roman" w:cs="Times New Roman"/>
          <w:sz w:val="24"/>
          <w:szCs w:val="24"/>
        </w:rPr>
        <w:t xml:space="preserve"> (4%), son los ilustradores que m</w:t>
      </w:r>
      <w:r>
        <w:rPr>
          <w:rFonts w:ascii="Times New Roman" w:eastAsia="Times New Roman" w:hAnsi="Times New Roman" w:cs="Times New Roman"/>
          <w:sz w:val="24"/>
          <w:szCs w:val="24"/>
        </w:rPr>
        <w:t xml:space="preserve">ás frecuentemente aparecieron. Sumado todo este grupo acumulan el 42% sobre el total, lo que indica a su vez que </w:t>
      </w:r>
      <w:r>
        <w:rPr>
          <w:rFonts w:ascii="Times New Roman" w:eastAsia="Times New Roman" w:hAnsi="Times New Roman" w:cs="Times New Roman"/>
          <w:sz w:val="24"/>
          <w:szCs w:val="24"/>
        </w:rPr>
        <w:lastRenderedPageBreak/>
        <w:t xml:space="preserve">el restante 58% de los trabajos artísticos publicados y firmados en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durante este período incluyó una variedad de trabajadores visuales que </w:t>
      </w:r>
      <w:r>
        <w:rPr>
          <w:rFonts w:ascii="Times New Roman" w:eastAsia="Times New Roman" w:hAnsi="Times New Roman" w:cs="Times New Roman"/>
          <w:sz w:val="24"/>
          <w:szCs w:val="24"/>
        </w:rPr>
        <w:t xml:space="preserve">transitaron por sus páginas. De cualquier manera, si el análisis de los datos se realiza diacrónicamente se ven diferencias según los años. Por ejemplo, José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-quien como señalamos previamente hizo el 20% de las ilustraciones totales del </w:t>
      </w:r>
      <w:r w:rsidR="000A461F">
        <w:rPr>
          <w:rFonts w:ascii="Times New Roman" w:eastAsia="Times New Roman" w:hAnsi="Times New Roman" w:cs="Times New Roman"/>
          <w:sz w:val="24"/>
          <w:szCs w:val="24"/>
        </w:rPr>
        <w:t>período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 igual que Rojas, tienen protagonismo en la revista a partir de 1906, previamente son casi nulas sus participaciones.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a la caracterización de los trabajos de ilustración realizados, si bien se encuentran también algunos otros tipos de ilust</w:t>
      </w:r>
      <w:r>
        <w:rPr>
          <w:rFonts w:ascii="Times New Roman" w:eastAsia="Times New Roman" w:hAnsi="Times New Roman" w:cs="Times New Roman"/>
          <w:sz w:val="24"/>
          <w:szCs w:val="24"/>
        </w:rPr>
        <w:t>raciones y tras haber explorado detalladamente, hemos podido construir una tipologización que define tres clases de categorías posibles: viñetas humorísticas, caricaturas satírico-políticas e ilustraciones para textos (literarios, poéticos, periodísticos),</w:t>
      </w:r>
      <w:r>
        <w:rPr>
          <w:rFonts w:ascii="Times New Roman" w:eastAsia="Times New Roman" w:hAnsi="Times New Roman" w:cs="Times New Roman"/>
          <w:sz w:val="24"/>
          <w:szCs w:val="24"/>
        </w:rPr>
        <w:t xml:space="preserve"> a las que hemos decidido agregar las Publicidades por tratarse de un tipo de pieza específica y a la cual habrá que prestarle su debida atención.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realizaremos una descripción de estas tipologías: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Viñetas</w:t>
      </w:r>
      <w:r>
        <w:rPr>
          <w:rFonts w:ascii="Times New Roman" w:eastAsia="Times New Roman" w:hAnsi="Times New Roman" w:cs="Times New Roman"/>
          <w:sz w:val="24"/>
          <w:szCs w:val="24"/>
        </w:rPr>
        <w:t xml:space="preserve">: en este universo se incluyen </w:t>
      </w:r>
      <w:r>
        <w:rPr>
          <w:rFonts w:ascii="Times New Roman" w:eastAsia="Times New Roman" w:hAnsi="Times New Roman" w:cs="Times New Roman"/>
          <w:sz w:val="24"/>
          <w:szCs w:val="24"/>
        </w:rPr>
        <w:t xml:space="preserve">desde las viñetas ilustradas orientadas hacia el humor para adultos, hasta aquellas que, más inocentemente, se podrían caracterizar como propias del público infantil de la época. Son 255 las viñetas que se hallaron, lo que significa el 32% sobre el total, </w:t>
      </w:r>
      <w:r>
        <w:rPr>
          <w:rFonts w:ascii="Times New Roman" w:eastAsia="Times New Roman" w:hAnsi="Times New Roman" w:cs="Times New Roman"/>
          <w:sz w:val="24"/>
          <w:szCs w:val="24"/>
        </w:rPr>
        <w:t xml:space="preserve">así como también la pieza más numerosa. A su vez, si focalizamos en los autores de esas viñetas, Rojas es el ilustrador que tiene más trabajos publicados en las muestras de las ediciones de la revista, conjuntamente con otros como Purrete, </w:t>
      </w:r>
      <w:proofErr w:type="spellStart"/>
      <w:r>
        <w:rPr>
          <w:rFonts w:ascii="Times New Roman" w:eastAsia="Times New Roman" w:hAnsi="Times New Roman" w:cs="Times New Roman"/>
          <w:sz w:val="24"/>
          <w:szCs w:val="24"/>
        </w:rPr>
        <w:t>Alico</w:t>
      </w:r>
      <w:proofErr w:type="spellEnd"/>
      <w:r>
        <w:rPr>
          <w:rFonts w:ascii="Times New Roman" w:eastAsia="Times New Roman" w:hAnsi="Times New Roman" w:cs="Times New Roman"/>
          <w:sz w:val="24"/>
          <w:szCs w:val="24"/>
        </w:rPr>
        <w:t xml:space="preserve"> y el mismo</w:t>
      </w:r>
      <w:r>
        <w:rPr>
          <w:rFonts w:ascii="Times New Roman" w:eastAsia="Times New Roman" w:hAnsi="Times New Roman" w:cs="Times New Roman"/>
          <w:sz w:val="24"/>
          <w:szCs w:val="24"/>
        </w:rPr>
        <w:t xml:space="preserve"> Castro Rivera.</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conjunto de viñetas humorísticas que incluyó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en sus ediciones constituyen un interesante aspecto de análisis. Dado que, como se mencionó anteriormente, este magazine no fue la publicación pionera en la publicación de historietas, sin</w:t>
      </w:r>
      <w:r>
        <w:rPr>
          <w:rFonts w:ascii="Times New Roman" w:eastAsia="Times New Roman" w:hAnsi="Times New Roman" w:cs="Times New Roman"/>
          <w:sz w:val="24"/>
          <w:szCs w:val="24"/>
        </w:rPr>
        <w:t xml:space="preserve"> embargo fue una de las revistas que puso más énfasis en la inclusión de tiras cómicas y con usos diversos. Se observó una gran diversidad de temáticas: humor para adultos, moralejas disciplinadoras para niños, lecciones de idiomas - viñetas que enseñaban </w:t>
      </w:r>
      <w:r>
        <w:rPr>
          <w:rFonts w:ascii="Times New Roman" w:eastAsia="Times New Roman" w:hAnsi="Times New Roman" w:cs="Times New Roman"/>
          <w:sz w:val="24"/>
          <w:szCs w:val="24"/>
        </w:rPr>
        <w:t>a pronunciar en inglés y alemán -, narrativas que continuaban en la edición siguiente. Durante los primeros años todas las viñetas se publicaron en pliegos impresos a color, hasta el número 106, año 1906, momento en el cual deja de imprimirse a color el in</w:t>
      </w:r>
      <w:r>
        <w:rPr>
          <w:rFonts w:ascii="Times New Roman" w:eastAsia="Times New Roman" w:hAnsi="Times New Roman" w:cs="Times New Roman"/>
          <w:sz w:val="24"/>
          <w:szCs w:val="24"/>
        </w:rPr>
        <w:t>terior de la revista.</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Durante los primeros años la mayoría de las viñetas humorísticas estaban firmadas por sus ilustradores. Se destaca la actividad de Purrete - presumiblemente un seudónimo de algún artista de la época - quien elaboró una gran cantidad de viñetas en los prime</w:t>
      </w:r>
      <w:r>
        <w:rPr>
          <w:rFonts w:ascii="Times New Roman" w:eastAsia="Times New Roman" w:hAnsi="Times New Roman" w:cs="Times New Roman"/>
          <w:sz w:val="24"/>
          <w:szCs w:val="24"/>
        </w:rPr>
        <w:t>ros años y con novedosas puestas visuales narrativas. (Imagen 3)</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la incorporación de Pedro de Rojas al staff de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en la edición número 108 del año 1906 - las viñetas humorísticas con temáticas sociales y políticas vinculadas al contexto loc</w:t>
      </w:r>
      <w:r>
        <w:rPr>
          <w:rFonts w:ascii="Times New Roman" w:eastAsia="Times New Roman" w:hAnsi="Times New Roman" w:cs="Times New Roman"/>
          <w:sz w:val="24"/>
          <w:szCs w:val="24"/>
        </w:rPr>
        <w:t xml:space="preserve">al, como así también de observación costumbrista (Imagen 4), estuvieron identificadas bajo su firma. Jorge Rivera (1987) resalta un interesante análisis sobre la obra de Rojas en el semanario </w:t>
      </w:r>
      <w:r>
        <w:rPr>
          <w:rFonts w:ascii="Times New Roman" w:eastAsia="Times New Roman" w:hAnsi="Times New Roman" w:cs="Times New Roman"/>
          <w:i/>
          <w:sz w:val="24"/>
          <w:szCs w:val="24"/>
        </w:rPr>
        <w:t>PBT</w:t>
      </w:r>
      <w:r>
        <w:rPr>
          <w:rFonts w:ascii="Times New Roman" w:eastAsia="Times New Roman" w:hAnsi="Times New Roman" w:cs="Times New Roman"/>
          <w:sz w:val="24"/>
          <w:szCs w:val="24"/>
        </w:rPr>
        <w:t xml:space="preserve">, como un punto de inflexión en la producción local de humor </w:t>
      </w:r>
      <w:r>
        <w:rPr>
          <w:rFonts w:ascii="Times New Roman" w:eastAsia="Times New Roman" w:hAnsi="Times New Roman" w:cs="Times New Roman"/>
          <w:sz w:val="24"/>
          <w:szCs w:val="24"/>
        </w:rPr>
        <w:t xml:space="preserve">gráfico entre las temáticas políticas y las temáticas de la cotidianidad de la gente de la época. Dice Rivera  al respecto (1987, p.107): </w:t>
      </w:r>
    </w:p>
    <w:p w:rsidR="00B37A57" w:rsidRDefault="00BF263E" w:rsidP="000A461F">
      <w:pPr>
        <w:spacing w:before="100" w:beforeAutospacing="1" w:after="100" w:afterAutospacing="1" w:line="360" w:lineRule="auto"/>
        <w:ind w:left="1133" w:right="113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Antes del centenario un dibujante como Rojas aportará, desde las páginas de PBT, una de las flexiones importantes en</w:t>
      </w:r>
      <w:r>
        <w:rPr>
          <w:rFonts w:ascii="Times New Roman" w:eastAsia="Times New Roman" w:hAnsi="Times New Roman" w:cs="Times New Roman"/>
          <w:i/>
          <w:sz w:val="24"/>
          <w:szCs w:val="24"/>
        </w:rPr>
        <w:t xml:space="preserve"> este proceso de tránsito de lo político hacia la observación de las peripecias cotidianas, con planchas límpidas, un tanto marcadas por las improntas del naturalismo académico, en las que se explora un nuevo universo urbano y se documenta, con evidente in</w:t>
      </w:r>
      <w:r>
        <w:rPr>
          <w:rFonts w:ascii="Times New Roman" w:eastAsia="Times New Roman" w:hAnsi="Times New Roman" w:cs="Times New Roman"/>
          <w:i/>
          <w:sz w:val="24"/>
          <w:szCs w:val="24"/>
        </w:rPr>
        <w:t>tención satírica, el novedoso sesgo de las costumbres porteñas.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una gran cantidad de viñetas publicadas en la revista, en su gran mayoría no se encontraban firmadas, las cuales podrían corresponderse con historietas extranjeras.</w:t>
      </w:r>
    </w:p>
    <w:p w:rsidR="00B37A57" w:rsidRDefault="00B37A57" w:rsidP="000A461F">
      <w:pPr>
        <w:spacing w:before="100" w:beforeAutospacing="1" w:after="100" w:afterAutospacing="1" w:line="360" w:lineRule="auto"/>
        <w:jc w:val="both"/>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lastRenderedPageBreak/>
        <w:drawing>
          <wp:inline distT="114300" distB="114300" distL="114300" distR="114300" wp14:anchorId="01893483" wp14:editId="07B038B2">
            <wp:extent cx="5612130" cy="49022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612130" cy="4902200"/>
                    </a:xfrm>
                    <a:prstGeom prst="rect">
                      <a:avLst/>
                    </a:prstGeom>
                    <a:ln/>
                  </pic:spPr>
                </pic:pic>
              </a:graphicData>
            </a:graphic>
          </wp:inline>
        </w:drawing>
      </w:r>
    </w:p>
    <w:p w:rsidR="00B37A57" w:rsidRDefault="00B37A57" w:rsidP="000A461F">
      <w:pPr>
        <w:spacing w:before="100" w:beforeAutospacing="1" w:after="100" w:afterAutospacing="1" w:line="360" w:lineRule="auto"/>
        <w:jc w:val="both"/>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 Caricat</w:t>
      </w:r>
      <w:r>
        <w:rPr>
          <w:rFonts w:ascii="Times New Roman" w:eastAsia="Times New Roman" w:hAnsi="Times New Roman" w:cs="Times New Roman"/>
          <w:b/>
          <w:sz w:val="24"/>
          <w:szCs w:val="24"/>
        </w:rPr>
        <w:t>ura satírico-política</w:t>
      </w:r>
      <w:r>
        <w:rPr>
          <w:rFonts w:ascii="Times New Roman" w:eastAsia="Times New Roman" w:hAnsi="Times New Roman" w:cs="Times New Roman"/>
          <w:sz w:val="24"/>
          <w:szCs w:val="24"/>
        </w:rPr>
        <w:t xml:space="preserve">: género por excelencia de este tipo de publicaciones de la época, tiene en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un total de 181 trabajos de esta categoría, lo que representa el 23%. Como dato relevado, se advierte que hay mayor presencia de este tipo de ilustraciones</w:t>
      </w:r>
      <w:r>
        <w:rPr>
          <w:rFonts w:ascii="Times New Roman" w:eastAsia="Times New Roman" w:hAnsi="Times New Roman" w:cs="Times New Roman"/>
          <w:sz w:val="24"/>
          <w:szCs w:val="24"/>
        </w:rPr>
        <w:t xml:space="preserve"> durante los últimos dos años (1907-1908) que previamente. Por otra parte, si ahondamos en quienes fueron los principales artistas que firmaron estos trabajos, la presencia de José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es notable con el 52%, seguido, muy lejos, por Rojas (5%).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t</w:t>
      </w:r>
      <w:r>
        <w:rPr>
          <w:rFonts w:ascii="Times New Roman" w:eastAsia="Times New Roman" w:hAnsi="Times New Roman" w:cs="Times New Roman"/>
          <w:sz w:val="24"/>
          <w:szCs w:val="24"/>
        </w:rPr>
        <w:t xml:space="preserve">ipología de ilustración - correspondiente al género del humor gráfico - constituye el pilar en el cual se construyeron los primeros periódicos satíricos ilustrados de fines del siglo XIX. Lejos de despegarse rotundamente del género,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publicó una gran ca</w:t>
      </w:r>
      <w:r>
        <w:rPr>
          <w:rFonts w:ascii="Times New Roman" w:eastAsia="Times New Roman" w:hAnsi="Times New Roman" w:cs="Times New Roman"/>
          <w:sz w:val="24"/>
          <w:szCs w:val="24"/>
        </w:rPr>
        <w:t xml:space="preserve">ntidad de grabados de este tipo. </w:t>
      </w:r>
      <w:r>
        <w:rPr>
          <w:rFonts w:ascii="Times New Roman" w:eastAsia="Times New Roman" w:hAnsi="Times New Roman" w:cs="Times New Roman"/>
          <w:sz w:val="24"/>
          <w:szCs w:val="24"/>
        </w:rPr>
        <w:lastRenderedPageBreak/>
        <w:t xml:space="preserve">De por sí sus tapas estaban pensadas a partir de una caricatura satírico-política como elemento principal.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ilustraciones observadas de esta tipología estaban presentes en la segunda parte del cuerpo de la revista, es d</w:t>
      </w:r>
      <w:r>
        <w:rPr>
          <w:rFonts w:ascii="Times New Roman" w:eastAsia="Times New Roman" w:hAnsi="Times New Roman" w:cs="Times New Roman"/>
          <w:sz w:val="24"/>
          <w:szCs w:val="24"/>
        </w:rPr>
        <w:t xml:space="preserve">ecir, en el contenido posterior a la portada interna. Incluso a partir del número 76 del año 1906, el dibujante Alonso firma una caricatura que se publicó en la portada interna de la revista - sección que en principio se destinó a publicar fotografías con </w:t>
      </w:r>
      <w:r>
        <w:rPr>
          <w:rFonts w:ascii="Times New Roman" w:eastAsia="Times New Roman" w:hAnsi="Times New Roman" w:cs="Times New Roman"/>
          <w:sz w:val="24"/>
          <w:szCs w:val="24"/>
        </w:rPr>
        <w:t xml:space="preserve">noticias locales. Sin embargo, José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comienza a tener mayor participación en la elaboración de caricaturas, reemplazando la labor de Alonso tanto en las imágenes de la portada interna como así también en la sección </w:t>
      </w:r>
      <w:r>
        <w:rPr>
          <w:rFonts w:ascii="Times New Roman" w:eastAsia="Times New Roman" w:hAnsi="Times New Roman" w:cs="Times New Roman"/>
          <w:i/>
          <w:sz w:val="24"/>
          <w:szCs w:val="24"/>
        </w:rPr>
        <w:t>De Mi Guignol</w:t>
      </w:r>
      <w:r>
        <w:rPr>
          <w:rFonts w:ascii="Times New Roman" w:eastAsia="Times New Roman" w:hAnsi="Times New Roman" w:cs="Times New Roman"/>
          <w:sz w:val="24"/>
          <w:szCs w:val="24"/>
        </w:rPr>
        <w:t>, hacia el número 10</w:t>
      </w:r>
      <w:r>
        <w:rPr>
          <w:rFonts w:ascii="Times New Roman" w:eastAsia="Times New Roman" w:hAnsi="Times New Roman" w:cs="Times New Roman"/>
          <w:sz w:val="24"/>
          <w:szCs w:val="24"/>
        </w:rPr>
        <w:t>7 del año 1906. (Imagen 5 y 6)</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tapas de la revista pasarían por múltiples firmas a lo largo del período estudiado. En los primeros años se destacan dibujantes tales como Juan </w:t>
      </w:r>
      <w:proofErr w:type="spellStart"/>
      <w:r>
        <w:rPr>
          <w:rFonts w:ascii="Times New Roman" w:eastAsia="Times New Roman" w:hAnsi="Times New Roman" w:cs="Times New Roman"/>
          <w:sz w:val="24"/>
          <w:szCs w:val="24"/>
        </w:rPr>
        <w:t>Sanuy</w:t>
      </w:r>
      <w:proofErr w:type="spellEnd"/>
      <w:r>
        <w:rPr>
          <w:rFonts w:ascii="Times New Roman" w:eastAsia="Times New Roman" w:hAnsi="Times New Roman" w:cs="Times New Roman"/>
          <w:sz w:val="24"/>
          <w:szCs w:val="24"/>
        </w:rPr>
        <w:t xml:space="preserve"> - quien en el primer número de la revista es reconocido como dibujante en la portada interna y en la e</w:t>
      </w:r>
      <w:r>
        <w:rPr>
          <w:rFonts w:ascii="Times New Roman" w:eastAsia="Times New Roman" w:hAnsi="Times New Roman" w:cs="Times New Roman"/>
          <w:sz w:val="24"/>
          <w:szCs w:val="24"/>
        </w:rPr>
        <w:t>dición aniversario de la revista se lo incluye como parte de los colaboradores más destacados que contribuyeron al éxito del semanario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Alonso, Navarrete, Rojas - quien realizaría todas las caricaturas satírico-políticas de las tapas a partir del número </w:t>
      </w:r>
      <w:r>
        <w:rPr>
          <w:rFonts w:ascii="Times New Roman" w:eastAsia="Times New Roman" w:hAnsi="Times New Roman" w:cs="Times New Roman"/>
          <w:sz w:val="24"/>
          <w:szCs w:val="24"/>
        </w:rPr>
        <w:t>108.</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ilustraciones, aún vinculadas con el modelo de herencia del siglo XIX, se construyeron a partir de temáticas de situaciones políticas, claramente con un gran componente irónico y ridiculizando a figuras políticas de la época. En muchas de ellas </w:t>
      </w:r>
      <w:r>
        <w:rPr>
          <w:rFonts w:ascii="Times New Roman" w:eastAsia="Times New Roman" w:hAnsi="Times New Roman" w:cs="Times New Roman"/>
          <w:sz w:val="24"/>
          <w:szCs w:val="24"/>
        </w:rPr>
        <w:t>un muchacho burlón que portaba un bolso y una pluma, intervenía en las situaciones humorísticas. Era “el PBT” convertido en personaje, no sólo desde las letras en las cuales se manifestaba, sino como hecho visual concreto, ideado y producido por la multipl</w:t>
      </w:r>
      <w:r>
        <w:rPr>
          <w:rFonts w:ascii="Times New Roman" w:eastAsia="Times New Roman" w:hAnsi="Times New Roman" w:cs="Times New Roman"/>
          <w:sz w:val="24"/>
          <w:szCs w:val="24"/>
        </w:rPr>
        <w:t>icidad de dibujantes que formaron parte de la revista.</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lastRenderedPageBreak/>
        <w:drawing>
          <wp:inline distT="114300" distB="114300" distL="114300" distR="114300" wp14:anchorId="0E7BB380" wp14:editId="3AA1E245">
            <wp:extent cx="5612130" cy="5156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612130" cy="5156200"/>
                    </a:xfrm>
                    <a:prstGeom prst="rect">
                      <a:avLst/>
                    </a:prstGeom>
                    <a:ln/>
                  </pic:spPr>
                </pic:pic>
              </a:graphicData>
            </a:graphic>
          </wp:inline>
        </w:drawing>
      </w:r>
    </w:p>
    <w:p w:rsidR="00B37A57" w:rsidRDefault="00B37A57" w:rsidP="000A461F">
      <w:pPr>
        <w:spacing w:before="100" w:beforeAutospacing="1" w:after="100" w:afterAutospacing="1" w:line="360" w:lineRule="auto"/>
        <w:jc w:val="both"/>
        <w:rPr>
          <w:rFonts w:ascii="Times New Roman" w:eastAsia="Times New Roman" w:hAnsi="Times New Roman" w:cs="Times New Roman"/>
          <w:sz w:val="24"/>
          <w:szCs w:val="24"/>
        </w:rPr>
      </w:pP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 Ilustraciones para textos</w:t>
      </w:r>
      <w:r>
        <w:rPr>
          <w:rFonts w:ascii="Times New Roman" w:eastAsia="Times New Roman" w:hAnsi="Times New Roman" w:cs="Times New Roman"/>
          <w:sz w:val="24"/>
          <w:szCs w:val="24"/>
        </w:rPr>
        <w:t xml:space="preserve">: este subgrupo constituye el 20% de la totalidad de las ilustraciones halladas en la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para este estudio. Aquí es Ramón de Castro Rivera el principal firmante de los </w:t>
      </w:r>
      <w:r>
        <w:rPr>
          <w:rFonts w:ascii="Times New Roman" w:eastAsia="Times New Roman" w:hAnsi="Times New Roman" w:cs="Times New Roman"/>
          <w:sz w:val="24"/>
          <w:szCs w:val="24"/>
        </w:rPr>
        <w:t xml:space="preserve">trabajos, seguido de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y otros como el español Francisco </w:t>
      </w:r>
      <w:proofErr w:type="spellStart"/>
      <w:r>
        <w:rPr>
          <w:rFonts w:ascii="Times New Roman" w:eastAsia="Times New Roman" w:hAnsi="Times New Roman" w:cs="Times New Roman"/>
          <w:sz w:val="24"/>
          <w:szCs w:val="24"/>
        </w:rPr>
        <w:t>Fortuny</w:t>
      </w:r>
      <w:proofErr w:type="spellEnd"/>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Llinás</w:t>
      </w:r>
      <w:proofErr w:type="spellEnd"/>
      <w:r>
        <w:rPr>
          <w:rFonts w:ascii="Times New Roman" w:eastAsia="Times New Roman" w:hAnsi="Times New Roman" w:cs="Times New Roman"/>
          <w:sz w:val="24"/>
          <w:szCs w:val="24"/>
        </w:rPr>
        <w:t xml:space="preserve">. Asimismo, en una mirada transversal se observa que desde 1906 son predominantes las publicaciones de Castro Rivera y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a la par que se agregan otros autores como </w:t>
      </w:r>
      <w:proofErr w:type="spellStart"/>
      <w:r>
        <w:rPr>
          <w:rFonts w:ascii="Times New Roman" w:eastAsia="Times New Roman" w:hAnsi="Times New Roman" w:cs="Times New Roman"/>
          <w:sz w:val="24"/>
          <w:szCs w:val="24"/>
        </w:rPr>
        <w:t>Gym</w:t>
      </w:r>
      <w:r>
        <w:rPr>
          <w:rFonts w:ascii="Times New Roman" w:eastAsia="Times New Roman" w:hAnsi="Times New Roman" w:cs="Times New Roman"/>
          <w:sz w:val="24"/>
          <w:szCs w:val="24"/>
        </w:rPr>
        <w:t>khana</w:t>
      </w:r>
      <w:proofErr w:type="spellEnd"/>
      <w:r>
        <w:rPr>
          <w:rFonts w:ascii="Times New Roman" w:eastAsia="Times New Roman" w:hAnsi="Times New Roman" w:cs="Times New Roman"/>
          <w:sz w:val="24"/>
          <w:szCs w:val="24"/>
        </w:rPr>
        <w:t>.</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texto literario narrativo o de poesía, se encontraba acompañado por un grabado que ilustraba su contenido. La gran mayoría de estas ilustraciones para textos se encontraban en el </w:t>
      </w:r>
      <w:r>
        <w:rPr>
          <w:rFonts w:ascii="Times New Roman" w:eastAsia="Times New Roman" w:hAnsi="Times New Roman" w:cs="Times New Roman"/>
          <w:sz w:val="24"/>
          <w:szCs w:val="24"/>
        </w:rPr>
        <w:lastRenderedPageBreak/>
        <w:t>contenido posterior a la portada interna; sin embargo, con la inc</w:t>
      </w:r>
      <w:r>
        <w:rPr>
          <w:rFonts w:ascii="Times New Roman" w:eastAsia="Times New Roman" w:hAnsi="Times New Roman" w:cs="Times New Roman"/>
          <w:sz w:val="24"/>
          <w:szCs w:val="24"/>
        </w:rPr>
        <w:t xml:space="preserve">orporación de la sección </w:t>
      </w:r>
      <w:r>
        <w:rPr>
          <w:rFonts w:ascii="Times New Roman" w:eastAsia="Times New Roman" w:hAnsi="Times New Roman" w:cs="Times New Roman"/>
          <w:i/>
          <w:sz w:val="24"/>
          <w:szCs w:val="24"/>
        </w:rPr>
        <w:t>PBT Novelesco</w:t>
      </w:r>
      <w:r>
        <w:rPr>
          <w:rFonts w:ascii="Times New Roman" w:eastAsia="Times New Roman" w:hAnsi="Times New Roman" w:cs="Times New Roman"/>
          <w:sz w:val="24"/>
          <w:szCs w:val="24"/>
        </w:rPr>
        <w:t xml:space="preserve"> en el número 39 del año 1905 (Imagen 7) -la cual incorporaba ilustraciones alusivas a la novela publicada- estas ilustraciones se veían también antes del contenido artístico de la revista. Esto responde a la idea de c</w:t>
      </w:r>
      <w:r>
        <w:rPr>
          <w:rFonts w:ascii="Times New Roman" w:eastAsia="Times New Roman" w:hAnsi="Times New Roman" w:cs="Times New Roman"/>
          <w:sz w:val="24"/>
          <w:szCs w:val="24"/>
        </w:rPr>
        <w:t>arácter coleccionable que tenía dicha sección. Por lo tanto, el pliego propio del folletín comenzaba en las primeras páginas de la revista y continuaba en las últimas. De esta manera se garantizaba poder sustraer las páginas del folletín para ser encuadern</w:t>
      </w:r>
      <w:r w:rsidR="000A461F">
        <w:rPr>
          <w:rFonts w:ascii="Times New Roman" w:eastAsia="Times New Roman" w:hAnsi="Times New Roman" w:cs="Times New Roman"/>
          <w:sz w:val="24"/>
          <w:szCs w:val="24"/>
        </w:rPr>
        <w:t>ados a</w:t>
      </w:r>
      <w:r>
        <w:rPr>
          <w:rFonts w:ascii="Times New Roman" w:eastAsia="Times New Roman" w:hAnsi="Times New Roman" w:cs="Times New Roman"/>
          <w:sz w:val="24"/>
          <w:szCs w:val="24"/>
        </w:rPr>
        <w:t>parte.</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Ramón de Castro Rivera se destaca por un particular estilo de ilustrar la página de la revista, combinando la estética del art nouveau y una gran presencia de elementos ornamentales. Las páginas ilustradas por este dibujante marcan la diferen</w:t>
      </w:r>
      <w:r>
        <w:rPr>
          <w:rFonts w:ascii="Times New Roman" w:eastAsia="Times New Roman" w:hAnsi="Times New Roman" w:cs="Times New Roman"/>
          <w:sz w:val="24"/>
          <w:szCs w:val="24"/>
        </w:rPr>
        <w:t>cia visualmente en cuanto a pensar la puesta en página a partir del texto, y no concebir a la imagen como viñetas que se incorporan sistemáticamente en las columnas narrativas. (Imagen 8)</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lastRenderedPageBreak/>
        <w:drawing>
          <wp:inline distT="114300" distB="114300" distL="114300" distR="114300" wp14:anchorId="6F724C10" wp14:editId="0EDD05FD">
            <wp:extent cx="5612130" cy="5207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612130" cy="5207000"/>
                    </a:xfrm>
                    <a:prstGeom prst="rect">
                      <a:avLst/>
                    </a:prstGeom>
                    <a:ln/>
                  </pic:spPr>
                </pic:pic>
              </a:graphicData>
            </a:graphic>
          </wp:inline>
        </w:drawing>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 Publicidades</w:t>
      </w:r>
      <w:r>
        <w:rPr>
          <w:rFonts w:ascii="Times New Roman" w:eastAsia="Times New Roman" w:hAnsi="Times New Roman" w:cs="Times New Roman"/>
          <w:sz w:val="24"/>
          <w:szCs w:val="24"/>
        </w:rPr>
        <w:t xml:space="preserve">: si bien no correspondería estudiar a esta clase </w:t>
      </w:r>
      <w:r>
        <w:rPr>
          <w:rFonts w:ascii="Times New Roman" w:eastAsia="Times New Roman" w:hAnsi="Times New Roman" w:cs="Times New Roman"/>
          <w:sz w:val="24"/>
          <w:szCs w:val="24"/>
        </w:rPr>
        <w:t>como una categoría de las propias ilustraciones, hemos definido su inclusión por dos motivo. En primer lugar, porque la incorporación de la imagen visual a la prensa ha sido una de las temáticas que ha abordado este equipo de investigación en sus ya seis p</w:t>
      </w:r>
      <w:r>
        <w:rPr>
          <w:rFonts w:ascii="Times New Roman" w:eastAsia="Times New Roman" w:hAnsi="Times New Roman" w:cs="Times New Roman"/>
          <w:sz w:val="24"/>
          <w:szCs w:val="24"/>
        </w:rPr>
        <w:t>royectos en el marco de las convocatorias de la Universidad Nacional de Lanús. En particular en “Configuración histórica del lenguaje visual en prensa. Los casos paradigmáticos de La Nación y La Prensa. 1869-1905 y en “La transformación del rol de la publi</w:t>
      </w:r>
      <w:r>
        <w:rPr>
          <w:rFonts w:ascii="Times New Roman" w:eastAsia="Times New Roman" w:hAnsi="Times New Roman" w:cs="Times New Roman"/>
          <w:sz w:val="24"/>
          <w:szCs w:val="24"/>
        </w:rPr>
        <w:t xml:space="preserve">cidad en la prensa diaria argentina (1894-1904): Nuevas relaciones y tensiones entre política, prensa y mercado. Los casos de El Nacional, La Prensa, La Nación y El Diario”, donde se abordó las modalidades de incorporación del </w:t>
      </w:r>
      <w:r>
        <w:rPr>
          <w:rFonts w:ascii="Times New Roman" w:eastAsia="Times New Roman" w:hAnsi="Times New Roman" w:cs="Times New Roman"/>
          <w:i/>
          <w:sz w:val="24"/>
          <w:szCs w:val="24"/>
        </w:rPr>
        <w:t xml:space="preserve">reclame </w:t>
      </w:r>
      <w:r>
        <w:rPr>
          <w:rFonts w:ascii="Times New Roman" w:eastAsia="Times New Roman" w:hAnsi="Times New Roman" w:cs="Times New Roman"/>
          <w:sz w:val="24"/>
          <w:szCs w:val="24"/>
        </w:rPr>
        <w:t>al diseño de las pági</w:t>
      </w:r>
      <w:r>
        <w:rPr>
          <w:rFonts w:ascii="Times New Roman" w:eastAsia="Times New Roman" w:hAnsi="Times New Roman" w:cs="Times New Roman"/>
          <w:sz w:val="24"/>
          <w:szCs w:val="24"/>
        </w:rPr>
        <w:t xml:space="preserve">nas de la prensa gráfica.  En segundo lugar, porque reviste aspectos específicos desde el punto de vista del </w:t>
      </w:r>
      <w:r>
        <w:rPr>
          <w:rFonts w:ascii="Times New Roman" w:eastAsia="Times New Roman" w:hAnsi="Times New Roman" w:cs="Times New Roman"/>
          <w:sz w:val="24"/>
          <w:szCs w:val="24"/>
        </w:rPr>
        <w:lastRenderedPageBreak/>
        <w:t xml:space="preserve">diseño y de lo estético, así como de la vinculación del campo publicitario de aquellos tiempos con el mercado internacional.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términos cuantitat</w:t>
      </w:r>
      <w:r>
        <w:rPr>
          <w:rFonts w:ascii="Times New Roman" w:eastAsia="Times New Roman" w:hAnsi="Times New Roman" w:cs="Times New Roman"/>
          <w:sz w:val="24"/>
          <w:szCs w:val="24"/>
        </w:rPr>
        <w:t xml:space="preserve">ivos, son 38 (5% sobre el total) las publicidades ilustradas y firmadas del período. Aquí hay amplia variedad de ilustradores como </w:t>
      </w:r>
      <w:proofErr w:type="spellStart"/>
      <w:r>
        <w:rPr>
          <w:rFonts w:ascii="Times New Roman" w:eastAsia="Times New Roman" w:hAnsi="Times New Roman" w:cs="Times New Roman"/>
          <w:sz w:val="24"/>
          <w:szCs w:val="24"/>
        </w:rPr>
        <w:t>Heins</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Steffenns</w:t>
      </w:r>
      <w:proofErr w:type="spellEnd"/>
      <w:r>
        <w:rPr>
          <w:rFonts w:ascii="Times New Roman" w:eastAsia="Times New Roman" w:hAnsi="Times New Roman" w:cs="Times New Roman"/>
          <w:sz w:val="24"/>
          <w:szCs w:val="24"/>
        </w:rPr>
        <w:t>, que habrá que determinar si se trata de dibujantes de las publicidades originales en sus casas matrices ex</w:t>
      </w:r>
      <w:r>
        <w:rPr>
          <w:rFonts w:ascii="Times New Roman" w:eastAsia="Times New Roman" w:hAnsi="Times New Roman" w:cs="Times New Roman"/>
          <w:sz w:val="24"/>
          <w:szCs w:val="24"/>
        </w:rPr>
        <w:t xml:space="preserve">tranjeras, además de José </w:t>
      </w:r>
      <w:proofErr w:type="spellStart"/>
      <w:r>
        <w:rPr>
          <w:rFonts w:ascii="Times New Roman" w:eastAsia="Times New Roman" w:hAnsi="Times New Roman" w:cs="Times New Roman"/>
          <w:sz w:val="24"/>
          <w:szCs w:val="24"/>
        </w:rPr>
        <w:t>Olivella</w:t>
      </w:r>
      <w:proofErr w:type="spellEnd"/>
      <w:r>
        <w:rPr>
          <w:rFonts w:ascii="Times New Roman" w:eastAsia="Times New Roman" w:hAnsi="Times New Roman" w:cs="Times New Roman"/>
          <w:sz w:val="24"/>
          <w:szCs w:val="24"/>
        </w:rPr>
        <w:t xml:space="preserve"> y Francisco Navarrete, también presente a lo largo de todo el período en la autoría de la sección </w:t>
      </w:r>
      <w:r>
        <w:rPr>
          <w:rFonts w:ascii="Times New Roman" w:eastAsia="Times New Roman" w:hAnsi="Times New Roman" w:cs="Times New Roman"/>
          <w:i/>
          <w:sz w:val="24"/>
          <w:szCs w:val="24"/>
        </w:rPr>
        <w:t>De mi guignol</w:t>
      </w:r>
      <w:r>
        <w:rPr>
          <w:rFonts w:ascii="Times New Roman" w:eastAsia="Times New Roman" w:hAnsi="Times New Roman" w:cs="Times New Roman"/>
          <w:sz w:val="24"/>
          <w:szCs w:val="24"/>
        </w:rPr>
        <w:t>, entre otras.</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Conclusiones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tuvo como objetivo principal explorar las características de las ilustraciones y la labor de los oficios gráficos visuales de la revista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en sus primeros años (1904-1908). A partir de esto, hemos elaborado una tipología de sus produc</w:t>
      </w:r>
      <w:r>
        <w:rPr>
          <w:rFonts w:ascii="Times New Roman" w:eastAsia="Times New Roman" w:hAnsi="Times New Roman" w:cs="Times New Roman"/>
          <w:sz w:val="24"/>
          <w:szCs w:val="24"/>
        </w:rPr>
        <w:t>ciones visuales en tres clases diferenciadas (viñetas, caricaturas satírico-políticas e ilustraciones para textos), donde se han identificado a los principales trabajadores visuales, las particularidades de sus trabajos y la articulación desarrollada entre</w:t>
      </w:r>
      <w:r>
        <w:rPr>
          <w:rFonts w:ascii="Times New Roman" w:eastAsia="Times New Roman" w:hAnsi="Times New Roman" w:cs="Times New Roman"/>
          <w:sz w:val="24"/>
          <w:szCs w:val="24"/>
        </w:rPr>
        <w:t xml:space="preserve"> imagen y texto.</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marco, se han identificado asimismo las secciones específicas de </w:t>
      </w:r>
      <w:r>
        <w:rPr>
          <w:rFonts w:ascii="Times New Roman" w:eastAsia="Times New Roman" w:hAnsi="Times New Roman" w:cs="Times New Roman"/>
          <w:i/>
          <w:sz w:val="24"/>
          <w:szCs w:val="24"/>
        </w:rPr>
        <w:t xml:space="preserve">PBT </w:t>
      </w:r>
      <w:r>
        <w:rPr>
          <w:rFonts w:ascii="Times New Roman" w:eastAsia="Times New Roman" w:hAnsi="Times New Roman" w:cs="Times New Roman"/>
          <w:sz w:val="24"/>
          <w:szCs w:val="24"/>
        </w:rPr>
        <w:t xml:space="preserve">donde se llevaba a cabo una labor puntual desde el punto de vista estético y de contenidos, tales como </w:t>
      </w:r>
      <w:r>
        <w:rPr>
          <w:rFonts w:ascii="Times New Roman" w:eastAsia="Times New Roman" w:hAnsi="Times New Roman" w:cs="Times New Roman"/>
          <w:i/>
          <w:sz w:val="24"/>
          <w:szCs w:val="24"/>
        </w:rPr>
        <w:t>PBT Novelesco</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De mi guignol</w:t>
      </w:r>
      <w:r>
        <w:rPr>
          <w:rFonts w:ascii="Times New Roman" w:eastAsia="Times New Roman" w:hAnsi="Times New Roman" w:cs="Times New Roman"/>
          <w:sz w:val="24"/>
          <w:szCs w:val="24"/>
        </w:rPr>
        <w:t xml:space="preserve"> entre otras.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revista const</w:t>
      </w:r>
      <w:r>
        <w:rPr>
          <w:rFonts w:ascii="Times New Roman" w:eastAsia="Times New Roman" w:hAnsi="Times New Roman" w:cs="Times New Roman"/>
          <w:sz w:val="24"/>
          <w:szCs w:val="24"/>
        </w:rPr>
        <w:t>ituye una novedad en términos visuales en cuanto a Tamaño, impresión a color, cantidad de páginas e incorporación de géneros novedosos.</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 decir que los artistas distinguen el sentido satírico y humorístico de PBT, pues han transformado en un objeto de e</w:t>
      </w:r>
      <w:r>
        <w:rPr>
          <w:rFonts w:ascii="Times New Roman" w:eastAsia="Times New Roman" w:hAnsi="Times New Roman" w:cs="Times New Roman"/>
          <w:sz w:val="24"/>
          <w:szCs w:val="24"/>
        </w:rPr>
        <w:t xml:space="preserve">studio interesante tanto en lo que respecta a la visualidad como a la inclusión de géneros y estilos. </w:t>
      </w:r>
    </w:p>
    <w:p w:rsidR="00B37A57" w:rsidRDefault="00BF263E" w:rsidP="000A461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esta revista y sus ilustraciones permite por un lado adentrarse en el derrotero de los artistas, pero además completar el estudio de las modalid</w:t>
      </w:r>
      <w:r>
        <w:rPr>
          <w:rFonts w:ascii="Times New Roman" w:eastAsia="Times New Roman" w:hAnsi="Times New Roman" w:cs="Times New Roman"/>
          <w:sz w:val="24"/>
          <w:szCs w:val="24"/>
        </w:rPr>
        <w:t>ades de incorporación de la imagen visual en las publicaciones de nuestro país.</w:t>
      </w:r>
    </w:p>
    <w:p w:rsidR="000F0752" w:rsidRDefault="000F0752" w:rsidP="000A461F">
      <w:pPr>
        <w:spacing w:before="100" w:beforeAutospacing="1" w:after="100" w:afterAutospacing="1"/>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br w:type="page"/>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Bibliografía</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1" w:name="_30j0zll" w:colFirst="0" w:colLast="0"/>
      <w:bookmarkStart w:id="2" w:name="_1fob9te" w:colFirst="0" w:colLast="0"/>
      <w:bookmarkEnd w:id="1"/>
      <w:bookmarkEnd w:id="2"/>
      <w:proofErr w:type="spellStart"/>
      <w:r>
        <w:rPr>
          <w:rFonts w:ascii="Times New Roman" w:eastAsia="Times New Roman" w:hAnsi="Times New Roman" w:cs="Times New Roman"/>
          <w:sz w:val="24"/>
          <w:szCs w:val="24"/>
        </w:rPr>
        <w:t>Ander-Egg</w:t>
      </w:r>
      <w:proofErr w:type="spellEnd"/>
      <w:r>
        <w:rPr>
          <w:rFonts w:ascii="Times New Roman" w:eastAsia="Times New Roman" w:hAnsi="Times New Roman" w:cs="Times New Roman"/>
          <w:sz w:val="24"/>
          <w:szCs w:val="24"/>
        </w:rPr>
        <w:t xml:space="preserve">, Ezequiel. (2003), </w:t>
      </w:r>
      <w:r>
        <w:rPr>
          <w:rFonts w:ascii="Times New Roman" w:eastAsia="Times New Roman" w:hAnsi="Times New Roman" w:cs="Times New Roman"/>
          <w:i/>
          <w:sz w:val="24"/>
          <w:szCs w:val="24"/>
        </w:rPr>
        <w:t>Métodos y Técnicas de Investigación Social IV – Técnicas para la recogida de datos e información</w:t>
      </w:r>
      <w:r>
        <w:rPr>
          <w:rFonts w:ascii="Times New Roman" w:eastAsia="Times New Roman" w:hAnsi="Times New Roman" w:cs="Times New Roman"/>
          <w:sz w:val="24"/>
          <w:szCs w:val="24"/>
        </w:rPr>
        <w:t>. Grupo Editorial Lumen: Buenos Aires</w:t>
      </w:r>
      <w:r>
        <w:rPr>
          <w:rFonts w:ascii="Times New Roman" w:eastAsia="Times New Roman" w:hAnsi="Times New Roman" w:cs="Times New Roman"/>
          <w:sz w:val="24"/>
          <w:szCs w:val="24"/>
        </w:rPr>
        <w:t>.</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3" w:name="_3znysh7" w:colFirst="0" w:colLast="0"/>
      <w:bookmarkStart w:id="4" w:name="_2et92p0" w:colFirst="0" w:colLast="0"/>
      <w:bookmarkEnd w:id="3"/>
      <w:bookmarkEnd w:id="4"/>
      <w:r>
        <w:rPr>
          <w:rFonts w:ascii="Times New Roman" w:eastAsia="Times New Roman" w:hAnsi="Times New Roman" w:cs="Times New Roman"/>
          <w:sz w:val="24"/>
          <w:szCs w:val="24"/>
        </w:rPr>
        <w:t xml:space="preserve">Rivera, Jorge (1987). Historia del humor gráfico argentino. En: Ford, Aníbal; Rivera, Jorge B.; Romano, Eduardo (1987) </w:t>
      </w:r>
      <w:r>
        <w:rPr>
          <w:rFonts w:ascii="Times New Roman" w:eastAsia="Times New Roman" w:hAnsi="Times New Roman" w:cs="Times New Roman"/>
          <w:i/>
          <w:sz w:val="24"/>
          <w:szCs w:val="24"/>
        </w:rPr>
        <w:t>Medios de Comunicación y Cultura Popular</w:t>
      </w:r>
      <w:r>
        <w:rPr>
          <w:rFonts w:ascii="Times New Roman" w:eastAsia="Times New Roman" w:hAnsi="Times New Roman" w:cs="Times New Roman"/>
          <w:sz w:val="24"/>
          <w:szCs w:val="24"/>
        </w:rPr>
        <w:t xml:space="preserve">. Editorial </w:t>
      </w:r>
      <w:proofErr w:type="spellStart"/>
      <w:r>
        <w:rPr>
          <w:rFonts w:ascii="Times New Roman" w:eastAsia="Times New Roman" w:hAnsi="Times New Roman" w:cs="Times New Roman"/>
          <w:sz w:val="24"/>
          <w:szCs w:val="24"/>
        </w:rPr>
        <w:t>Legasa</w:t>
      </w:r>
      <w:proofErr w:type="spellEnd"/>
      <w:r>
        <w:rPr>
          <w:rFonts w:ascii="Times New Roman" w:eastAsia="Times New Roman" w:hAnsi="Times New Roman" w:cs="Times New Roman"/>
          <w:sz w:val="24"/>
          <w:szCs w:val="24"/>
        </w:rPr>
        <w:t xml:space="preserve"> (Colección </w:t>
      </w:r>
      <w:proofErr w:type="spellStart"/>
      <w:r>
        <w:rPr>
          <w:rFonts w:ascii="Times New Roman" w:eastAsia="Times New Roman" w:hAnsi="Times New Roman" w:cs="Times New Roman"/>
          <w:sz w:val="24"/>
          <w:szCs w:val="24"/>
        </w:rPr>
        <w:t>Omnibus</w:t>
      </w:r>
      <w:proofErr w:type="spellEnd"/>
      <w:r>
        <w:rPr>
          <w:rFonts w:ascii="Times New Roman" w:eastAsia="Times New Roman" w:hAnsi="Times New Roman" w:cs="Times New Roman"/>
          <w:sz w:val="24"/>
          <w:szCs w:val="24"/>
        </w:rPr>
        <w:t>), Buenos aires (1a Ed. 1985).</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5" w:name="_tyjcwt" w:colFirst="0" w:colLast="0"/>
      <w:bookmarkStart w:id="6" w:name="_3dy6vkm" w:colFirst="0" w:colLast="0"/>
      <w:bookmarkEnd w:id="5"/>
      <w:bookmarkEnd w:id="6"/>
      <w:r>
        <w:rPr>
          <w:rFonts w:ascii="Times New Roman" w:eastAsia="Times New Roman" w:hAnsi="Times New Roman" w:cs="Times New Roman"/>
          <w:sz w:val="24"/>
          <w:szCs w:val="24"/>
        </w:rPr>
        <w:t xml:space="preserve">Ojeda, A. (2001) “Historia de las tecnologías de prensa”.  En: </w:t>
      </w:r>
      <w:r>
        <w:rPr>
          <w:rFonts w:ascii="Times New Roman" w:eastAsia="Times New Roman" w:hAnsi="Times New Roman" w:cs="Times New Roman"/>
          <w:i/>
          <w:sz w:val="24"/>
          <w:szCs w:val="24"/>
        </w:rPr>
        <w:t>Del Prudente Saber</w:t>
      </w:r>
      <w:r>
        <w:rPr>
          <w:rFonts w:ascii="Times New Roman" w:eastAsia="Times New Roman" w:hAnsi="Times New Roman" w:cs="Times New Roman"/>
          <w:sz w:val="24"/>
          <w:szCs w:val="24"/>
        </w:rPr>
        <w:t xml:space="preserve"> N° 3. Publicación de la Facultad de Ciencias de la Educación, Universidad Nacional de Entre Ríos.</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7" w:name="_1t3h5sf" w:colFirst="0" w:colLast="0"/>
      <w:bookmarkStart w:id="8" w:name="_4d34og8" w:colFirst="0" w:colLast="0"/>
      <w:bookmarkEnd w:id="7"/>
      <w:bookmarkEnd w:id="8"/>
      <w:r>
        <w:rPr>
          <w:rFonts w:ascii="Times New Roman" w:eastAsia="Times New Roman" w:hAnsi="Times New Roman" w:cs="Times New Roman"/>
          <w:sz w:val="24"/>
          <w:szCs w:val="24"/>
        </w:rPr>
        <w:t>Ojeda, A. y Moyano, J. (2018): "La profesionalización de los oficios gráfic</w:t>
      </w:r>
      <w:r>
        <w:rPr>
          <w:rFonts w:ascii="Times New Roman" w:eastAsia="Times New Roman" w:hAnsi="Times New Roman" w:cs="Times New Roman"/>
          <w:sz w:val="24"/>
          <w:szCs w:val="24"/>
        </w:rPr>
        <w:t>o-visuales. Ilustradores, grabadores, litógrafos y fotógrafos en diarios y magazines de circulación nacional (1898-1916)”, presentado en IV Jornadas de Estudios de América Latina y el Caribe, 16 y 17 de noviembre de 2018, Facultad de Ciencias Sociales, Uni</w:t>
      </w:r>
      <w:r>
        <w:rPr>
          <w:rFonts w:ascii="Times New Roman" w:eastAsia="Times New Roman" w:hAnsi="Times New Roman" w:cs="Times New Roman"/>
          <w:sz w:val="24"/>
          <w:szCs w:val="24"/>
        </w:rPr>
        <w:t xml:space="preserve">versidad de Buenos Aires. </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9" w:name="_2s8eyo1" w:colFirst="0" w:colLast="0"/>
      <w:bookmarkStart w:id="10" w:name="_17dp8vu" w:colFirst="0" w:colLast="0"/>
      <w:bookmarkEnd w:id="9"/>
      <w:bookmarkEnd w:id="10"/>
      <w:r>
        <w:rPr>
          <w:rFonts w:ascii="Times New Roman" w:eastAsia="Times New Roman" w:hAnsi="Times New Roman" w:cs="Times New Roman"/>
          <w:sz w:val="24"/>
          <w:szCs w:val="24"/>
        </w:rPr>
        <w:t>Ojeda, A.; Moyano, J. y Sujatovich, 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2016). </w:t>
      </w:r>
      <w:r>
        <w:rPr>
          <w:rFonts w:ascii="Times New Roman" w:eastAsia="Times New Roman" w:hAnsi="Times New Roman" w:cs="Times New Roman"/>
          <w:i/>
          <w:sz w:val="24"/>
          <w:szCs w:val="24"/>
        </w:rPr>
        <w:t xml:space="preserve">La revolución del magazine: la forja de las empresas editoriales en argentina (1904-1916). </w:t>
      </w:r>
      <w:r>
        <w:rPr>
          <w:rFonts w:ascii="Times New Roman" w:eastAsia="Times New Roman" w:hAnsi="Times New Roman" w:cs="Times New Roman"/>
          <w:sz w:val="24"/>
          <w:szCs w:val="24"/>
        </w:rPr>
        <w:t>En: AVATARES de la comunicación y la cultura N</w:t>
      </w:r>
      <w:r>
        <w:rPr>
          <w:rFonts w:ascii="Times New Roman" w:eastAsia="Times New Roman" w:hAnsi="Times New Roman" w:cs="Times New Roman"/>
          <w:sz w:val="24"/>
          <w:szCs w:val="24"/>
        </w:rPr>
        <w:t>º</w:t>
      </w:r>
      <w:r>
        <w:rPr>
          <w:rFonts w:ascii="Times New Roman" w:eastAsia="Times New Roman" w:hAnsi="Times New Roman" w:cs="Times New Roman"/>
          <w:sz w:val="24"/>
          <w:szCs w:val="24"/>
        </w:rPr>
        <w:t xml:space="preserve"> 12 (diciembre 2016) ISSN 1853-5925</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11" w:name="_3rdcrjn" w:colFirst="0" w:colLast="0"/>
      <w:bookmarkStart w:id="12" w:name="_26in1rg" w:colFirst="0" w:colLast="0"/>
      <w:bookmarkEnd w:id="11"/>
      <w:bookmarkEnd w:id="12"/>
      <w:r>
        <w:rPr>
          <w:rFonts w:ascii="Times New Roman" w:eastAsia="Times New Roman" w:hAnsi="Times New Roman" w:cs="Times New Roman"/>
          <w:sz w:val="24"/>
          <w:szCs w:val="24"/>
        </w:rPr>
        <w:t>Rogers,</w:t>
      </w:r>
      <w:r>
        <w:rPr>
          <w:rFonts w:ascii="Times New Roman" w:eastAsia="Times New Roman" w:hAnsi="Times New Roman" w:cs="Times New Roman"/>
          <w:sz w:val="24"/>
          <w:szCs w:val="24"/>
        </w:rPr>
        <w:t xml:space="preserve"> G. (2008). </w:t>
      </w:r>
      <w:r>
        <w:rPr>
          <w:rFonts w:ascii="Times New Roman" w:eastAsia="Times New Roman" w:hAnsi="Times New Roman" w:cs="Times New Roman"/>
          <w:i/>
          <w:sz w:val="24"/>
          <w:szCs w:val="24"/>
        </w:rPr>
        <w:t>Caras y Caretas. Cultura, política y espectáculo en los inicios del siglo XX argentino</w:t>
      </w:r>
      <w:r>
        <w:rPr>
          <w:rFonts w:ascii="Times New Roman" w:eastAsia="Times New Roman" w:hAnsi="Times New Roman" w:cs="Times New Roman"/>
          <w:sz w:val="24"/>
          <w:szCs w:val="24"/>
        </w:rPr>
        <w:t xml:space="preserve">. La Plata: EDULP, Universidad Nacional de La Plata. </w:t>
      </w:r>
    </w:p>
    <w:p w:rsidR="00B37A57" w:rsidRDefault="00BF263E" w:rsidP="000A461F">
      <w:pPr>
        <w:spacing w:before="100" w:beforeAutospacing="1" w:after="100" w:afterAutospacing="1" w:line="360" w:lineRule="auto"/>
        <w:rPr>
          <w:rFonts w:ascii="Times New Roman" w:eastAsia="Times New Roman" w:hAnsi="Times New Roman" w:cs="Times New Roman"/>
          <w:sz w:val="24"/>
          <w:szCs w:val="24"/>
        </w:rPr>
      </w:pPr>
      <w:bookmarkStart w:id="13" w:name="_lnxbz9" w:colFirst="0" w:colLast="0"/>
      <w:bookmarkStart w:id="14" w:name="_35nkun2" w:colFirst="0" w:colLast="0"/>
      <w:bookmarkEnd w:id="13"/>
      <w:bookmarkEnd w:id="14"/>
      <w:r>
        <w:rPr>
          <w:rFonts w:ascii="Times New Roman" w:eastAsia="Times New Roman" w:hAnsi="Times New Roman" w:cs="Times New Roman"/>
          <w:sz w:val="24"/>
          <w:szCs w:val="24"/>
        </w:rPr>
        <w:t>Romano, E. (2004).</w:t>
      </w:r>
      <w:r>
        <w:rPr>
          <w:rFonts w:ascii="Times New Roman" w:eastAsia="Times New Roman" w:hAnsi="Times New Roman" w:cs="Times New Roman"/>
          <w:i/>
          <w:sz w:val="24"/>
          <w:szCs w:val="24"/>
        </w:rPr>
        <w:t xml:space="preserve"> Revolución en la lectura. El discurso periodístico-literario de las primeras revista</w:t>
      </w:r>
      <w:r>
        <w:rPr>
          <w:rFonts w:ascii="Times New Roman" w:eastAsia="Times New Roman" w:hAnsi="Times New Roman" w:cs="Times New Roman"/>
          <w:i/>
          <w:sz w:val="24"/>
          <w:szCs w:val="24"/>
        </w:rPr>
        <w:t>s ilustradas rioplatenses.</w:t>
      </w:r>
      <w:r>
        <w:rPr>
          <w:rFonts w:ascii="Times New Roman" w:eastAsia="Times New Roman" w:hAnsi="Times New Roman" w:cs="Times New Roman"/>
          <w:sz w:val="24"/>
          <w:szCs w:val="24"/>
        </w:rPr>
        <w:t xml:space="preserve"> Catálogos, Buenos Aires.</w:t>
      </w:r>
    </w:p>
    <w:p w:rsidR="00B37A57" w:rsidRDefault="00B37A57" w:rsidP="000A461F">
      <w:pPr>
        <w:spacing w:before="100" w:beforeAutospacing="1" w:after="100" w:afterAutospacing="1" w:line="360" w:lineRule="auto"/>
        <w:rPr>
          <w:rFonts w:ascii="Times New Roman" w:eastAsia="Times New Roman" w:hAnsi="Times New Roman" w:cs="Times New Roman"/>
          <w:sz w:val="24"/>
          <w:szCs w:val="24"/>
        </w:rPr>
      </w:pPr>
      <w:bookmarkStart w:id="15" w:name="_GoBack"/>
      <w:bookmarkEnd w:id="15"/>
    </w:p>
    <w:sectPr w:rsidR="00B37A57" w:rsidSect="000F0752">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63E" w:rsidRDefault="00BF263E">
      <w:pPr>
        <w:spacing w:after="0" w:line="240" w:lineRule="auto"/>
      </w:pPr>
      <w:r>
        <w:separator/>
      </w:r>
    </w:p>
  </w:endnote>
  <w:endnote w:type="continuationSeparator" w:id="0">
    <w:p w:rsidR="00BF263E" w:rsidRDefault="00BF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63E" w:rsidRDefault="00BF263E">
      <w:pPr>
        <w:spacing w:after="0" w:line="240" w:lineRule="auto"/>
      </w:pPr>
      <w:r>
        <w:separator/>
      </w:r>
    </w:p>
  </w:footnote>
  <w:footnote w:type="continuationSeparator" w:id="0">
    <w:p w:rsidR="00BF263E" w:rsidRDefault="00BF263E">
      <w:pPr>
        <w:spacing w:after="0" w:line="240" w:lineRule="auto"/>
      </w:pPr>
      <w:r>
        <w:continuationSeparator/>
      </w:r>
    </w:p>
  </w:footnote>
  <w:footnote w:id="1">
    <w:p w:rsidR="00B37A57" w:rsidRDefault="00BF263E" w:rsidP="000F0752">
      <w:pPr>
        <w:spacing w:after="0" w:line="240" w:lineRule="auto"/>
        <w:jc w:val="both"/>
        <w:rPr>
          <w:sz w:val="20"/>
          <w:szCs w:val="20"/>
        </w:rPr>
      </w:pPr>
      <w:r>
        <w:rPr>
          <w:vertAlign w:val="superscript"/>
        </w:rPr>
        <w:footnoteRef/>
      </w:r>
      <w:r>
        <w:rPr>
          <w:sz w:val="20"/>
          <w:szCs w:val="20"/>
        </w:rPr>
        <w:t xml:space="preserve"> </w:t>
      </w:r>
      <w:r w:rsidRPr="000F0752">
        <w:rPr>
          <w:rFonts w:ascii="Times New Roman" w:hAnsi="Times New Roman" w:cs="Times New Roman"/>
          <w:sz w:val="20"/>
          <w:szCs w:val="20"/>
        </w:rPr>
        <w:t>Pellicer, en su nota editorial “Charlas del PBT” de la edición nú</w:t>
      </w:r>
      <w:r w:rsidRPr="000F0752">
        <w:rPr>
          <w:rFonts w:ascii="Times New Roman" w:hAnsi="Times New Roman" w:cs="Times New Roman"/>
          <w:sz w:val="20"/>
          <w:szCs w:val="20"/>
        </w:rPr>
        <w:t xml:space="preserve">mero (....) del año 1905, destaca de Juan </w:t>
      </w:r>
      <w:proofErr w:type="spellStart"/>
      <w:r w:rsidRPr="000F0752">
        <w:rPr>
          <w:rFonts w:ascii="Times New Roman" w:hAnsi="Times New Roman" w:cs="Times New Roman"/>
          <w:sz w:val="20"/>
          <w:szCs w:val="20"/>
        </w:rPr>
        <w:t>Sanuy</w:t>
      </w:r>
      <w:proofErr w:type="spellEnd"/>
      <w:r w:rsidRPr="000F0752">
        <w:rPr>
          <w:rFonts w:ascii="Times New Roman" w:hAnsi="Times New Roman" w:cs="Times New Roman"/>
          <w:sz w:val="20"/>
          <w:szCs w:val="20"/>
        </w:rPr>
        <w:t>: “jefe de la vanguardia que pelea lápiz en ristre, veterano del arte y espécimen ejemplar de guerreros infatigables y aguerridos.”</w:t>
      </w:r>
    </w:p>
    <w:p w:rsidR="00B37A57" w:rsidRDefault="00B37A57">
      <w:pPr>
        <w:spacing w:after="0" w:line="240" w:lineRule="auto"/>
        <w:rPr>
          <w:sz w:val="20"/>
          <w:szCs w:val="20"/>
        </w:rPr>
      </w:pPr>
    </w:p>
  </w:footnote>
  <w:footnote w:id="2">
    <w:p w:rsidR="00B37A57" w:rsidRDefault="00BF263E">
      <w:pPr>
        <w:spacing w:after="0" w:line="240" w:lineRule="auto"/>
        <w:rPr>
          <w:sz w:val="20"/>
          <w:szCs w:val="20"/>
        </w:rPr>
      </w:pPr>
      <w:r>
        <w:rPr>
          <w:vertAlign w:val="superscript"/>
        </w:rPr>
        <w:footnoteRef/>
      </w:r>
      <w:r>
        <w:rPr>
          <w:sz w:val="20"/>
          <w:szCs w:val="20"/>
        </w:rPr>
        <w:t xml:space="preserve"> </w:t>
      </w:r>
      <w:hyperlink r:id="rId1">
        <w:r w:rsidRPr="000F0752">
          <w:rPr>
            <w:rFonts w:ascii="Times New Roman" w:hAnsi="Times New Roman" w:cs="Times New Roman"/>
            <w:color w:val="1155CC"/>
            <w:sz w:val="20"/>
            <w:szCs w:val="20"/>
            <w:u w:val="single"/>
          </w:rPr>
          <w:t>https://es.wikipedia.org/wiki/Francisco_Fortuny_(pintor)</w:t>
        </w:r>
      </w:hyperlink>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113CB"/>
    <w:multiLevelType w:val="multilevel"/>
    <w:tmpl w:val="004CDC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40EB327D"/>
    <w:multiLevelType w:val="multilevel"/>
    <w:tmpl w:val="4EFC9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37A57"/>
    <w:rsid w:val="000A461F"/>
    <w:rsid w:val="000F0752"/>
    <w:rsid w:val="00B37A57"/>
    <w:rsid w:val="00BF26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F0752"/>
    <w:pPr>
      <w:ind w:left="720"/>
      <w:contextualSpacing/>
    </w:pPr>
  </w:style>
  <w:style w:type="paragraph" w:styleId="Textodeglobo">
    <w:name w:val="Balloon Text"/>
    <w:basedOn w:val="Normal"/>
    <w:link w:val="TextodegloboCar"/>
    <w:uiPriority w:val="99"/>
    <w:semiHidden/>
    <w:unhideWhenUsed/>
    <w:rsid w:val="000F07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7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F0752"/>
    <w:pPr>
      <w:ind w:left="720"/>
      <w:contextualSpacing/>
    </w:pPr>
  </w:style>
  <w:style w:type="paragraph" w:styleId="Textodeglobo">
    <w:name w:val="Balloon Text"/>
    <w:basedOn w:val="Normal"/>
    <w:link w:val="TextodegloboCar"/>
    <w:uiPriority w:val="99"/>
    <w:semiHidden/>
    <w:unhideWhenUsed/>
    <w:rsid w:val="000F07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7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litarasiukploc@unla.edu.ar"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marianwis@gmail.co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s.wikipedia.org/wiki/Francisco_Fortuny_(pin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5098</Words>
  <Characters>28041</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MARIANO WISZNIACKI</dc:creator>
  <cp:lastModifiedBy>MARIANO WISZNIACKI</cp:lastModifiedBy>
  <cp:revision>2</cp:revision>
  <dcterms:created xsi:type="dcterms:W3CDTF">2019-08-16T15:12:00Z</dcterms:created>
  <dcterms:modified xsi:type="dcterms:W3CDTF">2019-08-16T15:12:00Z</dcterms:modified>
</cp:coreProperties>
</file>