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4CA7" w:rsidRDefault="00B34CA7">
      <w:pPr>
        <w:rPr>
          <w:rFonts w:ascii="Arial" w:eastAsia="Arial" w:hAnsi="Arial" w:cs="Arial"/>
          <w:sz w:val="22"/>
          <w:szCs w:val="22"/>
        </w:rPr>
      </w:pPr>
    </w:p>
    <w:p w14:paraId="00000002" w14:textId="77777777" w:rsidR="00B34CA7" w:rsidRPr="003058CE" w:rsidRDefault="00F14A16" w:rsidP="003058CE">
      <w:pPr>
        <w:spacing w:line="360" w:lineRule="auto"/>
        <w:jc w:val="both"/>
        <w:rPr>
          <w:rFonts w:ascii="Times New Roman" w:eastAsia="Times New Roman" w:hAnsi="Times New Roman" w:cs="Times New Roman"/>
          <w:b/>
        </w:rPr>
      </w:pPr>
      <w:r w:rsidRPr="003058CE">
        <w:rPr>
          <w:rFonts w:ascii="Times New Roman" w:eastAsia="Times New Roman" w:hAnsi="Times New Roman" w:cs="Times New Roman"/>
          <w:b/>
        </w:rPr>
        <w:t>El Estado Centauro: entre el laissez-faire y la regulación penal</w:t>
      </w:r>
    </w:p>
    <w:p w14:paraId="00000003" w14:textId="77777777" w:rsidR="00B34CA7" w:rsidRPr="003058CE" w:rsidRDefault="00B34CA7" w:rsidP="003058CE">
      <w:pPr>
        <w:spacing w:line="360" w:lineRule="auto"/>
        <w:jc w:val="both"/>
        <w:rPr>
          <w:rFonts w:ascii="Times New Roman" w:eastAsia="Times New Roman" w:hAnsi="Times New Roman" w:cs="Times New Roman"/>
          <w:b/>
        </w:rPr>
      </w:pPr>
    </w:p>
    <w:p w14:paraId="00000004" w14:textId="77777777" w:rsidR="00B34CA7" w:rsidRPr="003058CE" w:rsidRDefault="00F14A16" w:rsidP="003058CE">
      <w:pPr>
        <w:spacing w:line="360" w:lineRule="auto"/>
        <w:jc w:val="both"/>
        <w:rPr>
          <w:rFonts w:ascii="Times New Roman" w:eastAsia="Times New Roman" w:hAnsi="Times New Roman" w:cs="Times New Roman"/>
          <w:b/>
        </w:rPr>
      </w:pPr>
      <w:r w:rsidRPr="003058CE">
        <w:rPr>
          <w:rFonts w:ascii="Times New Roman" w:eastAsia="Times New Roman" w:hAnsi="Times New Roman" w:cs="Times New Roman"/>
          <w:b/>
        </w:rPr>
        <w:t>RESUMEN:</w:t>
      </w:r>
    </w:p>
    <w:p w14:paraId="00000005" w14:textId="72071AB8" w:rsidR="00B34CA7" w:rsidRPr="003058CE" w:rsidRDefault="00F14A16" w:rsidP="003058CE">
      <w:pP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La inseguridad es </w:t>
      </w:r>
      <w:r w:rsidR="003058CE" w:rsidRPr="003058CE">
        <w:rPr>
          <w:rFonts w:ascii="Times New Roman" w:eastAsia="Times New Roman" w:hAnsi="Times New Roman" w:cs="Times New Roman"/>
        </w:rPr>
        <w:t>una preocupación</w:t>
      </w:r>
      <w:r w:rsidRPr="003058CE">
        <w:rPr>
          <w:rFonts w:ascii="Times New Roman" w:eastAsia="Times New Roman" w:hAnsi="Times New Roman" w:cs="Times New Roman"/>
        </w:rPr>
        <w:t xml:space="preserve"> de la agenda pública desde hace ya varios años. Las ampliaciones de las facultades de la policía y el aumento de los recursos humanos y materiales del poder judicial penal no han dado solución a esta problemática que sigue</w:t>
      </w:r>
      <w:r w:rsidRPr="003058CE">
        <w:rPr>
          <w:rFonts w:ascii="Times New Roman" w:eastAsia="Times New Roman" w:hAnsi="Times New Roman" w:cs="Times New Roman"/>
        </w:rPr>
        <w:t xml:space="preserve"> inundando al día de hoy las principales portadas de noticias del país y del mundo.</w:t>
      </w:r>
    </w:p>
    <w:p w14:paraId="00000006" w14:textId="77777777" w:rsidR="00B34CA7" w:rsidRPr="003058CE" w:rsidRDefault="00F14A16" w:rsidP="003058CE">
      <w:pP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Sin embargo, la problemática de la seguridad, un concepto que ha logrado ser vinculado a la noción democrática, nos permite reflexionar al respecto de qué implican las inst</w:t>
      </w:r>
      <w:r w:rsidRPr="003058CE">
        <w:rPr>
          <w:rFonts w:ascii="Times New Roman" w:eastAsia="Times New Roman" w:hAnsi="Times New Roman" w:cs="Times New Roman"/>
        </w:rPr>
        <w:t>ancias de control tecnológicamente invasivas que la opinión pública suaviza cada día.</w:t>
      </w:r>
    </w:p>
    <w:p w14:paraId="00000007" w14:textId="77777777" w:rsidR="00B34CA7" w:rsidRPr="003058CE" w:rsidRDefault="00F14A16" w:rsidP="003058CE">
      <w:pP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La transformación de la cuestión social -en términos históricos y teóricos- constituye una herramienta primordial a la hora de analizar estas restricciones impuestas por </w:t>
      </w:r>
      <w:r w:rsidRPr="003058CE">
        <w:rPr>
          <w:rFonts w:ascii="Times New Roman" w:eastAsia="Times New Roman" w:hAnsi="Times New Roman" w:cs="Times New Roman"/>
        </w:rPr>
        <w:t>los sectores dominantes a la articulación del resto de la población. El discurso hegemónico habilita con tal fin una serie de practicas violentas que, sin necesidad de un reaseguro legal, extienden los limites de la tolerancia social en tanto aceptación de</w:t>
      </w:r>
      <w:r w:rsidRPr="003058CE">
        <w:rPr>
          <w:rFonts w:ascii="Times New Roman" w:eastAsia="Times New Roman" w:hAnsi="Times New Roman" w:cs="Times New Roman"/>
        </w:rPr>
        <w:t xml:space="preserve"> castigos arbitrarios y métodos invasivos. En consecuencia, una cosmovisión que glorifica el castigo y la tortura de las victimas de un Estado penal expansivo deja sin voz a sus subordinados.</w:t>
      </w:r>
    </w:p>
    <w:p w14:paraId="00000008" w14:textId="77777777" w:rsidR="00B34CA7" w:rsidRPr="003058CE" w:rsidRDefault="00F14A16" w:rsidP="003058CE">
      <w:pP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La responsabilidad estatal en la categorización de los sectores </w:t>
      </w:r>
      <w:r w:rsidRPr="003058CE">
        <w:rPr>
          <w:rFonts w:ascii="Times New Roman" w:eastAsia="Times New Roman" w:hAnsi="Times New Roman" w:cs="Times New Roman"/>
        </w:rPr>
        <w:t>sociales nos permite preguntarnos: ¿Cuáles son los delitos que se persiguen? Si son todos ellos, ¿Por qué únicamente determinados sujetos son encarcelados, mientras otros quedan a salvo en meras instancias judiciales?; ¿Podemos considerar este accionar com</w:t>
      </w:r>
      <w:r w:rsidRPr="003058CE">
        <w:rPr>
          <w:rFonts w:ascii="Times New Roman" w:eastAsia="Times New Roman" w:hAnsi="Times New Roman" w:cs="Times New Roman"/>
        </w:rPr>
        <w:t>o un fracaso de la institución penal?</w:t>
      </w:r>
    </w:p>
    <w:p w14:paraId="00000009" w14:textId="477642C0" w:rsidR="00B34CA7" w:rsidRPr="003058CE" w:rsidRDefault="00F14A16"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r w:rsidRPr="003058CE">
        <w:rPr>
          <w:rFonts w:ascii="Times New Roman" w:eastAsia="Times New Roman" w:hAnsi="Times New Roman" w:cs="Times New Roman"/>
          <w:b/>
        </w:rPr>
        <w:t>Palabras clave:</w:t>
      </w:r>
      <w:r w:rsidRPr="003058CE">
        <w:rPr>
          <w:rFonts w:ascii="Times New Roman" w:eastAsia="Times New Roman" w:hAnsi="Times New Roman" w:cs="Times New Roman"/>
        </w:rPr>
        <w:t xml:space="preserve"> cuestión social - responsabilidad estatal - </w:t>
      </w:r>
      <w:r w:rsidR="003058CE">
        <w:rPr>
          <w:rFonts w:ascii="Times New Roman" w:eastAsia="Times New Roman" w:hAnsi="Times New Roman" w:cs="Times New Roman"/>
        </w:rPr>
        <w:t>inseguridad</w:t>
      </w:r>
    </w:p>
    <w:p w14:paraId="0000000A" w14:textId="77777777" w:rsidR="00B34CA7" w:rsidRPr="003058CE" w:rsidRDefault="00B34CA7"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p>
    <w:p w14:paraId="0000000B" w14:textId="77777777" w:rsidR="00B34CA7" w:rsidRPr="003058CE" w:rsidRDefault="00F14A16" w:rsidP="003058CE">
      <w:pPr>
        <w:pBdr>
          <w:top w:val="nil"/>
          <w:left w:val="nil"/>
          <w:bottom w:val="nil"/>
          <w:right w:val="nil"/>
          <w:between w:val="nil"/>
        </w:pBdr>
        <w:spacing w:before="200" w:after="200" w:line="360" w:lineRule="auto"/>
        <w:jc w:val="both"/>
        <w:rPr>
          <w:rFonts w:ascii="Times New Roman" w:eastAsia="Times New Roman" w:hAnsi="Times New Roman" w:cs="Times New Roman"/>
          <w:b/>
        </w:rPr>
      </w:pPr>
      <w:r w:rsidRPr="003058CE">
        <w:rPr>
          <w:rFonts w:ascii="Times New Roman" w:eastAsia="Times New Roman" w:hAnsi="Times New Roman" w:cs="Times New Roman"/>
          <w:b/>
        </w:rPr>
        <w:lastRenderedPageBreak/>
        <w:t>INTRODUCCIÓN:</w:t>
      </w:r>
    </w:p>
    <w:p w14:paraId="0000000C"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El objeto de este trabajo es realizar un análisis de la transformación de la cuestión social con el objetivo de determinar la</w:t>
      </w:r>
      <w:r w:rsidRPr="003058CE">
        <w:rPr>
          <w:rFonts w:ascii="Times New Roman" w:eastAsia="Times New Roman" w:hAnsi="Times New Roman" w:cs="Times New Roman"/>
        </w:rPr>
        <w:t xml:space="preserve"> serie de estrategias de producción de subordinación, sometimiento e incapacitación llevadas a cabo por los sectores dominantes que construyen un sistema penal que asegura y reproduce la desigualdad del sistema social.</w:t>
      </w:r>
    </w:p>
    <w:p w14:paraId="0000000D"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color w:val="FF0000"/>
        </w:rPr>
      </w:pPr>
      <w:r w:rsidRPr="003058CE">
        <w:rPr>
          <w:rFonts w:ascii="Times New Roman" w:eastAsia="Times New Roman" w:hAnsi="Times New Roman" w:cs="Times New Roman"/>
        </w:rPr>
        <w:t>Para abordar la problemática instalad</w:t>
      </w:r>
      <w:r w:rsidRPr="003058CE">
        <w:rPr>
          <w:rFonts w:ascii="Times New Roman" w:eastAsia="Times New Roman" w:hAnsi="Times New Roman" w:cs="Times New Roman"/>
        </w:rPr>
        <w:t>a, se realizará una revisión bibliográfica, partiendo de una bibliografía básica, y especificando la lectura sobre el eje aquí propuesto seleccionando las teorías, conceptos y datos más relevantes. En resumen, presentaremos en forma de ensayo una investiga</w:t>
      </w:r>
      <w:r w:rsidRPr="003058CE">
        <w:rPr>
          <w:rFonts w:ascii="Times New Roman" w:eastAsia="Times New Roman" w:hAnsi="Times New Roman" w:cs="Times New Roman"/>
        </w:rPr>
        <w:t xml:space="preserve">ción exploratoria describiendo un proceso social altamente complejo que continúa en debate. </w:t>
      </w:r>
    </w:p>
    <w:p w14:paraId="0000000E"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 Robert Castel (1995), afirma que la cuestión social pone en relieve la tensión que enfrenta una sociedad entre su cohesión y el riesgo de su fractura, es decir, su capacidad para desarrollarse como un conjunto de relaciones de interdependencia. En este se</w:t>
      </w:r>
      <w:r w:rsidRPr="003058CE">
        <w:rPr>
          <w:rFonts w:ascii="Times New Roman" w:eastAsia="Times New Roman" w:hAnsi="Times New Roman" w:cs="Times New Roman"/>
        </w:rPr>
        <w:t>ntido, el autor define “lo social” como los sistemas de regulación que no son los del mercado, instituidos para tratar de llenar esta brecha. En otras palabras, la cuestión social expresa el resultado un entramado contenedor de la brecha existente entre lo</w:t>
      </w:r>
      <w:r w:rsidRPr="003058CE">
        <w:rPr>
          <w:rFonts w:ascii="Times New Roman" w:eastAsia="Times New Roman" w:hAnsi="Times New Roman" w:cs="Times New Roman"/>
        </w:rPr>
        <w:t>s principios planteados por una sociedad y la realidad efectiva vivenciada por los sectores sociales perjudicados.</w:t>
      </w:r>
    </w:p>
    <w:p w14:paraId="0000000F" w14:textId="29D69585"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 </w:t>
      </w:r>
      <w:r w:rsidR="003058CE" w:rsidRPr="003058CE">
        <w:rPr>
          <w:rFonts w:ascii="Times New Roman" w:eastAsia="Times New Roman" w:hAnsi="Times New Roman" w:cs="Times New Roman"/>
        </w:rPr>
        <w:t>Aquí</w:t>
      </w:r>
      <w:r w:rsidRPr="003058CE">
        <w:rPr>
          <w:rFonts w:ascii="Times New Roman" w:eastAsia="Times New Roman" w:hAnsi="Times New Roman" w:cs="Times New Roman"/>
        </w:rPr>
        <w:t xml:space="preserve"> buscaremos desnaturalizar los procesos de empobrecimiento exponiendo el desplazamiento del “gobierno del trabajo” por el “gobierno de l</w:t>
      </w:r>
      <w:r w:rsidRPr="003058CE">
        <w:rPr>
          <w:rFonts w:ascii="Times New Roman" w:eastAsia="Times New Roman" w:hAnsi="Times New Roman" w:cs="Times New Roman"/>
        </w:rPr>
        <w:t xml:space="preserve">a pobreza” como un cambio de paradigma para el diagnóstico de la cuestión social. Buscamos críticamente hacerle frente al viraje que corrió el eje de la teoría objetiva del valor hacia la teoría subjetiva del mismo, enfocada en el deseo y la subjetividad, </w:t>
      </w:r>
      <w:r w:rsidRPr="003058CE">
        <w:rPr>
          <w:rFonts w:ascii="Times New Roman" w:eastAsia="Times New Roman" w:hAnsi="Times New Roman" w:cs="Times New Roman"/>
        </w:rPr>
        <w:t xml:space="preserve">ergo, en el incentivo de las acciones individuales por la búsqueda del interés propio, como una nueva modalidad discursiva hegemónica que reasegura una desigualdad social de origen (Murillo, 2011). </w:t>
      </w:r>
    </w:p>
    <w:p w14:paraId="00000010"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Consecuentemente con este fenómeno, la justicia penal, le</w:t>
      </w:r>
      <w:r w:rsidRPr="003058CE">
        <w:rPr>
          <w:rFonts w:ascii="Times New Roman" w:eastAsia="Times New Roman" w:hAnsi="Times New Roman" w:cs="Times New Roman"/>
        </w:rPr>
        <w:t>jos de interesarse por el hecho ilícito, trabaja más bien contra la figura del delincuente -que el mismo sistema carcelario fabrica- (Foucault, 1976). En efecto, los operadores jurídicos identifican primeramente a “alguien” que hizo algo, y no a “algo” que</w:t>
      </w:r>
      <w:r w:rsidRPr="003058CE">
        <w:rPr>
          <w:rFonts w:ascii="Times New Roman" w:eastAsia="Times New Roman" w:hAnsi="Times New Roman" w:cs="Times New Roman"/>
        </w:rPr>
        <w:t xml:space="preserve"> hizo alguien, enmarcando la tarea de ir en contra de las personas que cometen delitos, y no en contra de los delitos que cometen las personas. </w:t>
      </w:r>
    </w:p>
    <w:p w14:paraId="00000011"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lastRenderedPageBreak/>
        <w:t>El enfoque que aquí desarrollaremos será el que sugiere que la justicia penal trabaja contra aquellos que perte</w:t>
      </w:r>
      <w:r w:rsidRPr="003058CE">
        <w:rPr>
          <w:rFonts w:ascii="Times New Roman" w:eastAsia="Times New Roman" w:hAnsi="Times New Roman" w:cs="Times New Roman"/>
        </w:rPr>
        <w:t>necen a la clase social más desventajada, cuyas expectativas de progreso son limitadas por un sistema de represión y subordinación que neutraliza y almacena cuerpos dóciles. En consecuencia, podemos afirmar que la justicia penal constituye un reaseguro res</w:t>
      </w:r>
      <w:r w:rsidRPr="003058CE">
        <w:rPr>
          <w:rFonts w:ascii="Times New Roman" w:eastAsia="Times New Roman" w:hAnsi="Times New Roman" w:cs="Times New Roman"/>
        </w:rPr>
        <w:t>pecto al mantenimiento o profundización de condiciones de vida desiguales.</w:t>
      </w:r>
    </w:p>
    <w:p w14:paraId="00000012" w14:textId="77777777" w:rsidR="00B34CA7" w:rsidRPr="003058CE" w:rsidRDefault="00F14A16" w:rsidP="003058CE">
      <w:pPr>
        <w:pBdr>
          <w:top w:val="nil"/>
          <w:left w:val="nil"/>
          <w:bottom w:val="nil"/>
          <w:right w:val="nil"/>
          <w:between w:val="nil"/>
        </w:pBdr>
        <w:spacing w:before="200" w:after="200" w:line="360" w:lineRule="auto"/>
        <w:jc w:val="both"/>
        <w:rPr>
          <w:rFonts w:ascii="Times New Roman" w:eastAsia="Times New Roman" w:hAnsi="Times New Roman" w:cs="Times New Roman"/>
          <w:b/>
        </w:rPr>
      </w:pPr>
      <w:r w:rsidRPr="003058CE">
        <w:rPr>
          <w:rFonts w:ascii="Times New Roman" w:eastAsia="Times New Roman" w:hAnsi="Times New Roman" w:cs="Times New Roman"/>
          <w:b/>
        </w:rPr>
        <w:t>CONSIDERACIONES TEÓRICAS:</w:t>
      </w:r>
    </w:p>
    <w:p w14:paraId="00000013" w14:textId="681D240E" w:rsidR="00B34CA7" w:rsidRPr="003058CE" w:rsidRDefault="00F14A16" w:rsidP="003058CE">
      <w:pPr>
        <w:shd w:val="clear" w:color="auto" w:fill="FFFFFF"/>
        <w:spacing w:before="160" w:after="160" w:line="360" w:lineRule="auto"/>
        <w:ind w:firstLine="720"/>
        <w:jc w:val="both"/>
        <w:rPr>
          <w:rFonts w:ascii="Times New Roman" w:eastAsia="Times New Roman" w:hAnsi="Times New Roman" w:cs="Times New Roman"/>
          <w:b/>
        </w:rPr>
      </w:pPr>
      <w:r w:rsidRPr="003058CE">
        <w:rPr>
          <w:rFonts w:ascii="Times New Roman" w:eastAsia="Times New Roman" w:hAnsi="Times New Roman" w:cs="Times New Roman"/>
        </w:rPr>
        <w:t>Previo adentrarnos al marco en cuestión, nos corresponde definir una serie de conceptos que facilitarán la comprensión de la problemática en cuestión. En p</w:t>
      </w:r>
      <w:r w:rsidRPr="003058CE">
        <w:rPr>
          <w:rFonts w:ascii="Times New Roman" w:eastAsia="Times New Roman" w:hAnsi="Times New Roman" w:cs="Times New Roman"/>
        </w:rPr>
        <w:t xml:space="preserve">rimer lugar, debemos tener en cuenta la definición de hegemonía desarrollada por Gramsci (2003) como una relación social que, partiendo de relaciones de poder de carácter económico, se realiza en la superestructura a través de una concepción del mundo que </w:t>
      </w:r>
      <w:r w:rsidRPr="003058CE">
        <w:rPr>
          <w:rFonts w:ascii="Times New Roman" w:eastAsia="Times New Roman" w:hAnsi="Times New Roman" w:cs="Times New Roman"/>
        </w:rPr>
        <w:t xml:space="preserve">encarna la visión general mientras que expresa únicamente los intereses del grupo dirigente. Al tiempo que se plasma de formas diversas en el sentido </w:t>
      </w:r>
      <w:r w:rsidR="003058CE" w:rsidRPr="003058CE">
        <w:rPr>
          <w:rFonts w:ascii="Times New Roman" w:eastAsia="Times New Roman" w:hAnsi="Times New Roman" w:cs="Times New Roman"/>
        </w:rPr>
        <w:t>común</w:t>
      </w:r>
      <w:r w:rsidRPr="003058CE">
        <w:rPr>
          <w:rFonts w:ascii="Times New Roman" w:eastAsia="Times New Roman" w:hAnsi="Times New Roman" w:cs="Times New Roman"/>
        </w:rPr>
        <w:t xml:space="preserve"> y en las </w:t>
      </w:r>
      <w:r w:rsidR="003058CE" w:rsidRPr="003058CE">
        <w:rPr>
          <w:rFonts w:ascii="Times New Roman" w:eastAsia="Times New Roman" w:hAnsi="Times New Roman" w:cs="Times New Roman"/>
        </w:rPr>
        <w:t>pr</w:t>
      </w:r>
      <w:r w:rsidR="003058CE">
        <w:rPr>
          <w:rFonts w:ascii="Times New Roman" w:eastAsia="Times New Roman" w:hAnsi="Times New Roman" w:cs="Times New Roman"/>
        </w:rPr>
        <w:t>á</w:t>
      </w:r>
      <w:r w:rsidR="003058CE" w:rsidRPr="003058CE">
        <w:rPr>
          <w:rFonts w:ascii="Times New Roman" w:eastAsia="Times New Roman" w:hAnsi="Times New Roman" w:cs="Times New Roman"/>
        </w:rPr>
        <w:t>cticas</w:t>
      </w:r>
      <w:r w:rsidRPr="003058CE">
        <w:rPr>
          <w:rFonts w:ascii="Times New Roman" w:eastAsia="Times New Roman" w:hAnsi="Times New Roman" w:cs="Times New Roman"/>
        </w:rPr>
        <w:t xml:space="preserve"> cotidianas, en su momento </w:t>
      </w:r>
      <w:r w:rsidR="003058CE" w:rsidRPr="003058CE">
        <w:rPr>
          <w:rFonts w:ascii="Times New Roman" w:eastAsia="Times New Roman" w:hAnsi="Times New Roman" w:cs="Times New Roman"/>
        </w:rPr>
        <w:t>más</w:t>
      </w:r>
      <w:r w:rsidRPr="003058CE">
        <w:rPr>
          <w:rFonts w:ascii="Times New Roman" w:eastAsia="Times New Roman" w:hAnsi="Times New Roman" w:cs="Times New Roman"/>
        </w:rPr>
        <w:t xml:space="preserve"> desarrollado funda un tipo particular de Estado.</w:t>
      </w:r>
      <w:r w:rsidRPr="003058CE">
        <w:rPr>
          <w:rFonts w:ascii="Times New Roman" w:eastAsia="Times New Roman" w:hAnsi="Times New Roman" w:cs="Times New Roman"/>
        </w:rPr>
        <w:t xml:space="preserve"> Es así como el concepto de hegemonía no puede entenderse si no se comprende a la ideología como una concepción del mundo que se manifiesta en todas las esferas de la vida. En otras palabras, podemos entender a la hegemonía como una construcción expansiva </w:t>
      </w:r>
      <w:r w:rsidRPr="003058CE">
        <w:rPr>
          <w:rFonts w:ascii="Times New Roman" w:eastAsia="Times New Roman" w:hAnsi="Times New Roman" w:cs="Times New Roman"/>
        </w:rPr>
        <w:t xml:space="preserve">que inhibe cualquier capacidad de </w:t>
      </w:r>
      <w:r w:rsidR="003058CE" w:rsidRPr="003058CE">
        <w:rPr>
          <w:rFonts w:ascii="Times New Roman" w:eastAsia="Times New Roman" w:hAnsi="Times New Roman" w:cs="Times New Roman"/>
        </w:rPr>
        <w:t>alternativa.</w:t>
      </w:r>
      <w:r w:rsidRPr="003058CE">
        <w:rPr>
          <w:rFonts w:ascii="Times New Roman" w:eastAsia="Times New Roman" w:hAnsi="Times New Roman" w:cs="Times New Roman"/>
        </w:rPr>
        <w:t xml:space="preserve"> Este concepto será central a la hora de analizar la discursiva dominante respecto del castigo y las victimas del Estado penal, que ya desde hace tiempo es </w:t>
      </w:r>
      <w:r w:rsidR="003058CE" w:rsidRPr="003058CE">
        <w:rPr>
          <w:rFonts w:ascii="Times New Roman" w:eastAsia="Times New Roman" w:hAnsi="Times New Roman" w:cs="Times New Roman"/>
        </w:rPr>
        <w:t>cuestionada</w:t>
      </w:r>
      <w:r w:rsidRPr="003058CE">
        <w:rPr>
          <w:rFonts w:ascii="Times New Roman" w:eastAsia="Times New Roman" w:hAnsi="Times New Roman" w:cs="Times New Roman"/>
        </w:rPr>
        <w:t xml:space="preserve"> sin por ello ser objeto de modificación al</w:t>
      </w:r>
      <w:r w:rsidRPr="003058CE">
        <w:rPr>
          <w:rFonts w:ascii="Times New Roman" w:eastAsia="Times New Roman" w:hAnsi="Times New Roman" w:cs="Times New Roman"/>
        </w:rPr>
        <w:t>guna.</w:t>
      </w:r>
    </w:p>
    <w:p w14:paraId="00000014" w14:textId="69F00995"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Por otro lado, analizaremos las relaciones entre las diferentes posiciones sociales a partir del concepto bourdieuano de “espacio social”, mediante el cual podemos representar las posiciones relativas ocupadas por los individuos, distribuidas en un e</w:t>
      </w:r>
      <w:r w:rsidRPr="003058CE">
        <w:rPr>
          <w:rFonts w:ascii="Times New Roman" w:eastAsia="Times New Roman" w:hAnsi="Times New Roman" w:cs="Times New Roman"/>
        </w:rPr>
        <w:t>spacio pluridimensional, mediante cuatro tipos de capital: el capital económico, el capital cultural, el capital social y el capital simbólico (Bourdieu, 2001). La distribución de los distintos tipos de capital es lo que configura la estructura del espacio</w:t>
      </w:r>
      <w:r w:rsidRPr="003058CE">
        <w:rPr>
          <w:rFonts w:ascii="Times New Roman" w:eastAsia="Times New Roman" w:hAnsi="Times New Roman" w:cs="Times New Roman"/>
        </w:rPr>
        <w:t xml:space="preserve"> social y determina las oportunidades de vida de los agentes sociales. El capital </w:t>
      </w:r>
      <w:r w:rsidR="003058CE" w:rsidRPr="003058CE">
        <w:rPr>
          <w:rFonts w:ascii="Times New Roman" w:eastAsia="Times New Roman" w:hAnsi="Times New Roman" w:cs="Times New Roman"/>
        </w:rPr>
        <w:t>simbólico, concepto</w:t>
      </w:r>
      <w:r w:rsidRPr="003058CE">
        <w:rPr>
          <w:rFonts w:ascii="Times New Roman" w:eastAsia="Times New Roman" w:hAnsi="Times New Roman" w:cs="Times New Roman"/>
        </w:rPr>
        <w:t xml:space="preserve"> crucial, </w:t>
      </w:r>
      <w:r w:rsidR="003058CE" w:rsidRPr="003058CE">
        <w:rPr>
          <w:rFonts w:ascii="Times New Roman" w:eastAsia="Times New Roman" w:hAnsi="Times New Roman" w:cs="Times New Roman"/>
        </w:rPr>
        <w:t>íntimamente</w:t>
      </w:r>
      <w:r w:rsidRPr="003058CE">
        <w:rPr>
          <w:rFonts w:ascii="Times New Roman" w:eastAsia="Times New Roman" w:hAnsi="Times New Roman" w:cs="Times New Roman"/>
        </w:rPr>
        <w:t xml:space="preserve"> ligado a la noción de habitus, tiene su origen en el conocimiento y reconocimiento de los demás tipos de capital por parte de los ag</w:t>
      </w:r>
      <w:r w:rsidRPr="003058CE">
        <w:rPr>
          <w:rFonts w:ascii="Times New Roman" w:eastAsia="Times New Roman" w:hAnsi="Times New Roman" w:cs="Times New Roman"/>
        </w:rPr>
        <w:t>entes sociales que disponen de determinadas categorías de percepción y de valoración. En otras palabras, el capital simbólico expresa el peso de los diferentes agentes en cualquier campo, esto es, el reconocimiento que reciben en el mismo. En consecuencia,</w:t>
      </w:r>
      <w:r w:rsidRPr="003058CE">
        <w:rPr>
          <w:rFonts w:ascii="Times New Roman" w:eastAsia="Times New Roman" w:hAnsi="Times New Roman" w:cs="Times New Roman"/>
        </w:rPr>
        <w:t xml:space="preserve"> la distribución diferencial del capital simbólico es el </w:t>
      </w:r>
      <w:r w:rsidRPr="003058CE">
        <w:rPr>
          <w:rFonts w:ascii="Times New Roman" w:eastAsia="Times New Roman" w:hAnsi="Times New Roman" w:cs="Times New Roman"/>
        </w:rPr>
        <w:lastRenderedPageBreak/>
        <w:t>lugar donde surge el proceso de estigmatización como constitución y mediación social de las clases subordinadas de la sociedad.</w:t>
      </w:r>
    </w:p>
    <w:p w14:paraId="00000015" w14:textId="4E837A92"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Si bien en cualquier distribución de capital el Estado ocupa un rol pre</w:t>
      </w:r>
      <w:r w:rsidRPr="003058CE">
        <w:rPr>
          <w:rFonts w:ascii="Times New Roman" w:eastAsia="Times New Roman" w:hAnsi="Times New Roman" w:cs="Times New Roman"/>
        </w:rPr>
        <w:t>ponderante, es desde el punto de vista del capital simbólico donde su papel pasa a adquirir características sumamente relevantes. Siendo el agente social con mayor concentración de poder de clasificación, codificación y nominación, ergo, siendo el detentad</w:t>
      </w:r>
      <w:r w:rsidRPr="003058CE">
        <w:rPr>
          <w:rFonts w:ascii="Times New Roman" w:eastAsia="Times New Roman" w:hAnsi="Times New Roman" w:cs="Times New Roman"/>
        </w:rPr>
        <w:t xml:space="preserve">or del monopolio de la violencia simbólica </w:t>
      </w:r>
      <w:r w:rsidR="003058CE" w:rsidRPr="003058CE">
        <w:rPr>
          <w:rFonts w:ascii="Times New Roman" w:eastAsia="Times New Roman" w:hAnsi="Times New Roman" w:cs="Times New Roman"/>
        </w:rPr>
        <w:t>legítima, la</w:t>
      </w:r>
      <w:r w:rsidRPr="003058CE">
        <w:rPr>
          <w:rFonts w:ascii="Times New Roman" w:eastAsia="Times New Roman" w:hAnsi="Times New Roman" w:cs="Times New Roman"/>
        </w:rPr>
        <w:t xml:space="preserve"> acción u omisión estatal contribuye a producir sentido común en los sujetos subordinados al mismo. El campo burocrático, y su atención en la distribución de los bienes públicos, permite vincular la p</w:t>
      </w:r>
      <w:r w:rsidRPr="003058CE">
        <w:rPr>
          <w:rFonts w:ascii="Times New Roman" w:eastAsia="Times New Roman" w:hAnsi="Times New Roman" w:cs="Times New Roman"/>
        </w:rPr>
        <w:t xml:space="preserve">olítica social y la penal reconstituyendo su evolución convergente como el producto de luchas sobre y al interior del estado, contraponiendo su polo protector y su polo disciplinario sobre la definición y tratamiento de los problemas sociales. </w:t>
      </w:r>
    </w:p>
    <w:p w14:paraId="00000016"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A partir de</w:t>
      </w:r>
      <w:r w:rsidRPr="003058CE">
        <w:rPr>
          <w:rFonts w:ascii="Times New Roman" w:eastAsia="Times New Roman" w:hAnsi="Times New Roman" w:cs="Times New Roman"/>
        </w:rPr>
        <w:t xml:space="preserve"> estas definiciones, nos proponemos identificar a grandes rasgos la evolución de la cuestión social y la definición de las poblaciones objetivo que se demarcan mediante la acción estatal sobre las mismas. Seguiremos para ello la delimitación de tres períod</w:t>
      </w:r>
      <w:r w:rsidRPr="003058CE">
        <w:rPr>
          <w:rFonts w:ascii="Times New Roman" w:eastAsia="Times New Roman" w:hAnsi="Times New Roman" w:cs="Times New Roman"/>
        </w:rPr>
        <w:t>os propuesta por Foucault (2007) a través del análisis de la tecnología dominante en cada uno de ellos, entendida como los procedimientos mediante los cuales las relaciones de poder se articulan en una sociedad determinada.</w:t>
      </w:r>
    </w:p>
    <w:p w14:paraId="00000017" w14:textId="77777777" w:rsidR="00B34CA7" w:rsidRPr="003058CE" w:rsidRDefault="00B34CA7"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p>
    <w:p w14:paraId="00000018" w14:textId="77777777" w:rsidR="00B34CA7" w:rsidRPr="003058CE" w:rsidRDefault="00F14A16" w:rsidP="003058CE">
      <w:pPr>
        <w:pBdr>
          <w:top w:val="nil"/>
          <w:left w:val="nil"/>
          <w:bottom w:val="nil"/>
          <w:right w:val="nil"/>
          <w:between w:val="nil"/>
        </w:pBdr>
        <w:spacing w:before="200" w:after="200" w:line="360" w:lineRule="auto"/>
        <w:jc w:val="both"/>
        <w:rPr>
          <w:rFonts w:ascii="Times New Roman" w:eastAsia="Times New Roman" w:hAnsi="Times New Roman" w:cs="Times New Roman"/>
          <w:b/>
        </w:rPr>
      </w:pPr>
      <w:r w:rsidRPr="003058CE">
        <w:rPr>
          <w:rFonts w:ascii="Times New Roman" w:eastAsia="Times New Roman" w:hAnsi="Times New Roman" w:cs="Times New Roman"/>
          <w:b/>
        </w:rPr>
        <w:t>EL DEVENIR DE LA CUESTIÓN SOCIA</w:t>
      </w:r>
      <w:r w:rsidRPr="003058CE">
        <w:rPr>
          <w:rFonts w:ascii="Times New Roman" w:eastAsia="Times New Roman" w:hAnsi="Times New Roman" w:cs="Times New Roman"/>
          <w:b/>
        </w:rPr>
        <w:t>L:</w:t>
      </w:r>
    </w:p>
    <w:p w14:paraId="00000019"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Los siglos XVI y XVII enmarcan el período denominado “Razón de Estado”, en el cual las sociedades de soberanía, funcionales al orden económico feudal, focalizan sus procedimientos en la ley como tecnología dominante. </w:t>
      </w:r>
    </w:p>
    <w:p w14:paraId="0000001A" w14:textId="5B55DE2B"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Consecuentemente con este orden, el</w:t>
      </w:r>
      <w:r w:rsidRPr="003058CE">
        <w:rPr>
          <w:rFonts w:ascii="Times New Roman" w:eastAsia="Times New Roman" w:hAnsi="Times New Roman" w:cs="Times New Roman"/>
        </w:rPr>
        <w:t xml:space="preserve"> desarrollo de la economía europea fue produciendo una miseria sin precedentes que, conjugada con la necesidad de crear un mercado libre de mano de obra, encadenaron la evolución inicial del capitalismo a la depauperación (</w:t>
      </w:r>
      <w:proofErr w:type="spellStart"/>
      <w:r w:rsidRPr="003058CE">
        <w:rPr>
          <w:rFonts w:ascii="Times New Roman" w:eastAsia="Times New Roman" w:hAnsi="Times New Roman" w:cs="Times New Roman"/>
        </w:rPr>
        <w:t>Geremek</w:t>
      </w:r>
      <w:proofErr w:type="spellEnd"/>
      <w:r w:rsidRPr="003058CE">
        <w:rPr>
          <w:rFonts w:ascii="Times New Roman" w:eastAsia="Times New Roman" w:hAnsi="Times New Roman" w:cs="Times New Roman"/>
        </w:rPr>
        <w:t xml:space="preserve">, 1989). En este sentido, </w:t>
      </w:r>
      <w:r w:rsidR="003058CE" w:rsidRPr="003058CE">
        <w:rPr>
          <w:rFonts w:ascii="Times New Roman" w:eastAsia="Times New Roman" w:hAnsi="Times New Roman" w:cs="Times New Roman"/>
        </w:rPr>
        <w:t>la incapacidad de las ciudades de crear estructuras de adaptación frente a un aflujo masivo de personas sin cualificaciones profesionales dio</w:t>
      </w:r>
      <w:r w:rsidRPr="003058CE">
        <w:rPr>
          <w:rFonts w:ascii="Times New Roman" w:eastAsia="Times New Roman" w:hAnsi="Times New Roman" w:cs="Times New Roman"/>
        </w:rPr>
        <w:t xml:space="preserve"> lugar al pauperismo como un fenómeno urbano. </w:t>
      </w:r>
    </w:p>
    <w:p w14:paraId="0000001B" w14:textId="0B6BCF5A"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color w:val="FF0000"/>
        </w:rPr>
      </w:pPr>
      <w:r w:rsidRPr="003058CE">
        <w:rPr>
          <w:rFonts w:ascii="Times New Roman" w:eastAsia="Times New Roman" w:hAnsi="Times New Roman" w:cs="Times New Roman"/>
        </w:rPr>
        <w:lastRenderedPageBreak/>
        <w:t>Frente a este conflicto, la anatomopolítica del cuerpo humano estableció una serie de procedimientos de poder que procuraron amoldar al sujeto para que responda como hábito a determinadas actividades en la búsqueda de una mayor productividad. La ley, en ta</w:t>
      </w:r>
      <w:r w:rsidRPr="003058CE">
        <w:rPr>
          <w:rFonts w:ascii="Times New Roman" w:eastAsia="Times New Roman" w:hAnsi="Times New Roman" w:cs="Times New Roman"/>
        </w:rPr>
        <w:t xml:space="preserve">nto tecnología dominante, enmarcaba el poder soberano de hacer morir o dejar vivir, quedando la regulación del vivir o del morir del sujeto a expensas de la voluntad soberana. El edicto imperial de 1531 fue un ejemplo clásico de la intervención estatal en </w:t>
      </w:r>
      <w:r w:rsidRPr="003058CE">
        <w:rPr>
          <w:rFonts w:ascii="Times New Roman" w:eastAsia="Times New Roman" w:hAnsi="Times New Roman" w:cs="Times New Roman"/>
        </w:rPr>
        <w:t>el campo de la asistencia social, distinguiendo entre los pobres legítimos constituidos por los inválidos, de los falsos pobres - o pobres vergonzantes</w:t>
      </w:r>
      <w:r w:rsidR="003058CE" w:rsidRPr="003058CE">
        <w:rPr>
          <w:rFonts w:ascii="Times New Roman" w:eastAsia="Times New Roman" w:hAnsi="Times New Roman" w:cs="Times New Roman"/>
        </w:rPr>
        <w:t>- que</w:t>
      </w:r>
      <w:r w:rsidRPr="003058CE">
        <w:rPr>
          <w:rFonts w:ascii="Times New Roman" w:eastAsia="Times New Roman" w:hAnsi="Times New Roman" w:cs="Times New Roman"/>
        </w:rPr>
        <w:t xml:space="preserve"> debían ser arrestados y castigados mediante el azote y el servicio en las galeras, entre otras pen</w:t>
      </w:r>
      <w:r w:rsidRPr="003058CE">
        <w:rPr>
          <w:rFonts w:ascii="Times New Roman" w:eastAsia="Times New Roman" w:hAnsi="Times New Roman" w:cs="Times New Roman"/>
        </w:rPr>
        <w:t>as. En efecto, la licencia de mendicidad se acreditaba, otorgaba y regulaba por ley, tras un examen de la persona.</w:t>
      </w:r>
    </w:p>
    <w:p w14:paraId="0000001C" w14:textId="0C879E9E"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Podemos ver ya a partir de aquí una obstaculización a la construcción de los sujetos ubicados en la escala social más baja, en tanto su vincu</w:t>
      </w:r>
      <w:r w:rsidRPr="003058CE">
        <w:rPr>
          <w:rFonts w:ascii="Times New Roman" w:eastAsia="Times New Roman" w:hAnsi="Times New Roman" w:cs="Times New Roman"/>
        </w:rPr>
        <w:t>lación con las malas costumbres ejercían medidas de exclusión y reproducción de la desigualdad alimentando construcciones negativas en torno a estos sujetos, criminalizando así la pobreza. De hecho, desde los inicios de la penalidad, ésta se basó en la san</w:t>
      </w:r>
      <w:r w:rsidRPr="003058CE">
        <w:rPr>
          <w:rFonts w:ascii="Times New Roman" w:eastAsia="Times New Roman" w:hAnsi="Times New Roman" w:cs="Times New Roman"/>
        </w:rPr>
        <w:t xml:space="preserve">ción del </w:t>
      </w:r>
      <w:r w:rsidR="003058CE" w:rsidRPr="003058CE">
        <w:rPr>
          <w:rFonts w:ascii="Times New Roman" w:eastAsia="Times New Roman" w:hAnsi="Times New Roman" w:cs="Times New Roman"/>
        </w:rPr>
        <w:t>individuo</w:t>
      </w:r>
      <w:r w:rsidRPr="003058CE">
        <w:rPr>
          <w:rFonts w:ascii="Times New Roman" w:eastAsia="Times New Roman" w:hAnsi="Times New Roman" w:cs="Times New Roman"/>
        </w:rPr>
        <w:t xml:space="preserve"> considerado desviado, peligroso. </w:t>
      </w:r>
      <w:r w:rsidR="003058CE" w:rsidRPr="003058CE">
        <w:rPr>
          <w:rFonts w:ascii="Times New Roman" w:eastAsia="Times New Roman" w:hAnsi="Times New Roman" w:cs="Times New Roman"/>
        </w:rPr>
        <w:t>Todos los castigos establecidos</w:t>
      </w:r>
      <w:r w:rsidRPr="003058CE">
        <w:rPr>
          <w:rFonts w:ascii="Times New Roman" w:eastAsia="Times New Roman" w:hAnsi="Times New Roman" w:cs="Times New Roman"/>
        </w:rPr>
        <w:t>, como el de muerte, destierro, trabajo forzoso, entre otras, radicaban en la sanción a la desviación.</w:t>
      </w:r>
      <w:r w:rsidRPr="003058CE">
        <w:rPr>
          <w:rFonts w:ascii="Times New Roman" w:eastAsia="Times New Roman" w:hAnsi="Times New Roman" w:cs="Times New Roman"/>
          <w:color w:val="FF0000"/>
        </w:rPr>
        <w:t xml:space="preserve"> </w:t>
      </w:r>
      <w:r w:rsidRPr="003058CE">
        <w:rPr>
          <w:rFonts w:ascii="Times New Roman" w:eastAsia="Times New Roman" w:hAnsi="Times New Roman" w:cs="Times New Roman"/>
        </w:rPr>
        <w:t>Para ello, el mandato de la policía se basó en el “buen orden” (Mark N</w:t>
      </w:r>
      <w:r w:rsidRPr="003058CE">
        <w:rPr>
          <w:rFonts w:ascii="Times New Roman" w:eastAsia="Times New Roman" w:hAnsi="Times New Roman" w:cs="Times New Roman"/>
        </w:rPr>
        <w:t xml:space="preserve">eocleous, 2010). El núcleo del proyecto policial, su razón de ser, estaba conformado por la cuestión de la pobreza </w:t>
      </w:r>
      <w:r w:rsidR="003058CE" w:rsidRPr="003058CE">
        <w:rPr>
          <w:rFonts w:ascii="Times New Roman" w:eastAsia="Times New Roman" w:hAnsi="Times New Roman" w:cs="Times New Roman"/>
        </w:rPr>
        <w:t>y,</w:t>
      </w:r>
      <w:r w:rsidRPr="003058CE">
        <w:rPr>
          <w:rFonts w:ascii="Times New Roman" w:eastAsia="Times New Roman" w:hAnsi="Times New Roman" w:cs="Times New Roman"/>
        </w:rPr>
        <w:t xml:space="preserve"> en consecuencia, con la condición de la clase de los pobres. Podemos interpretar el concepto de policía como policía social, en tanto parte</w:t>
      </w:r>
      <w:r w:rsidRPr="003058CE">
        <w:rPr>
          <w:rFonts w:ascii="Times New Roman" w:eastAsia="Times New Roman" w:hAnsi="Times New Roman" w:cs="Times New Roman"/>
        </w:rPr>
        <w:t xml:space="preserve"> de un proyecto de seguridad social que ha sido central para la fabricación del orden mismo como consolidación del poder social del capital y la forma del salario. En otras palabras, la misión de la policía fue la de crear un orden de trabajo asalariado y </w:t>
      </w:r>
      <w:r w:rsidRPr="003058CE">
        <w:rPr>
          <w:rFonts w:ascii="Times New Roman" w:eastAsia="Times New Roman" w:hAnsi="Times New Roman" w:cs="Times New Roman"/>
        </w:rPr>
        <w:t xml:space="preserve">administrar la clase de la pobreza. </w:t>
      </w:r>
    </w:p>
    <w:p w14:paraId="0000001D"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Si bien en su primera etapa las medidas contra el vagabundeo y la mendicidad fueron meramente punitivas, en su segunda etapa se volvieron más activamente intervencionistas y positivas ya que buscaban movilizar los recur</w:t>
      </w:r>
      <w:r w:rsidRPr="003058CE">
        <w:rPr>
          <w:rFonts w:ascii="Times New Roman" w:eastAsia="Times New Roman" w:hAnsi="Times New Roman" w:cs="Times New Roman"/>
        </w:rPr>
        <w:t>sos que poseían los vagabundos. El control de los pobres se inclinó cada vez más hacia las instituciones de confinamiento en toda Europa, en donde se los podía poner a trabajar. En este orden de ideas, la centralización de los hospitales y de la asistencia</w:t>
      </w:r>
      <w:r w:rsidRPr="003058CE">
        <w:rPr>
          <w:rFonts w:ascii="Times New Roman" w:eastAsia="Times New Roman" w:hAnsi="Times New Roman" w:cs="Times New Roman"/>
        </w:rPr>
        <w:t xml:space="preserve"> a los pobres junto con el reclutamiento forzoso de la mano de obra están vinculados a una afirmación del ethos del trabajo en el camino del desarrollo capitalista y, a la vez, a la evolución </w:t>
      </w:r>
      <w:r w:rsidRPr="003058CE">
        <w:rPr>
          <w:rFonts w:ascii="Times New Roman" w:eastAsia="Times New Roman" w:hAnsi="Times New Roman" w:cs="Times New Roman"/>
        </w:rPr>
        <w:lastRenderedPageBreak/>
        <w:t>de la doctrina penal moderna. La privación de la libertad y el t</w:t>
      </w:r>
      <w:r w:rsidRPr="003058CE">
        <w:rPr>
          <w:rFonts w:ascii="Times New Roman" w:eastAsia="Times New Roman" w:hAnsi="Times New Roman" w:cs="Times New Roman"/>
        </w:rPr>
        <w:t>rabajo coactivo se conjugaron en la política socializante, considerando el trabajo como el principal instrumento de adaptación de los pobres a las exigencias de la vida social. El carácter manifiestamente penitenciario del Hospital General fue uno de los m</w:t>
      </w:r>
      <w:r w:rsidRPr="003058CE">
        <w:rPr>
          <w:rFonts w:ascii="Times New Roman" w:eastAsia="Times New Roman" w:hAnsi="Times New Roman" w:cs="Times New Roman"/>
        </w:rPr>
        <w:t>ayores ejemplos del carácter represivo que asumió la asistencia social como función ideológica, unificando la cárcel y la manufactura y vislumbrando su conexión con la fábrica moderna, mediante su organización y normas de disciplina imperantes.</w:t>
      </w:r>
    </w:p>
    <w:p w14:paraId="0000001E" w14:textId="38FF4BEE"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b/>
        </w:rPr>
      </w:pPr>
      <w:r w:rsidRPr="003058CE">
        <w:rPr>
          <w:rFonts w:ascii="Times New Roman" w:eastAsia="Times New Roman" w:hAnsi="Times New Roman" w:cs="Times New Roman"/>
        </w:rPr>
        <w:t>El ejercici</w:t>
      </w:r>
      <w:r w:rsidRPr="003058CE">
        <w:rPr>
          <w:rFonts w:ascii="Times New Roman" w:eastAsia="Times New Roman" w:hAnsi="Times New Roman" w:cs="Times New Roman"/>
        </w:rPr>
        <w:t xml:space="preserve">o del poder, desplazándose más allá del individuo, construyó una nueva tecnología que lo atravesó </w:t>
      </w:r>
      <w:r w:rsidR="003058CE" w:rsidRPr="003058CE">
        <w:rPr>
          <w:rFonts w:ascii="Times New Roman" w:eastAsia="Times New Roman" w:hAnsi="Times New Roman" w:cs="Times New Roman"/>
        </w:rPr>
        <w:t>desplazándose</w:t>
      </w:r>
      <w:r w:rsidRPr="003058CE">
        <w:rPr>
          <w:rFonts w:ascii="Times New Roman" w:eastAsia="Times New Roman" w:hAnsi="Times New Roman" w:cs="Times New Roman"/>
        </w:rPr>
        <w:t xml:space="preserve"> al poder de hacer vivir o dejar morir. Es a partir del siglo XVIII cuando se comienzan a superponer dos tecnologías: una disciplinaria, centrada</w:t>
      </w:r>
      <w:r w:rsidRPr="003058CE">
        <w:rPr>
          <w:rFonts w:ascii="Times New Roman" w:eastAsia="Times New Roman" w:hAnsi="Times New Roman" w:cs="Times New Roman"/>
        </w:rPr>
        <w:t xml:space="preserve"> en los cuerpos, que produce sujetos dóciles y útiles; y una biopolítica que opera sobre la población en su conjunto buscando controlar los acontecimientos de las masas, regulándolas.</w:t>
      </w:r>
    </w:p>
    <w:p w14:paraId="0000001F" w14:textId="600A082B"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color w:val="FF0000"/>
        </w:rPr>
      </w:pPr>
      <w:r w:rsidRPr="003058CE">
        <w:rPr>
          <w:rFonts w:ascii="Times New Roman" w:eastAsia="Times New Roman" w:hAnsi="Times New Roman" w:cs="Times New Roman"/>
        </w:rPr>
        <w:t>A lo largo de los siglos XVIII y XIX y principios del siglo XX se produc</w:t>
      </w:r>
      <w:r w:rsidRPr="003058CE">
        <w:rPr>
          <w:rFonts w:ascii="Times New Roman" w:eastAsia="Times New Roman" w:hAnsi="Times New Roman" w:cs="Times New Roman"/>
        </w:rPr>
        <w:t>e entonces un cambio sustancial en la política social y comienza una segunda etapa definida por Foucault (2006) como “el arte de gobierno liberal”, en la cual se desarrolla la sociedad disciplinaria, siendo la disciplina un tipo de poder que maximiza la fu</w:t>
      </w:r>
      <w:r w:rsidRPr="003058CE">
        <w:rPr>
          <w:rFonts w:ascii="Times New Roman" w:eastAsia="Times New Roman" w:hAnsi="Times New Roman" w:cs="Times New Roman"/>
        </w:rPr>
        <w:t>erza productiva en un sentido amplio y minimiza, de igual modo, la capacidad política. En un contexto en el cual la clase obrera ya está constituida, estas sociedades proceden a la organización de los grandes espacios de encierro. El poder sobre la vida se</w:t>
      </w:r>
      <w:r w:rsidRPr="003058CE">
        <w:rPr>
          <w:rFonts w:ascii="Times New Roman" w:eastAsia="Times New Roman" w:hAnsi="Times New Roman" w:cs="Times New Roman"/>
        </w:rPr>
        <w:t xml:space="preserve"> desarrolló centrándose en el cuerpo-especie, dando lugar a una serie de intervenciones y controles reguladores: una biopolítica de la población, cuya más alta función no es ya matar sino invadir la vida enteramente, es </w:t>
      </w:r>
      <w:r w:rsidR="003058CE" w:rsidRPr="003058CE">
        <w:rPr>
          <w:rFonts w:ascii="Times New Roman" w:eastAsia="Times New Roman" w:hAnsi="Times New Roman" w:cs="Times New Roman"/>
        </w:rPr>
        <w:t>decir, la</w:t>
      </w:r>
      <w:r w:rsidRPr="003058CE">
        <w:rPr>
          <w:rFonts w:ascii="Times New Roman" w:eastAsia="Times New Roman" w:hAnsi="Times New Roman" w:cs="Times New Roman"/>
        </w:rPr>
        <w:t xml:space="preserve"> administración de los cue</w:t>
      </w:r>
      <w:r w:rsidRPr="003058CE">
        <w:rPr>
          <w:rFonts w:ascii="Times New Roman" w:eastAsia="Times New Roman" w:hAnsi="Times New Roman" w:cs="Times New Roman"/>
        </w:rPr>
        <w:t xml:space="preserve">rpos y la gestión calculadora de la vida fue dando lugar al biopoder. </w:t>
      </w:r>
    </w:p>
    <w:p w14:paraId="00000020"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b/>
        </w:rPr>
      </w:pPr>
      <w:r w:rsidRPr="003058CE">
        <w:rPr>
          <w:rFonts w:ascii="Times New Roman" w:eastAsia="Times New Roman" w:hAnsi="Times New Roman" w:cs="Times New Roman"/>
        </w:rPr>
        <w:t>Continuando con esta línea argumentativa, Mark Neocleous (2010) expresa que el liberalismo transformó el ejercicio del poder y del dominio pasando lentamente de la policía al capital, v</w:t>
      </w:r>
      <w:r w:rsidRPr="003058CE">
        <w:rPr>
          <w:rFonts w:ascii="Times New Roman" w:eastAsia="Times New Roman" w:hAnsi="Times New Roman" w:cs="Times New Roman"/>
        </w:rPr>
        <w:t>olcándose en una lógica disciplinaria del mercado y relegando la policía a la cuestión de la seguridad, una técnica liberal de seguridad. En efecto, la clave para reducir el delito era evitar que la clase afectada por la pobreza caiga en el pauperismo, sep</w:t>
      </w:r>
      <w:r w:rsidRPr="003058CE">
        <w:rPr>
          <w:rFonts w:ascii="Times New Roman" w:eastAsia="Times New Roman" w:hAnsi="Times New Roman" w:cs="Times New Roman"/>
        </w:rPr>
        <w:t xml:space="preserve">arando la clase de los delincuentes de la clase de los pobres respetables, enmarcando un modelo industrial-fabril de control social fuertemente proactivo y estructurado en la visión de normalización por la vía de la proletarización material y simbólica de </w:t>
      </w:r>
      <w:r w:rsidRPr="003058CE">
        <w:rPr>
          <w:rFonts w:ascii="Times New Roman" w:eastAsia="Times New Roman" w:hAnsi="Times New Roman" w:cs="Times New Roman"/>
        </w:rPr>
        <w:t xml:space="preserve">las clases desposeídas. </w:t>
      </w:r>
    </w:p>
    <w:p w14:paraId="00000021" w14:textId="17B19488"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lastRenderedPageBreak/>
        <w:t>En el marco de la era post-fordista, a partir del siglo XX y a lo largo del siglo XXI la pretensión tutelar del poder mutó a una conminación a la responsabilización individual y colectiva, reemplazando a las sociedades disciplinari</w:t>
      </w:r>
      <w:r w:rsidRPr="003058CE">
        <w:rPr>
          <w:rFonts w:ascii="Times New Roman" w:eastAsia="Times New Roman" w:hAnsi="Times New Roman" w:cs="Times New Roman"/>
        </w:rPr>
        <w:t>as por las sociedades de control propias del neoliberalismo, dando lugar a un segundo gran internamiento urbano, penal y global. Es aquí cuando el discurso dominante comienza a justificar ya no la producción de cuerpos dóciles, sino más bien el castigo vio</w:t>
      </w:r>
      <w:r w:rsidRPr="003058CE">
        <w:rPr>
          <w:rFonts w:ascii="Times New Roman" w:eastAsia="Times New Roman" w:hAnsi="Times New Roman" w:cs="Times New Roman"/>
        </w:rPr>
        <w:t>lento y maquinal izando la bandera de la seguridad y la responsabilidad individual. En este sentido, y siguiendo a Wacquant (2011), entendemos al neoliberalismo no como una concepción económica sino como un proyecto político transnacional que articula la d</w:t>
      </w:r>
      <w:r w:rsidRPr="003058CE">
        <w:rPr>
          <w:rFonts w:ascii="Times New Roman" w:eastAsia="Times New Roman" w:hAnsi="Times New Roman" w:cs="Times New Roman"/>
        </w:rPr>
        <w:t xml:space="preserve">esregulación económica, la descentralización y recomposición del Estado de bienestar, el tropo cultural de la responsabilidad individual y un aparato penal expansivo, </w:t>
      </w:r>
      <w:r w:rsidR="003058CE" w:rsidRPr="003058CE">
        <w:rPr>
          <w:rFonts w:ascii="Times New Roman" w:eastAsia="Times New Roman" w:hAnsi="Times New Roman" w:cs="Times New Roman"/>
        </w:rPr>
        <w:t>intrusivo</w:t>
      </w:r>
      <w:r w:rsidRPr="003058CE">
        <w:rPr>
          <w:rFonts w:ascii="Times New Roman" w:eastAsia="Times New Roman" w:hAnsi="Times New Roman" w:cs="Times New Roman"/>
        </w:rPr>
        <w:t xml:space="preserve"> y proactivo. En otras palabras, el autor nos permite repensar el concepto de n</w:t>
      </w:r>
      <w:r w:rsidRPr="003058CE">
        <w:rPr>
          <w:rFonts w:ascii="Times New Roman" w:eastAsia="Times New Roman" w:hAnsi="Times New Roman" w:cs="Times New Roman"/>
        </w:rPr>
        <w:t>eoliberalismo, expandiendo su definición del mero imperio del mercado, para abarcar los medios institucionales requeridos para poner en pie ese imperio: una política social disciplinaria y una expansión del sistema penal, ligados mediante una fundamentació</w:t>
      </w:r>
      <w:r w:rsidRPr="003058CE">
        <w:rPr>
          <w:rFonts w:ascii="Times New Roman" w:eastAsia="Times New Roman" w:hAnsi="Times New Roman" w:cs="Times New Roman"/>
        </w:rPr>
        <w:t xml:space="preserve">n de la responsabilidad individual. </w:t>
      </w:r>
    </w:p>
    <w:p w14:paraId="00000022" w14:textId="77777777" w:rsidR="00B34CA7" w:rsidRPr="003058CE" w:rsidRDefault="00F14A16" w:rsidP="003058CE">
      <w:pP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En este contexto, la precarización socio-laboral, la pauperización, su inscripción territorial de tipo segregativo y la expansión de los alcances del encarcelamiento penal que atraviesan a las clases más empobrecidas son aspectos interrelacionados en un pr</w:t>
      </w:r>
      <w:r w:rsidRPr="003058CE">
        <w:rPr>
          <w:rFonts w:ascii="Times New Roman" w:eastAsia="Times New Roman" w:hAnsi="Times New Roman" w:cs="Times New Roman"/>
        </w:rPr>
        <w:t xml:space="preserve">oceso de individuación negativa que contribuye a la producción y reproducción de mecanismos de dominación social. </w:t>
      </w:r>
    </w:p>
    <w:p w14:paraId="00000023"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 La producción de la conflictividad social en este contexto puede entenderse en tanto que su paradigma centra a la violencia como modo de tra</w:t>
      </w:r>
      <w:r w:rsidRPr="003058CE">
        <w:rPr>
          <w:rFonts w:ascii="Times New Roman" w:eastAsia="Times New Roman" w:hAnsi="Times New Roman" w:cs="Times New Roman"/>
        </w:rPr>
        <w:t>nsformación de la sociedad, dando fuerza a un sistema penal expandido y renovado que lleva a un crecimiento sostenido del encarcelamiento en una cárcel depósito. Relegada la cuestión tratamental, el centro de los objetivos se enfocó en la cuestión de la se</w:t>
      </w:r>
      <w:r w:rsidRPr="003058CE">
        <w:rPr>
          <w:rFonts w:ascii="Times New Roman" w:eastAsia="Times New Roman" w:hAnsi="Times New Roman" w:cs="Times New Roman"/>
        </w:rPr>
        <w:t xml:space="preserve">guridad, produciendo sujetos degradados, sumisos y subordinados, a partir de estereotipos fenotípicos y socioeconómicos. </w:t>
      </w:r>
    </w:p>
    <w:p w14:paraId="00000024" w14:textId="77777777" w:rsidR="00B34CA7" w:rsidRPr="003058CE" w:rsidRDefault="00F14A16" w:rsidP="003058CE">
      <w:pP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Este nuevo gobierno de la inseguridad social combina el workfare restrictivo, en tanto asistencia que enfatiza el mérito individual, c</w:t>
      </w:r>
      <w:r w:rsidRPr="003058CE">
        <w:rPr>
          <w:rFonts w:ascii="Times New Roman" w:eastAsia="Times New Roman" w:hAnsi="Times New Roman" w:cs="Times New Roman"/>
        </w:rPr>
        <w:t xml:space="preserve">on el prisonfare expansivo (Wacquant, 2010). En este sentido, el autor designa el entramado de políticas enfocadas en la activación del brazo judicial del Estado antes que en sus servicios sociales y humanos. </w:t>
      </w:r>
      <w:r w:rsidRPr="003058CE">
        <w:rPr>
          <w:rFonts w:ascii="Times New Roman" w:eastAsia="Times New Roman" w:hAnsi="Times New Roman" w:cs="Times New Roman"/>
          <w:color w:val="FF0000"/>
        </w:rPr>
        <w:t xml:space="preserve"> </w:t>
      </w:r>
      <w:r w:rsidRPr="003058CE">
        <w:rPr>
          <w:rFonts w:ascii="Times New Roman" w:eastAsia="Times New Roman" w:hAnsi="Times New Roman" w:cs="Times New Roman"/>
        </w:rPr>
        <w:t>Sin técnicas de normalización, sin un moldeami</w:t>
      </w:r>
      <w:r w:rsidRPr="003058CE">
        <w:rPr>
          <w:rFonts w:ascii="Times New Roman" w:eastAsia="Times New Roman" w:hAnsi="Times New Roman" w:cs="Times New Roman"/>
        </w:rPr>
        <w:t xml:space="preserve">ento de cuerpos dóciles y productivos, la prisión contemporánea apunta a la </w:t>
      </w:r>
      <w:r w:rsidRPr="003058CE">
        <w:rPr>
          <w:rFonts w:ascii="Times New Roman" w:eastAsia="Times New Roman" w:hAnsi="Times New Roman" w:cs="Times New Roman"/>
        </w:rPr>
        <w:lastRenderedPageBreak/>
        <w:t>neutralización bruta, al castigo maquinal y al simple almacenamiento de los habitantes de las zonas más bajas del espacio social y físico.</w:t>
      </w:r>
    </w:p>
    <w:p w14:paraId="00000025" w14:textId="77777777" w:rsidR="00B34CA7" w:rsidRPr="003058CE" w:rsidRDefault="00B34CA7" w:rsidP="003058CE">
      <w:pPr>
        <w:spacing w:before="200" w:after="200" w:line="360" w:lineRule="auto"/>
        <w:ind w:firstLine="720"/>
        <w:jc w:val="both"/>
        <w:rPr>
          <w:rFonts w:ascii="Times New Roman" w:eastAsia="Times New Roman" w:hAnsi="Times New Roman" w:cs="Times New Roman"/>
        </w:rPr>
      </w:pPr>
    </w:p>
    <w:p w14:paraId="00000026" w14:textId="77777777" w:rsidR="00B34CA7" w:rsidRPr="003058CE" w:rsidRDefault="00F14A16" w:rsidP="003058CE">
      <w:pPr>
        <w:pBdr>
          <w:top w:val="nil"/>
          <w:left w:val="nil"/>
          <w:bottom w:val="nil"/>
          <w:right w:val="nil"/>
          <w:between w:val="nil"/>
        </w:pBdr>
        <w:spacing w:before="200" w:after="200" w:line="360" w:lineRule="auto"/>
        <w:jc w:val="both"/>
        <w:rPr>
          <w:rFonts w:ascii="Times New Roman" w:eastAsia="Times New Roman" w:hAnsi="Times New Roman" w:cs="Times New Roman"/>
          <w:b/>
        </w:rPr>
      </w:pPr>
      <w:r w:rsidRPr="003058CE">
        <w:rPr>
          <w:rFonts w:ascii="Times New Roman" w:eastAsia="Times New Roman" w:hAnsi="Times New Roman" w:cs="Times New Roman"/>
          <w:b/>
        </w:rPr>
        <w:t>LA CUESTIÓN SOCIAL EN PLENO SIGLO XXI:</w:t>
      </w:r>
    </w:p>
    <w:p w14:paraId="00000027"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A</w:t>
      </w:r>
      <w:r w:rsidRPr="003058CE">
        <w:rPr>
          <w:rFonts w:ascii="Times New Roman" w:eastAsia="Times New Roman" w:hAnsi="Times New Roman" w:cs="Times New Roman"/>
        </w:rPr>
        <w:t xml:space="preserve"> pesar de la consagración formal de los derechos humanos a nivel mundial y nacional, aún persisten determinadas prácticas que evidencian una continuidad en el tratamiento de la pobreza: su criminalización y marginación. Los sujetos residuales del sistema s</w:t>
      </w:r>
      <w:r w:rsidRPr="003058CE">
        <w:rPr>
          <w:rFonts w:ascii="Times New Roman" w:eastAsia="Times New Roman" w:hAnsi="Times New Roman" w:cs="Times New Roman"/>
        </w:rPr>
        <w:t>ocial, lejos de ser sujetos de derecho, reciben en constante aumento un tratamiento como objetos de control, basado en el impacto de una excesiva presencia por parte de la función penal estatal en su ciclo de vida.</w:t>
      </w:r>
    </w:p>
    <w:p w14:paraId="00000028"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Motto, López y Calcagano (2011), en esta </w:t>
      </w:r>
      <w:r w:rsidRPr="003058CE">
        <w:rPr>
          <w:rFonts w:ascii="Times New Roman" w:eastAsia="Times New Roman" w:hAnsi="Times New Roman" w:cs="Times New Roman"/>
        </w:rPr>
        <w:t>coyuntura configurada por una falsa apariencia de justicia social, proponen que la responsabilización adopta un carácter pendular entre un reconocimiento de derechos y una simple desatención del Estado, es decir, entre la incitación al autogobierno y la co</w:t>
      </w:r>
      <w:r w:rsidRPr="003058CE">
        <w:rPr>
          <w:rFonts w:ascii="Times New Roman" w:eastAsia="Times New Roman" w:hAnsi="Times New Roman" w:cs="Times New Roman"/>
        </w:rPr>
        <w:t xml:space="preserve">ndena moral a quienes no lo asumen transmutando el objeto de regulación del régimen del trabajo a su excedencia. </w:t>
      </w:r>
    </w:p>
    <w:p w14:paraId="00000029"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En efecto, la responsabilización adjudicada a cada trabajador de su carrera, de su desempeño, de los puestos que ocupa o pierde, expresa la glorificación del individualismo meritocrático que permite la culpabilidad de la pobreza económica, sin tener en cue</w:t>
      </w:r>
      <w:r w:rsidRPr="003058CE">
        <w:rPr>
          <w:rFonts w:ascii="Times New Roman" w:eastAsia="Times New Roman" w:hAnsi="Times New Roman" w:cs="Times New Roman"/>
        </w:rPr>
        <w:t>nta las desigualdades heredadas de un sistema social que se enorgullece de su fantasiosa igualdad de oportunidades. En otras palabras, el estímulo a la competencia, la desaparición de las políticas universales y la transformación de los ciudadanos en empre</w:t>
      </w:r>
      <w:r w:rsidRPr="003058CE">
        <w:rPr>
          <w:rFonts w:ascii="Times New Roman" w:eastAsia="Times New Roman" w:hAnsi="Times New Roman" w:cs="Times New Roman"/>
        </w:rPr>
        <w:t>sarios de sí mismos conllevan la construcción de un complejo dispositivo denominado pobreza, que tiene entre sus rasgos fundamentales la criminalización de quienes no han sabido administrar su “capital humano” exitosamente (Murillo, 2011). Es así como, pon</w:t>
      </w:r>
      <w:r w:rsidRPr="003058CE">
        <w:rPr>
          <w:rFonts w:ascii="Times New Roman" w:eastAsia="Times New Roman" w:hAnsi="Times New Roman" w:cs="Times New Roman"/>
        </w:rPr>
        <w:t xml:space="preserve">iendo el acento en la subjetividad y en el deseo el paradigma de la pobreza se alejó de la economía política, poniendo foco en la conminación a las acciones individuales, favoreciendo a aquellos que ya se encuentran en las capas más altas de la sociedad y </w:t>
      </w:r>
      <w:r w:rsidRPr="003058CE">
        <w:rPr>
          <w:rFonts w:ascii="Times New Roman" w:eastAsia="Times New Roman" w:hAnsi="Times New Roman" w:cs="Times New Roman"/>
        </w:rPr>
        <w:t>amortiguando, o incluso anulando, la posibilidad de cambio.</w:t>
      </w:r>
    </w:p>
    <w:p w14:paraId="0000002A"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 Tal como expresa Wacquant (2011) los clientes principales de las políticas asistenciales y carcelarias del Estado neoliberal son, esencialmente, los dos géneros de la misma población </w:t>
      </w:r>
      <w:r w:rsidRPr="003058CE">
        <w:rPr>
          <w:rFonts w:ascii="Times New Roman" w:eastAsia="Times New Roman" w:hAnsi="Times New Roman" w:cs="Times New Roman"/>
        </w:rPr>
        <w:lastRenderedPageBreak/>
        <w:t xml:space="preserve">arrinconada </w:t>
      </w:r>
      <w:r w:rsidRPr="003058CE">
        <w:rPr>
          <w:rFonts w:ascii="Times New Roman" w:eastAsia="Times New Roman" w:hAnsi="Times New Roman" w:cs="Times New Roman"/>
        </w:rPr>
        <w:t>en las fracciones marginalizadas de la clase trabajadora postindustrial. En este sentido, la asistencia se ve condicionada por la calidad moral de los beneficiarios. El Estado se liberó de sus obligaciones al separarse de un gran número de familias necesit</w:t>
      </w:r>
      <w:r w:rsidRPr="003058CE">
        <w:rPr>
          <w:rFonts w:ascii="Times New Roman" w:eastAsia="Times New Roman" w:hAnsi="Times New Roman" w:cs="Times New Roman"/>
        </w:rPr>
        <w:t>adas con diferentes tipos de argumentos, siendo la falta de méritos el principal.  Consecuentemente con esta acción, se ha instalado un discurso en la agenda pública en el cual el tratamiento penal de la pobreza tiene una carga moral positiva, mientras que</w:t>
      </w:r>
      <w:r w:rsidRPr="003058CE">
        <w:rPr>
          <w:rFonts w:ascii="Times New Roman" w:eastAsia="Times New Roman" w:hAnsi="Times New Roman" w:cs="Times New Roman"/>
        </w:rPr>
        <w:t xml:space="preserve"> la cuestión de la asistencia se vincula a los obstáculos a la expansión económica y al equilibrio de las finanzas públicas. </w:t>
      </w:r>
    </w:p>
    <w:p w14:paraId="0000002B" w14:textId="01015A96" w:rsidR="00B34CA7" w:rsidRPr="003058CE" w:rsidRDefault="00F14A16" w:rsidP="003058CE">
      <w:pP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En la modernidad líquida, el discurso hegemónico ha logrado anular la sensibilidad al sufrimiento ajeno, materialización de la inf</w:t>
      </w:r>
      <w:r w:rsidRPr="003058CE">
        <w:rPr>
          <w:rFonts w:ascii="Times New Roman" w:eastAsia="Times New Roman" w:hAnsi="Times New Roman" w:cs="Times New Roman"/>
        </w:rPr>
        <w:t xml:space="preserve">luencia de los sectores dominantes en la sociedad y formas de gobierno, promoviendo determinados intereses y el desarrollo de ciertas políticas como las únicas </w:t>
      </w:r>
      <w:r w:rsidR="003058CE" w:rsidRPr="003058CE">
        <w:rPr>
          <w:rFonts w:ascii="Times New Roman" w:eastAsia="Times New Roman" w:hAnsi="Times New Roman" w:cs="Times New Roman"/>
        </w:rPr>
        <w:t>posibles (</w:t>
      </w:r>
      <w:r w:rsidRPr="003058CE">
        <w:rPr>
          <w:rFonts w:ascii="Times New Roman" w:eastAsia="Times New Roman" w:hAnsi="Times New Roman" w:cs="Times New Roman"/>
        </w:rPr>
        <w:t>Bauman y Donskis, 2015). El proceso estigmatizador, iniciado con fuerza desde el sigl</w:t>
      </w:r>
      <w:r w:rsidRPr="003058CE">
        <w:rPr>
          <w:rFonts w:ascii="Times New Roman" w:eastAsia="Times New Roman" w:hAnsi="Times New Roman" w:cs="Times New Roman"/>
        </w:rPr>
        <w:t>o XVI, se focaliza en grupos denominados “peligrosos”, circunscribiendo la pobreza a la posible peligrosidad, en el marco de un sistema de encierro y centros especializados que se utilizan como lugares de producción de sujetos subordinados. Podemos conclui</w:t>
      </w:r>
      <w:r w:rsidRPr="003058CE">
        <w:rPr>
          <w:rFonts w:ascii="Times New Roman" w:eastAsia="Times New Roman" w:hAnsi="Times New Roman" w:cs="Times New Roman"/>
        </w:rPr>
        <w:t>r que la expansión del Estado penal no responde a la inseguridad penal, sino a la inseguridad social originada por la precarización del trabajo y la desestabilización de las asistencias sociales, que incitan lógicas de negociación individual y colectiva de</w:t>
      </w:r>
      <w:r w:rsidRPr="003058CE">
        <w:rPr>
          <w:rFonts w:ascii="Times New Roman" w:eastAsia="Times New Roman" w:hAnsi="Times New Roman" w:cs="Times New Roman"/>
        </w:rPr>
        <w:t xml:space="preserve"> acceso a las generando, en términos de Merklen (2003), una lógica de cazador.</w:t>
      </w:r>
    </w:p>
    <w:p w14:paraId="0000002C" w14:textId="3EAF7D15"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color w:val="FF0000"/>
        </w:rPr>
      </w:pPr>
      <w:r w:rsidRPr="003058CE">
        <w:rPr>
          <w:rFonts w:ascii="Times New Roman" w:eastAsia="Times New Roman" w:hAnsi="Times New Roman" w:cs="Times New Roman"/>
        </w:rPr>
        <w:t>Es así como el ascenso de un Estado Penal -respuesta a la creciente inseguridad social, y no criminal- establece a la cárcel como técnica gubernamental que se ha sumado a la pol</w:t>
      </w:r>
      <w:r w:rsidRPr="003058CE">
        <w:rPr>
          <w:rFonts w:ascii="Times New Roman" w:eastAsia="Times New Roman" w:hAnsi="Times New Roman" w:cs="Times New Roman"/>
        </w:rPr>
        <w:t>ítica social, ofreciendo ayuda no a los pobres, sino de los pobres, reafirmando la soberanía estatal en el mantenimiento de un orden social jerarquizado por las clases dominantes, mediante un aparato penal que permite imponer categorías, sostener divisione</w:t>
      </w:r>
      <w:r w:rsidRPr="003058CE">
        <w:rPr>
          <w:rFonts w:ascii="Times New Roman" w:eastAsia="Times New Roman" w:hAnsi="Times New Roman" w:cs="Times New Roman"/>
        </w:rPr>
        <w:t>s materiales y simbólicas y mo</w:t>
      </w:r>
      <w:r w:rsidR="003D520D">
        <w:rPr>
          <w:rFonts w:ascii="Times New Roman" w:eastAsia="Times New Roman" w:hAnsi="Times New Roman" w:cs="Times New Roman"/>
        </w:rPr>
        <w:t>l</w:t>
      </w:r>
      <w:r w:rsidRPr="003058CE">
        <w:rPr>
          <w:rFonts w:ascii="Times New Roman" w:eastAsia="Times New Roman" w:hAnsi="Times New Roman" w:cs="Times New Roman"/>
        </w:rPr>
        <w:t>de</w:t>
      </w:r>
      <w:r w:rsidRPr="003058CE">
        <w:rPr>
          <w:rFonts w:ascii="Times New Roman" w:eastAsia="Times New Roman" w:hAnsi="Times New Roman" w:cs="Times New Roman"/>
        </w:rPr>
        <w:t xml:space="preserve">ar relaciones y conductas a través de la penetración selectiva del espacio social y físico. </w:t>
      </w:r>
    </w:p>
    <w:p w14:paraId="0000002D" w14:textId="77777777" w:rsidR="00B34CA7" w:rsidRPr="003058CE" w:rsidRDefault="00B34CA7" w:rsidP="003058CE">
      <w:pPr>
        <w:spacing w:before="200" w:after="200" w:line="360" w:lineRule="auto"/>
        <w:jc w:val="both"/>
        <w:rPr>
          <w:rFonts w:ascii="Times New Roman" w:eastAsia="Times New Roman" w:hAnsi="Times New Roman" w:cs="Times New Roman"/>
        </w:rPr>
      </w:pPr>
    </w:p>
    <w:p w14:paraId="0000002E" w14:textId="77777777" w:rsidR="00B34CA7" w:rsidRPr="003058CE" w:rsidRDefault="00F14A16" w:rsidP="003058CE">
      <w:pPr>
        <w:spacing w:before="200" w:after="200" w:line="360" w:lineRule="auto"/>
        <w:jc w:val="both"/>
        <w:rPr>
          <w:rFonts w:ascii="Times New Roman" w:eastAsia="Times New Roman" w:hAnsi="Times New Roman" w:cs="Times New Roman"/>
          <w:b/>
        </w:rPr>
      </w:pPr>
      <w:r w:rsidRPr="003058CE">
        <w:rPr>
          <w:rFonts w:ascii="Times New Roman" w:eastAsia="Times New Roman" w:hAnsi="Times New Roman" w:cs="Times New Roman"/>
          <w:b/>
        </w:rPr>
        <w:t>CONCLUSIONES:</w:t>
      </w:r>
    </w:p>
    <w:p w14:paraId="0000002F" w14:textId="17EAAD8F" w:rsidR="00B34CA7" w:rsidRPr="003058CE" w:rsidRDefault="00F14A16" w:rsidP="003058CE">
      <w:pP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La problemática de la inseguridad es una preocupación en la agenda pública desde hace tiempo, que ha focalizado el</w:t>
      </w:r>
      <w:r w:rsidRPr="003058CE">
        <w:rPr>
          <w:rFonts w:ascii="Times New Roman" w:eastAsia="Times New Roman" w:hAnsi="Times New Roman" w:cs="Times New Roman"/>
        </w:rPr>
        <w:t xml:space="preserve"> asunto en la criminalización y marginación de determinados sectores sociales. Partiendo del concepto de “espacio social” desarrollado por Bourdieu, podemos analizar </w:t>
      </w:r>
      <w:r w:rsidRPr="003058CE">
        <w:rPr>
          <w:rFonts w:ascii="Times New Roman" w:eastAsia="Times New Roman" w:hAnsi="Times New Roman" w:cs="Times New Roman"/>
        </w:rPr>
        <w:lastRenderedPageBreak/>
        <w:t>la distribución de los individuos en un espacio pluridimensional enmarcada por la importan</w:t>
      </w:r>
      <w:r w:rsidRPr="003058CE">
        <w:rPr>
          <w:rFonts w:ascii="Times New Roman" w:eastAsia="Times New Roman" w:hAnsi="Times New Roman" w:cs="Times New Roman"/>
        </w:rPr>
        <w:t xml:space="preserve">cia de </w:t>
      </w:r>
      <w:r w:rsidR="003D520D" w:rsidRPr="003058CE">
        <w:rPr>
          <w:rFonts w:ascii="Times New Roman" w:eastAsia="Times New Roman" w:hAnsi="Times New Roman" w:cs="Times New Roman"/>
        </w:rPr>
        <w:t>cuatro tipos</w:t>
      </w:r>
      <w:r w:rsidRPr="003058CE">
        <w:rPr>
          <w:rFonts w:ascii="Times New Roman" w:eastAsia="Times New Roman" w:hAnsi="Times New Roman" w:cs="Times New Roman"/>
        </w:rPr>
        <w:t xml:space="preserve"> de capitales que otorgan un lugar y un status en cada campo: el económico, el cultural, el social y el simbólico.  Siguiendo esta línea de pensamiento, la responsabilidad estatal, como agente social de gran importancia en la clasificació</w:t>
      </w:r>
      <w:r w:rsidRPr="003058CE">
        <w:rPr>
          <w:rFonts w:ascii="Times New Roman" w:eastAsia="Times New Roman" w:hAnsi="Times New Roman" w:cs="Times New Roman"/>
        </w:rPr>
        <w:t xml:space="preserve">n, adquiere forma al momento de pensar el sentido del capital simbólico como lugar donde toma forma el proceso de estigmatización social, en tanto mediación de las clases sociales subordinadas. </w:t>
      </w:r>
    </w:p>
    <w:p w14:paraId="00000030" w14:textId="4F606444" w:rsidR="00B34CA7" w:rsidRPr="003058CE" w:rsidRDefault="00F14A16" w:rsidP="003058CE">
      <w:pPr>
        <w:shd w:val="clear" w:color="auto" w:fill="FFFFFF"/>
        <w:spacing w:before="160" w:after="16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 xml:space="preserve">En este sentido, la definición de hegemonía desarrollada por </w:t>
      </w:r>
      <w:r w:rsidRPr="003058CE">
        <w:rPr>
          <w:rFonts w:ascii="Times New Roman" w:eastAsia="Times New Roman" w:hAnsi="Times New Roman" w:cs="Times New Roman"/>
        </w:rPr>
        <w:t>Gramsci (2003), nos esclarece cómo relaciones de poder de carácter económico desarrollan en la superestructura una concepción del mundo que encarna la visión general, a pesar de expresar únicamente los intereses del grupo dirigente. De esta forma, el trata</w:t>
      </w:r>
      <w:r w:rsidRPr="003058CE">
        <w:rPr>
          <w:rFonts w:ascii="Times New Roman" w:eastAsia="Times New Roman" w:hAnsi="Times New Roman" w:cs="Times New Roman"/>
        </w:rPr>
        <w:t xml:space="preserve">miento de la pobreza se ha ido plasmando de formas diversas en el sentido </w:t>
      </w:r>
      <w:r w:rsidR="003D520D" w:rsidRPr="003058CE">
        <w:rPr>
          <w:rFonts w:ascii="Times New Roman" w:eastAsia="Times New Roman" w:hAnsi="Times New Roman" w:cs="Times New Roman"/>
        </w:rPr>
        <w:t>común</w:t>
      </w:r>
      <w:r w:rsidRPr="003058CE">
        <w:rPr>
          <w:rFonts w:ascii="Times New Roman" w:eastAsia="Times New Roman" w:hAnsi="Times New Roman" w:cs="Times New Roman"/>
        </w:rPr>
        <w:t xml:space="preserve"> y en las </w:t>
      </w:r>
      <w:r w:rsidR="003D520D" w:rsidRPr="003058CE">
        <w:rPr>
          <w:rFonts w:ascii="Times New Roman" w:eastAsia="Times New Roman" w:hAnsi="Times New Roman" w:cs="Times New Roman"/>
        </w:rPr>
        <w:t>pr</w:t>
      </w:r>
      <w:r w:rsidR="003D520D">
        <w:rPr>
          <w:rFonts w:ascii="Times New Roman" w:eastAsia="Times New Roman" w:hAnsi="Times New Roman" w:cs="Times New Roman"/>
        </w:rPr>
        <w:t>á</w:t>
      </w:r>
      <w:r w:rsidR="003D520D" w:rsidRPr="003058CE">
        <w:rPr>
          <w:rFonts w:ascii="Times New Roman" w:eastAsia="Times New Roman" w:hAnsi="Times New Roman" w:cs="Times New Roman"/>
        </w:rPr>
        <w:t>cticas</w:t>
      </w:r>
      <w:r w:rsidRPr="003058CE">
        <w:rPr>
          <w:rFonts w:ascii="Times New Roman" w:eastAsia="Times New Roman" w:hAnsi="Times New Roman" w:cs="Times New Roman"/>
        </w:rPr>
        <w:t xml:space="preserve"> cotidianas, generando una tolerancia y aceptación a un tipo particular de Estado: un Estado penal expansivo. </w:t>
      </w:r>
    </w:p>
    <w:p w14:paraId="00000031" w14:textId="7B1A791F" w:rsidR="00B34CA7" w:rsidRPr="003058CE" w:rsidRDefault="00F14A16" w:rsidP="003058CE">
      <w:pPr>
        <w:shd w:val="clear" w:color="auto" w:fill="FFFFFF"/>
        <w:spacing w:before="160" w:after="16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La cuestión social definida por Castel (1995)</w:t>
      </w:r>
      <w:r w:rsidRPr="003058CE">
        <w:rPr>
          <w:rFonts w:ascii="Times New Roman" w:eastAsia="Times New Roman" w:hAnsi="Times New Roman" w:cs="Times New Roman"/>
        </w:rPr>
        <w:t xml:space="preserve"> como la tensión que enfrenta una sociedad entre su cohesión y el riesgo de su fractura nos invita a reflexionar al respecto de los términos de seguridad y pobreza aquí expuestos. El tratamiento de las clases sociales ubicadas en los estratos más bajos de </w:t>
      </w:r>
      <w:r w:rsidRPr="003058CE">
        <w:rPr>
          <w:rFonts w:ascii="Times New Roman" w:eastAsia="Times New Roman" w:hAnsi="Times New Roman" w:cs="Times New Roman"/>
        </w:rPr>
        <w:t xml:space="preserve">la sociedad desde el siglo XVI ha tenido sus modificaciones. Clave en el desarrollo del capitalismo, el ethos del trabajo como adaptación de los pobres a las exigencias de la vida social conformó un poder soberano </w:t>
      </w:r>
      <w:r w:rsidR="003D520D">
        <w:rPr>
          <w:rFonts w:ascii="Times New Roman" w:eastAsia="Times New Roman" w:hAnsi="Times New Roman" w:cs="Times New Roman"/>
        </w:rPr>
        <w:t>guiado</w:t>
      </w:r>
      <w:r w:rsidRPr="003058CE">
        <w:rPr>
          <w:rFonts w:ascii="Times New Roman" w:eastAsia="Times New Roman" w:hAnsi="Times New Roman" w:cs="Times New Roman"/>
        </w:rPr>
        <w:t xml:space="preserve"> </w:t>
      </w:r>
      <w:r w:rsidR="003D520D" w:rsidRPr="003058CE">
        <w:rPr>
          <w:rFonts w:ascii="Times New Roman" w:eastAsia="Times New Roman" w:hAnsi="Times New Roman" w:cs="Times New Roman"/>
        </w:rPr>
        <w:t>por la</w:t>
      </w:r>
      <w:r w:rsidRPr="003058CE">
        <w:rPr>
          <w:rFonts w:ascii="Times New Roman" w:eastAsia="Times New Roman" w:hAnsi="Times New Roman" w:cs="Times New Roman"/>
        </w:rPr>
        <w:t xml:space="preserve"> anatomopolítica del cu</w:t>
      </w:r>
      <w:r w:rsidRPr="003058CE">
        <w:rPr>
          <w:rFonts w:ascii="Times New Roman" w:eastAsia="Times New Roman" w:hAnsi="Times New Roman" w:cs="Times New Roman"/>
        </w:rPr>
        <w:t xml:space="preserve">erpo humano. Sin embargo, la transición del capitalismo fordista al neoliberalismo, y la precarización y flexibilización del excedente de la fuerza de trabajo fue desplazando la política social a una política penal de represión. </w:t>
      </w:r>
    </w:p>
    <w:p w14:paraId="00000032" w14:textId="77777777"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A pesar de estas transform</w:t>
      </w:r>
      <w:r w:rsidRPr="003058CE">
        <w:rPr>
          <w:rFonts w:ascii="Times New Roman" w:eastAsia="Times New Roman" w:hAnsi="Times New Roman" w:cs="Times New Roman"/>
        </w:rPr>
        <w:t xml:space="preserve">aciones, podemos afirmar también la existencia de una línea de continuidad entre el incipiente Estado moderno de fines del siglo XVI, que innovó conjuntamente el socorro de los pobres y la reclusión penal, y el Estado neoliberal que reforzó y redistribuyó </w:t>
      </w:r>
      <w:r w:rsidRPr="003058CE">
        <w:rPr>
          <w:rFonts w:ascii="Times New Roman" w:eastAsia="Times New Roman" w:hAnsi="Times New Roman" w:cs="Times New Roman"/>
        </w:rPr>
        <w:t xml:space="preserve">ese aparato de vigilancia, judicial y carcelario mediante la difusión discursiva de la inseguridad social.  </w:t>
      </w:r>
    </w:p>
    <w:p w14:paraId="00000033" w14:textId="0AEF844A" w:rsidR="00B34CA7" w:rsidRPr="003058CE" w:rsidRDefault="00F14A16" w:rsidP="003058CE">
      <w:pP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En conclusión, podemos ver en las últimas dos etapas descriptas que, si bien el liberalismo y el neoliberalismo propugnan un laissez-faire en los e</w:t>
      </w:r>
      <w:r w:rsidRPr="003058CE">
        <w:rPr>
          <w:rFonts w:ascii="Times New Roman" w:eastAsia="Times New Roman" w:hAnsi="Times New Roman" w:cs="Times New Roman"/>
        </w:rPr>
        <w:t>stratos superiores, el Estado está presente en los estratos inferiores de forma fuertemente intervencionista y autoritaria, dirigiendo y dictando la conducta de la clase baja. Lejos de ser una desviación del neoliberalismo, este Estado penal invasivo y exp</w:t>
      </w:r>
      <w:r w:rsidRPr="003058CE">
        <w:rPr>
          <w:rFonts w:ascii="Times New Roman" w:eastAsia="Times New Roman" w:hAnsi="Times New Roman" w:cs="Times New Roman"/>
        </w:rPr>
        <w:t xml:space="preserve">ansivo se constituye como uno de sus ingredientes ya que es el éxito económico el </w:t>
      </w:r>
      <w:r w:rsidRPr="003058CE">
        <w:rPr>
          <w:rFonts w:ascii="Times New Roman" w:eastAsia="Times New Roman" w:hAnsi="Times New Roman" w:cs="Times New Roman"/>
        </w:rPr>
        <w:lastRenderedPageBreak/>
        <w:t>que exige el despliegue agresivo de la policía, los tribunales y la cárcel sobre estos sectores como un catalogo de la reafirmación de la soberanía estatal. En otras palabras</w:t>
      </w:r>
      <w:r w:rsidRPr="003058CE">
        <w:rPr>
          <w:rFonts w:ascii="Times New Roman" w:eastAsia="Times New Roman" w:hAnsi="Times New Roman" w:cs="Times New Roman"/>
        </w:rPr>
        <w:t xml:space="preserve">, siguiendo a </w:t>
      </w:r>
      <w:r w:rsidR="003D520D" w:rsidRPr="003058CE">
        <w:rPr>
          <w:rFonts w:ascii="Times New Roman" w:eastAsia="Times New Roman" w:hAnsi="Times New Roman" w:cs="Times New Roman"/>
        </w:rPr>
        <w:t>Wacquant</w:t>
      </w:r>
      <w:r w:rsidRPr="003058CE">
        <w:rPr>
          <w:rFonts w:ascii="Times New Roman" w:eastAsia="Times New Roman" w:hAnsi="Times New Roman" w:cs="Times New Roman"/>
        </w:rPr>
        <w:t xml:space="preserve"> (2011) podemos establecer que el Estado centauro, liberal hacia arriba y paternalista hacia abajo, conforma las dos caras, los dos extremos de la jerarquía social, penalizando la pobreza y dividiendo la ciudadanía según la línea de c</w:t>
      </w:r>
      <w:r w:rsidRPr="003058CE">
        <w:rPr>
          <w:rFonts w:ascii="Times New Roman" w:eastAsia="Times New Roman" w:hAnsi="Times New Roman" w:cs="Times New Roman"/>
        </w:rPr>
        <w:t xml:space="preserve">lases. </w:t>
      </w:r>
    </w:p>
    <w:p w14:paraId="00000034" w14:textId="6123C242" w:rsidR="00B34CA7" w:rsidRPr="003058CE" w:rsidRDefault="00F14A16" w:rsidP="003058CE">
      <w:pPr>
        <w:spacing w:before="200" w:after="200" w:line="360" w:lineRule="auto"/>
        <w:ind w:firstLine="720"/>
        <w:jc w:val="both"/>
        <w:rPr>
          <w:rFonts w:ascii="Times New Roman" w:eastAsia="Times New Roman" w:hAnsi="Times New Roman" w:cs="Times New Roman"/>
          <w:color w:val="FF0000"/>
        </w:rPr>
      </w:pPr>
      <w:r w:rsidRPr="003058CE">
        <w:rPr>
          <w:rFonts w:ascii="Times New Roman" w:eastAsia="Times New Roman" w:hAnsi="Times New Roman" w:cs="Times New Roman"/>
        </w:rPr>
        <w:t xml:space="preserve">La hegemonía del pensamiento liberal, que tiende a dejar de lado las desigualdades de origen y las razones históricas, sociales, económicas y culturales que necesariamente determinan una continuidad </w:t>
      </w:r>
      <w:r w:rsidR="003D520D" w:rsidRPr="003058CE">
        <w:rPr>
          <w:rFonts w:ascii="Times New Roman" w:eastAsia="Times New Roman" w:hAnsi="Times New Roman" w:cs="Times New Roman"/>
        </w:rPr>
        <w:t>intergeneracional</w:t>
      </w:r>
      <w:r w:rsidRPr="003058CE">
        <w:rPr>
          <w:rFonts w:ascii="Times New Roman" w:eastAsia="Times New Roman" w:hAnsi="Times New Roman" w:cs="Times New Roman"/>
        </w:rPr>
        <w:t xml:space="preserve"> en la pobreza, ha triunfado a l</w:t>
      </w:r>
      <w:r w:rsidRPr="003058CE">
        <w:rPr>
          <w:rFonts w:ascii="Times New Roman" w:eastAsia="Times New Roman" w:hAnsi="Times New Roman" w:cs="Times New Roman"/>
        </w:rPr>
        <w:t>a hora de generalizar su interpretación de la coyuntura social. Las nuevas estrategias penales pasan a ser dispositivos de gestión del riesgo y de represión preventiva de las poblaciones consideradas como potencialmente desviadas y peligrosas para el orden</w:t>
      </w:r>
      <w:r w:rsidRPr="003058CE">
        <w:rPr>
          <w:rFonts w:ascii="Times New Roman" w:eastAsia="Times New Roman" w:hAnsi="Times New Roman" w:cs="Times New Roman"/>
        </w:rPr>
        <w:t xml:space="preserve"> constituido. </w:t>
      </w:r>
    </w:p>
    <w:p w14:paraId="00000035" w14:textId="6BB1297C" w:rsidR="00B34CA7" w:rsidRPr="003058CE" w:rsidRDefault="00F14A16" w:rsidP="003058CE">
      <w:pPr>
        <w:pBdr>
          <w:top w:val="nil"/>
          <w:left w:val="nil"/>
          <w:bottom w:val="nil"/>
          <w:right w:val="nil"/>
          <w:between w:val="nil"/>
        </w:pBdr>
        <w:spacing w:before="200" w:after="200" w:line="360" w:lineRule="auto"/>
        <w:ind w:firstLine="720"/>
        <w:jc w:val="both"/>
        <w:rPr>
          <w:rFonts w:ascii="Times New Roman" w:eastAsia="Times New Roman" w:hAnsi="Times New Roman" w:cs="Times New Roman"/>
        </w:rPr>
      </w:pPr>
      <w:r w:rsidRPr="003058CE">
        <w:rPr>
          <w:rFonts w:ascii="Times New Roman" w:eastAsia="Times New Roman" w:hAnsi="Times New Roman" w:cs="Times New Roman"/>
        </w:rPr>
        <w:t>Si bien la criminalización de la miseria y el avance progresivo de la cárcel tiene un correlato histórico en los modos de construcción y gestión de las clases ubicadas en los espacios físicos y sociales más bajos de la escala social.</w:t>
      </w:r>
      <w:r w:rsidRPr="003058CE">
        <w:rPr>
          <w:rFonts w:ascii="Times New Roman" w:eastAsia="Times New Roman" w:hAnsi="Times New Roman" w:cs="Times New Roman"/>
          <w:color w:val="FF0000"/>
        </w:rPr>
        <w:t xml:space="preserve"> </w:t>
      </w:r>
      <w:r w:rsidRPr="003058CE">
        <w:rPr>
          <w:rFonts w:ascii="Times New Roman" w:eastAsia="Times New Roman" w:hAnsi="Times New Roman" w:cs="Times New Roman"/>
        </w:rPr>
        <w:t>Decidim</w:t>
      </w:r>
      <w:r w:rsidRPr="003058CE">
        <w:rPr>
          <w:rFonts w:ascii="Times New Roman" w:eastAsia="Times New Roman" w:hAnsi="Times New Roman" w:cs="Times New Roman"/>
        </w:rPr>
        <w:t>os tomar a Ranciére (1996) para realizar un cuestionamiento a esta con</w:t>
      </w:r>
      <w:r w:rsidRPr="003058CE">
        <w:rPr>
          <w:rFonts w:ascii="Times New Roman" w:eastAsia="Times New Roman" w:hAnsi="Times New Roman" w:cs="Times New Roman"/>
        </w:rPr>
        <w:t xml:space="preserve">tinuidad, expresando </w:t>
      </w:r>
      <w:bookmarkStart w:id="0" w:name="_GoBack"/>
      <w:bookmarkEnd w:id="0"/>
      <w:r w:rsidR="003D520D" w:rsidRPr="003058CE">
        <w:rPr>
          <w:rFonts w:ascii="Times New Roman" w:eastAsia="Times New Roman" w:hAnsi="Times New Roman" w:cs="Times New Roman"/>
        </w:rPr>
        <w:t>la necesidad</w:t>
      </w:r>
      <w:r w:rsidRPr="003058CE">
        <w:rPr>
          <w:rFonts w:ascii="Times New Roman" w:eastAsia="Times New Roman" w:hAnsi="Times New Roman" w:cs="Times New Roman"/>
        </w:rPr>
        <w:t xml:space="preserve"> de que el orden naturalizado de la dominación sea interrumpido por la institución de esta parte que no tiene parte, es decir, por las víctimas de este</w:t>
      </w:r>
      <w:r w:rsidRPr="003058CE">
        <w:rPr>
          <w:rFonts w:ascii="Times New Roman" w:eastAsia="Times New Roman" w:hAnsi="Times New Roman" w:cs="Times New Roman"/>
        </w:rPr>
        <w:t xml:space="preserve"> Estado penal. El desplazamiento de las mismas de objetos de control a sujetos de derecho será posible mediante la caída del velo de un orden violento, cuya ilusión de naturalidad desaparece al tener que justificar su accionar.</w:t>
      </w:r>
    </w:p>
    <w:p w14:paraId="00000036" w14:textId="77777777" w:rsidR="00B34CA7" w:rsidRPr="003058CE" w:rsidRDefault="00B34CA7"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p>
    <w:p w14:paraId="00000037" w14:textId="77777777" w:rsidR="00B34CA7" w:rsidRPr="003058CE" w:rsidRDefault="00B34CA7"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p>
    <w:p w14:paraId="00000038" w14:textId="77777777" w:rsidR="00B34CA7" w:rsidRPr="003058CE" w:rsidRDefault="00B34CA7"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p>
    <w:p w14:paraId="00000039" w14:textId="77777777" w:rsidR="00B34CA7" w:rsidRPr="003058CE" w:rsidRDefault="00B34CA7"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p>
    <w:p w14:paraId="0000003A" w14:textId="1D8E6198" w:rsidR="00B34CA7" w:rsidRDefault="00B34CA7"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p>
    <w:p w14:paraId="7A42C03C" w14:textId="77777777" w:rsidR="003058CE" w:rsidRPr="003058CE" w:rsidRDefault="003058CE"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p>
    <w:p w14:paraId="0000003B" w14:textId="77777777" w:rsidR="00B34CA7" w:rsidRPr="003058CE" w:rsidRDefault="00B34CA7"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p>
    <w:p w14:paraId="0000003C" w14:textId="77777777" w:rsidR="00B34CA7" w:rsidRPr="003058CE" w:rsidRDefault="00F14A16" w:rsidP="003058CE">
      <w:pPr>
        <w:pBdr>
          <w:top w:val="nil"/>
          <w:left w:val="nil"/>
          <w:bottom w:val="nil"/>
          <w:right w:val="nil"/>
          <w:between w:val="nil"/>
        </w:pBdr>
        <w:spacing w:before="200" w:after="200" w:line="360" w:lineRule="auto"/>
        <w:jc w:val="both"/>
        <w:rPr>
          <w:rFonts w:ascii="Times New Roman" w:eastAsia="Times New Roman" w:hAnsi="Times New Roman" w:cs="Times New Roman"/>
        </w:rPr>
      </w:pPr>
      <w:r w:rsidRPr="003058CE">
        <w:rPr>
          <w:rFonts w:ascii="Times New Roman" w:eastAsia="Times New Roman" w:hAnsi="Times New Roman" w:cs="Times New Roman"/>
          <w:b/>
        </w:rPr>
        <w:lastRenderedPageBreak/>
        <w:t>BIBLIOGRAFÍA:</w:t>
      </w:r>
    </w:p>
    <w:p w14:paraId="0000003D"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Bourdieu, P. (2001): </w:t>
      </w:r>
      <w:r w:rsidRPr="003058CE">
        <w:rPr>
          <w:rFonts w:ascii="Times New Roman" w:eastAsia="Times New Roman" w:hAnsi="Times New Roman" w:cs="Times New Roman"/>
          <w:i/>
        </w:rPr>
        <w:t>Poder, Derecho y Clases Sociales</w:t>
      </w:r>
      <w:r w:rsidRPr="003058CE">
        <w:rPr>
          <w:rFonts w:ascii="Times New Roman" w:eastAsia="Times New Roman" w:hAnsi="Times New Roman" w:cs="Times New Roman"/>
        </w:rPr>
        <w:t xml:space="preserve">, Bilbao: Ediciones </w:t>
      </w:r>
      <w:proofErr w:type="spellStart"/>
      <w:r w:rsidRPr="003058CE">
        <w:rPr>
          <w:rFonts w:ascii="Times New Roman" w:eastAsia="Times New Roman" w:hAnsi="Times New Roman" w:cs="Times New Roman"/>
        </w:rPr>
        <w:t>Desclée</w:t>
      </w:r>
      <w:proofErr w:type="spellEnd"/>
      <w:r w:rsidRPr="003058CE">
        <w:rPr>
          <w:rFonts w:ascii="Times New Roman" w:eastAsia="Times New Roman" w:hAnsi="Times New Roman" w:cs="Times New Roman"/>
        </w:rPr>
        <w:t>.</w:t>
      </w:r>
    </w:p>
    <w:p w14:paraId="0000003E" w14:textId="77777777" w:rsidR="00B34CA7" w:rsidRPr="003058CE" w:rsidRDefault="00B34CA7" w:rsidP="003058CE">
      <w:pPr>
        <w:shd w:val="clear" w:color="auto" w:fill="FFFFFF"/>
        <w:spacing w:line="360" w:lineRule="auto"/>
        <w:jc w:val="both"/>
        <w:rPr>
          <w:rFonts w:ascii="Times New Roman" w:eastAsia="Times New Roman" w:hAnsi="Times New Roman" w:cs="Times New Roman"/>
        </w:rPr>
      </w:pPr>
    </w:p>
    <w:p w14:paraId="0000003F"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Castel, Robert (1995): </w:t>
      </w:r>
      <w:r w:rsidRPr="003058CE">
        <w:rPr>
          <w:rFonts w:ascii="Times New Roman" w:eastAsia="Times New Roman" w:hAnsi="Times New Roman" w:cs="Times New Roman"/>
          <w:i/>
        </w:rPr>
        <w:t xml:space="preserve">Las metamorfosis de la cuestión social. Cap. 1 al 3, </w:t>
      </w:r>
      <w:r w:rsidRPr="003058CE">
        <w:rPr>
          <w:rFonts w:ascii="Times New Roman" w:eastAsia="Times New Roman" w:hAnsi="Times New Roman" w:cs="Times New Roman"/>
        </w:rPr>
        <w:t>Buenos aires, Editorial Paidós.</w:t>
      </w:r>
    </w:p>
    <w:p w14:paraId="00000040" w14:textId="77777777" w:rsidR="00B34CA7" w:rsidRPr="003058CE" w:rsidRDefault="00B34CA7" w:rsidP="003058CE">
      <w:pPr>
        <w:shd w:val="clear" w:color="auto" w:fill="FFFFFF"/>
        <w:spacing w:line="360" w:lineRule="auto"/>
        <w:jc w:val="both"/>
        <w:rPr>
          <w:rFonts w:ascii="Times New Roman" w:eastAsia="Times New Roman" w:hAnsi="Times New Roman" w:cs="Times New Roman"/>
        </w:rPr>
      </w:pPr>
    </w:p>
    <w:p w14:paraId="00000041"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Foucault, Michel (1976): </w:t>
      </w:r>
      <w:r w:rsidRPr="003058CE">
        <w:rPr>
          <w:rFonts w:ascii="Times New Roman" w:eastAsia="Times New Roman" w:hAnsi="Times New Roman" w:cs="Times New Roman"/>
          <w:i/>
        </w:rPr>
        <w:t>Vigilar y Castigar</w:t>
      </w:r>
      <w:r w:rsidRPr="003058CE">
        <w:rPr>
          <w:rFonts w:ascii="Times New Roman" w:eastAsia="Times New Roman" w:hAnsi="Times New Roman" w:cs="Times New Roman"/>
        </w:rPr>
        <w:t>,</w:t>
      </w:r>
      <w:r w:rsidRPr="003058CE">
        <w:rPr>
          <w:rFonts w:ascii="Times New Roman" w:eastAsia="Times New Roman" w:hAnsi="Times New Roman" w:cs="Times New Roman"/>
          <w:i/>
        </w:rPr>
        <w:t xml:space="preserve"> </w:t>
      </w:r>
      <w:r w:rsidRPr="003058CE">
        <w:rPr>
          <w:rFonts w:ascii="Times New Roman" w:eastAsia="Times New Roman" w:hAnsi="Times New Roman" w:cs="Times New Roman"/>
        </w:rPr>
        <w:t>Méxic</w:t>
      </w:r>
      <w:r w:rsidRPr="003058CE">
        <w:rPr>
          <w:rFonts w:ascii="Times New Roman" w:eastAsia="Times New Roman" w:hAnsi="Times New Roman" w:cs="Times New Roman"/>
        </w:rPr>
        <w:t>o, Siglo XXI.</w:t>
      </w:r>
    </w:p>
    <w:p w14:paraId="00000042" w14:textId="77777777" w:rsidR="00B34CA7" w:rsidRPr="003058CE" w:rsidRDefault="00B34CA7" w:rsidP="003058CE">
      <w:pPr>
        <w:shd w:val="clear" w:color="auto" w:fill="FFFFFF"/>
        <w:spacing w:line="360" w:lineRule="auto"/>
        <w:jc w:val="both"/>
        <w:rPr>
          <w:rFonts w:ascii="Times New Roman" w:eastAsia="Times New Roman" w:hAnsi="Times New Roman" w:cs="Times New Roman"/>
        </w:rPr>
      </w:pPr>
    </w:p>
    <w:p w14:paraId="00000043"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Foucault, M. (2006): </w:t>
      </w:r>
      <w:r w:rsidRPr="003058CE">
        <w:rPr>
          <w:rFonts w:ascii="Times New Roman" w:eastAsia="Times New Roman" w:hAnsi="Times New Roman" w:cs="Times New Roman"/>
          <w:i/>
        </w:rPr>
        <w:t xml:space="preserve">Seguridad, territorio y población. Curso en el </w:t>
      </w:r>
      <w:proofErr w:type="spellStart"/>
      <w:r w:rsidRPr="003058CE">
        <w:rPr>
          <w:rFonts w:ascii="Times New Roman" w:eastAsia="Times New Roman" w:hAnsi="Times New Roman" w:cs="Times New Roman"/>
          <w:i/>
        </w:rPr>
        <w:t>Collège</w:t>
      </w:r>
      <w:proofErr w:type="spellEnd"/>
      <w:r w:rsidRPr="003058CE">
        <w:rPr>
          <w:rFonts w:ascii="Times New Roman" w:eastAsia="Times New Roman" w:hAnsi="Times New Roman" w:cs="Times New Roman"/>
          <w:i/>
        </w:rPr>
        <w:t xml:space="preserve"> de France (1977-1878)</w:t>
      </w:r>
      <w:r w:rsidRPr="003058CE">
        <w:rPr>
          <w:rFonts w:ascii="Times New Roman" w:eastAsia="Times New Roman" w:hAnsi="Times New Roman" w:cs="Times New Roman"/>
        </w:rPr>
        <w:t xml:space="preserve">, Buenos Aires, Fondo de Cultura Económica de Argentina. </w:t>
      </w:r>
    </w:p>
    <w:p w14:paraId="00000044" w14:textId="77777777" w:rsidR="00B34CA7" w:rsidRPr="003058CE" w:rsidRDefault="00B34CA7" w:rsidP="003058CE">
      <w:pPr>
        <w:shd w:val="clear" w:color="auto" w:fill="FFFFFF"/>
        <w:spacing w:line="360" w:lineRule="auto"/>
        <w:jc w:val="both"/>
        <w:rPr>
          <w:rFonts w:ascii="Times New Roman" w:eastAsia="Times New Roman" w:hAnsi="Times New Roman" w:cs="Times New Roman"/>
        </w:rPr>
      </w:pPr>
    </w:p>
    <w:p w14:paraId="00000045"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Foucault, M. (2007):</w:t>
      </w:r>
      <w:r w:rsidRPr="003058CE">
        <w:rPr>
          <w:rFonts w:ascii="Times New Roman" w:eastAsia="Times New Roman" w:hAnsi="Times New Roman" w:cs="Times New Roman"/>
          <w:i/>
        </w:rPr>
        <w:t xml:space="preserve"> Nacimiento de la biopolítica. Curso en el </w:t>
      </w:r>
      <w:proofErr w:type="spellStart"/>
      <w:r w:rsidRPr="003058CE">
        <w:rPr>
          <w:rFonts w:ascii="Times New Roman" w:eastAsia="Times New Roman" w:hAnsi="Times New Roman" w:cs="Times New Roman"/>
          <w:i/>
        </w:rPr>
        <w:t>Collège</w:t>
      </w:r>
      <w:proofErr w:type="spellEnd"/>
      <w:r w:rsidRPr="003058CE">
        <w:rPr>
          <w:rFonts w:ascii="Times New Roman" w:eastAsia="Times New Roman" w:hAnsi="Times New Roman" w:cs="Times New Roman"/>
          <w:i/>
        </w:rPr>
        <w:t xml:space="preserve"> de France (197</w:t>
      </w:r>
      <w:r w:rsidRPr="003058CE">
        <w:rPr>
          <w:rFonts w:ascii="Times New Roman" w:eastAsia="Times New Roman" w:hAnsi="Times New Roman" w:cs="Times New Roman"/>
          <w:i/>
        </w:rPr>
        <w:t>8-1979)</w:t>
      </w:r>
      <w:r w:rsidRPr="003058CE">
        <w:rPr>
          <w:rFonts w:ascii="Times New Roman" w:eastAsia="Times New Roman" w:hAnsi="Times New Roman" w:cs="Times New Roman"/>
        </w:rPr>
        <w:t>, Buenos Aires, F. C. E.</w:t>
      </w:r>
    </w:p>
    <w:p w14:paraId="00000046" w14:textId="77777777" w:rsidR="00B34CA7" w:rsidRPr="003058CE" w:rsidRDefault="00B34CA7" w:rsidP="003058CE">
      <w:pPr>
        <w:shd w:val="clear" w:color="auto" w:fill="FFFFFF"/>
        <w:spacing w:line="360" w:lineRule="auto"/>
        <w:jc w:val="both"/>
        <w:rPr>
          <w:rFonts w:ascii="Times New Roman" w:eastAsia="Times New Roman" w:hAnsi="Times New Roman" w:cs="Times New Roman"/>
          <w:color w:val="444444"/>
        </w:rPr>
      </w:pPr>
    </w:p>
    <w:p w14:paraId="00000047"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proofErr w:type="spellStart"/>
      <w:r w:rsidRPr="003058CE">
        <w:rPr>
          <w:rFonts w:ascii="Times New Roman" w:eastAsia="Times New Roman" w:hAnsi="Times New Roman" w:cs="Times New Roman"/>
        </w:rPr>
        <w:t>Geremek</w:t>
      </w:r>
      <w:proofErr w:type="spellEnd"/>
      <w:r w:rsidRPr="003058CE">
        <w:rPr>
          <w:rFonts w:ascii="Times New Roman" w:eastAsia="Times New Roman" w:hAnsi="Times New Roman" w:cs="Times New Roman"/>
        </w:rPr>
        <w:t xml:space="preserve">, </w:t>
      </w:r>
      <w:proofErr w:type="spellStart"/>
      <w:r w:rsidRPr="003058CE">
        <w:rPr>
          <w:rFonts w:ascii="Times New Roman" w:eastAsia="Times New Roman" w:hAnsi="Times New Roman" w:cs="Times New Roman"/>
        </w:rPr>
        <w:t>Bronislaw</w:t>
      </w:r>
      <w:proofErr w:type="spellEnd"/>
      <w:r w:rsidRPr="003058CE">
        <w:rPr>
          <w:rFonts w:ascii="Times New Roman" w:eastAsia="Times New Roman" w:hAnsi="Times New Roman" w:cs="Times New Roman"/>
        </w:rPr>
        <w:t xml:space="preserve"> (1989): </w:t>
      </w:r>
      <w:r w:rsidRPr="003058CE">
        <w:rPr>
          <w:rFonts w:ascii="Times New Roman" w:eastAsia="Times New Roman" w:hAnsi="Times New Roman" w:cs="Times New Roman"/>
          <w:i/>
        </w:rPr>
        <w:t>La piedad y la Horca Historia de la miseria y de la caridad en Europa</w:t>
      </w:r>
      <w:r w:rsidRPr="003058CE">
        <w:rPr>
          <w:rFonts w:ascii="Times New Roman" w:eastAsia="Times New Roman" w:hAnsi="Times New Roman" w:cs="Times New Roman"/>
        </w:rPr>
        <w:t>, Madrid, Alianza Editorial.</w:t>
      </w:r>
    </w:p>
    <w:p w14:paraId="00000048" w14:textId="77777777" w:rsidR="00B34CA7" w:rsidRPr="003058CE" w:rsidRDefault="00B34CA7" w:rsidP="003058CE">
      <w:pPr>
        <w:shd w:val="clear" w:color="auto" w:fill="FFFFFF"/>
        <w:spacing w:line="360" w:lineRule="auto"/>
        <w:jc w:val="both"/>
        <w:rPr>
          <w:rFonts w:ascii="Times New Roman" w:eastAsia="Times New Roman" w:hAnsi="Times New Roman" w:cs="Times New Roman"/>
        </w:rPr>
      </w:pPr>
    </w:p>
    <w:p w14:paraId="00000049" w14:textId="77777777" w:rsidR="00B34CA7" w:rsidRPr="003058CE" w:rsidRDefault="00F14A16" w:rsidP="003058CE">
      <w:pPr>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Gramsci, Antonio (2003): </w:t>
      </w:r>
      <w:r w:rsidRPr="003058CE">
        <w:rPr>
          <w:rFonts w:ascii="Times New Roman" w:eastAsia="Times New Roman" w:hAnsi="Times New Roman" w:cs="Times New Roman"/>
          <w:i/>
        </w:rPr>
        <w:t>Notas sobre Maquiavelo, sobre la política y sobre el Estado moderno</w:t>
      </w:r>
      <w:r w:rsidRPr="003058CE">
        <w:rPr>
          <w:rFonts w:ascii="Times New Roman" w:eastAsia="Times New Roman" w:hAnsi="Times New Roman" w:cs="Times New Roman"/>
        </w:rPr>
        <w:t>. Buenos Aires, Editorial Nueva Visión.</w:t>
      </w:r>
    </w:p>
    <w:p w14:paraId="0000004A" w14:textId="77777777" w:rsidR="00B34CA7" w:rsidRPr="003058CE" w:rsidRDefault="00B34CA7" w:rsidP="003058CE">
      <w:pPr>
        <w:spacing w:line="360" w:lineRule="auto"/>
        <w:jc w:val="both"/>
        <w:rPr>
          <w:rFonts w:ascii="Times New Roman" w:eastAsia="Times New Roman" w:hAnsi="Times New Roman" w:cs="Times New Roman"/>
        </w:rPr>
      </w:pPr>
    </w:p>
    <w:p w14:paraId="0000004B"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Merklen, Denis (2010): </w:t>
      </w:r>
      <w:r w:rsidRPr="003058CE">
        <w:rPr>
          <w:rFonts w:ascii="Times New Roman" w:eastAsia="Times New Roman" w:hAnsi="Times New Roman" w:cs="Times New Roman"/>
          <w:i/>
        </w:rPr>
        <w:t>Pobres Ciudadanos – Las clases populares en la era democrática (Argentina 1983-2003)</w:t>
      </w:r>
      <w:r w:rsidRPr="003058CE">
        <w:rPr>
          <w:rFonts w:ascii="Times New Roman" w:eastAsia="Times New Roman" w:hAnsi="Times New Roman" w:cs="Times New Roman"/>
        </w:rPr>
        <w:t xml:space="preserve">, Buenos Aires, Editorial </w:t>
      </w:r>
      <w:proofErr w:type="spellStart"/>
      <w:r w:rsidRPr="003058CE">
        <w:rPr>
          <w:rFonts w:ascii="Times New Roman" w:eastAsia="Times New Roman" w:hAnsi="Times New Roman" w:cs="Times New Roman"/>
        </w:rPr>
        <w:t>Gorla</w:t>
      </w:r>
      <w:proofErr w:type="spellEnd"/>
      <w:r w:rsidRPr="003058CE">
        <w:rPr>
          <w:rFonts w:ascii="Times New Roman" w:eastAsia="Times New Roman" w:hAnsi="Times New Roman" w:cs="Times New Roman"/>
        </w:rPr>
        <w:t>.</w:t>
      </w:r>
    </w:p>
    <w:p w14:paraId="0000004C" w14:textId="77777777" w:rsidR="00B34CA7" w:rsidRPr="003058CE" w:rsidRDefault="00B34CA7" w:rsidP="003058CE">
      <w:pPr>
        <w:spacing w:line="360" w:lineRule="auto"/>
        <w:jc w:val="both"/>
        <w:rPr>
          <w:rFonts w:ascii="Times New Roman" w:eastAsia="Times New Roman" w:hAnsi="Times New Roman" w:cs="Times New Roman"/>
        </w:rPr>
      </w:pPr>
    </w:p>
    <w:p w14:paraId="0000004D"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Motto, Carlos; López, Ana Laura y </w:t>
      </w:r>
      <w:proofErr w:type="spellStart"/>
      <w:r w:rsidRPr="003058CE">
        <w:rPr>
          <w:rFonts w:ascii="Times New Roman" w:eastAsia="Times New Roman" w:hAnsi="Times New Roman" w:cs="Times New Roman"/>
        </w:rPr>
        <w:t>Calcagno</w:t>
      </w:r>
      <w:proofErr w:type="spellEnd"/>
      <w:r w:rsidRPr="003058CE">
        <w:rPr>
          <w:rFonts w:ascii="Times New Roman" w:eastAsia="Times New Roman" w:hAnsi="Times New Roman" w:cs="Times New Roman"/>
        </w:rPr>
        <w:t xml:space="preserve">, </w:t>
      </w:r>
      <w:proofErr w:type="spellStart"/>
      <w:r w:rsidRPr="003058CE">
        <w:rPr>
          <w:rFonts w:ascii="Times New Roman" w:eastAsia="Times New Roman" w:hAnsi="Times New Roman" w:cs="Times New Roman"/>
        </w:rPr>
        <w:t>Ornella</w:t>
      </w:r>
      <w:proofErr w:type="spellEnd"/>
      <w:r w:rsidRPr="003058CE">
        <w:rPr>
          <w:rFonts w:ascii="Times New Roman" w:eastAsia="Times New Roman" w:hAnsi="Times New Roman" w:cs="Times New Roman"/>
        </w:rPr>
        <w:t xml:space="preserve"> (2018): </w:t>
      </w:r>
      <w:r w:rsidRPr="003058CE">
        <w:rPr>
          <w:rFonts w:ascii="Times New Roman" w:eastAsia="Times New Roman" w:hAnsi="Times New Roman" w:cs="Times New Roman"/>
          <w:i/>
        </w:rPr>
        <w:t xml:space="preserve">Cárcel, </w:t>
      </w:r>
      <w:proofErr w:type="gramStart"/>
      <w:r w:rsidRPr="003058CE">
        <w:rPr>
          <w:rFonts w:ascii="Times New Roman" w:eastAsia="Times New Roman" w:hAnsi="Times New Roman" w:cs="Times New Roman"/>
          <w:i/>
        </w:rPr>
        <w:t>cuestión  social</w:t>
      </w:r>
      <w:proofErr w:type="gramEnd"/>
      <w:r w:rsidRPr="003058CE">
        <w:rPr>
          <w:rFonts w:ascii="Times New Roman" w:eastAsia="Times New Roman" w:hAnsi="Times New Roman" w:cs="Times New Roman"/>
          <w:i/>
        </w:rPr>
        <w:t xml:space="preserve">  y  neoliberalismo:  producción  y  regulación  de  p</w:t>
      </w:r>
      <w:r w:rsidRPr="003058CE">
        <w:rPr>
          <w:rFonts w:ascii="Times New Roman" w:eastAsia="Times New Roman" w:hAnsi="Times New Roman" w:cs="Times New Roman"/>
          <w:i/>
        </w:rPr>
        <w:t>oblaciones  en  la  Argentina  del  Siglo  XXI</w:t>
      </w:r>
      <w:r w:rsidRPr="003058CE">
        <w:rPr>
          <w:rFonts w:ascii="Times New Roman" w:eastAsia="Times New Roman" w:hAnsi="Times New Roman" w:cs="Times New Roman"/>
        </w:rPr>
        <w:t>, en CESPDYH, año V, Nº 5 Dic.</w:t>
      </w:r>
    </w:p>
    <w:p w14:paraId="0000004E" w14:textId="77777777" w:rsidR="00B34CA7" w:rsidRPr="003058CE" w:rsidRDefault="00B34CA7" w:rsidP="003058CE">
      <w:pPr>
        <w:spacing w:line="360" w:lineRule="auto"/>
        <w:jc w:val="both"/>
        <w:rPr>
          <w:rFonts w:ascii="Times New Roman" w:eastAsia="Times New Roman" w:hAnsi="Times New Roman" w:cs="Times New Roman"/>
        </w:rPr>
      </w:pPr>
    </w:p>
    <w:p w14:paraId="0000004F" w14:textId="77777777" w:rsidR="00B34CA7" w:rsidRPr="003058CE" w:rsidRDefault="00F14A16" w:rsidP="003058CE">
      <w:pPr>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Murillo, Susana Isabel (2011): </w:t>
      </w:r>
      <w:r w:rsidRPr="003058CE">
        <w:rPr>
          <w:rFonts w:ascii="Times New Roman" w:eastAsia="Times New Roman" w:hAnsi="Times New Roman" w:cs="Times New Roman"/>
          <w:i/>
        </w:rPr>
        <w:t>La nueva cuestión social y el arte neoliberal de gobierno</w:t>
      </w:r>
      <w:r w:rsidRPr="003058CE">
        <w:rPr>
          <w:rFonts w:ascii="Times New Roman" w:eastAsia="Times New Roman" w:hAnsi="Times New Roman" w:cs="Times New Roman"/>
        </w:rPr>
        <w:t xml:space="preserve">, en Revista Cátedra Paralela Nº 8. </w:t>
      </w:r>
    </w:p>
    <w:p w14:paraId="00000050" w14:textId="77777777" w:rsidR="00B34CA7" w:rsidRPr="003058CE" w:rsidRDefault="00B34CA7" w:rsidP="003058CE">
      <w:pPr>
        <w:spacing w:line="360" w:lineRule="auto"/>
        <w:jc w:val="both"/>
        <w:rPr>
          <w:rFonts w:ascii="Times New Roman" w:eastAsia="Times New Roman" w:hAnsi="Times New Roman" w:cs="Times New Roman"/>
        </w:rPr>
      </w:pPr>
    </w:p>
    <w:p w14:paraId="00000051"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Neocleous, Mark (2010): </w:t>
      </w:r>
      <w:r w:rsidRPr="003058CE">
        <w:rPr>
          <w:rFonts w:ascii="Times New Roman" w:eastAsia="Times New Roman" w:hAnsi="Times New Roman" w:cs="Times New Roman"/>
          <w:i/>
        </w:rPr>
        <w:t>La Fabricación del Orden Soc</w:t>
      </w:r>
      <w:r w:rsidRPr="003058CE">
        <w:rPr>
          <w:rFonts w:ascii="Times New Roman" w:eastAsia="Times New Roman" w:hAnsi="Times New Roman" w:cs="Times New Roman"/>
          <w:i/>
        </w:rPr>
        <w:t>ial</w:t>
      </w:r>
      <w:r w:rsidRPr="003058CE">
        <w:rPr>
          <w:rFonts w:ascii="Times New Roman" w:eastAsia="Times New Roman" w:hAnsi="Times New Roman" w:cs="Times New Roman"/>
        </w:rPr>
        <w:t>, Buenos Aires, Prometeo libros.</w:t>
      </w:r>
    </w:p>
    <w:p w14:paraId="00000052" w14:textId="77777777" w:rsidR="00B34CA7" w:rsidRPr="003058CE" w:rsidRDefault="00B34CA7" w:rsidP="003058CE">
      <w:pPr>
        <w:spacing w:line="360" w:lineRule="auto"/>
        <w:jc w:val="both"/>
        <w:rPr>
          <w:rFonts w:ascii="Times New Roman" w:eastAsia="Times New Roman" w:hAnsi="Times New Roman" w:cs="Times New Roman"/>
        </w:rPr>
      </w:pPr>
    </w:p>
    <w:p w14:paraId="00000053" w14:textId="77777777" w:rsidR="00B34CA7" w:rsidRPr="003058CE" w:rsidRDefault="00F14A16" w:rsidP="003058CE">
      <w:pPr>
        <w:spacing w:line="360" w:lineRule="auto"/>
        <w:jc w:val="both"/>
        <w:rPr>
          <w:rFonts w:ascii="Times New Roman" w:eastAsia="Times New Roman" w:hAnsi="Times New Roman" w:cs="Times New Roman"/>
        </w:rPr>
      </w:pPr>
      <w:proofErr w:type="spellStart"/>
      <w:r w:rsidRPr="003058CE">
        <w:rPr>
          <w:rFonts w:ascii="Times New Roman" w:eastAsia="Times New Roman" w:hAnsi="Times New Roman" w:cs="Times New Roman"/>
        </w:rPr>
        <w:t>Sambor</w:t>
      </w:r>
      <w:proofErr w:type="spellEnd"/>
      <w:r w:rsidRPr="003058CE">
        <w:rPr>
          <w:rFonts w:ascii="Times New Roman" w:eastAsia="Times New Roman" w:hAnsi="Times New Roman" w:cs="Times New Roman"/>
        </w:rPr>
        <w:t xml:space="preserve">, Gabriela Belén (2016): </w:t>
      </w:r>
      <w:r w:rsidRPr="003058CE">
        <w:rPr>
          <w:rFonts w:ascii="Times New Roman" w:eastAsia="Times New Roman" w:hAnsi="Times New Roman" w:cs="Times New Roman"/>
          <w:i/>
        </w:rPr>
        <w:t>Criminalización de la pobreza: criminalización de jóvenes de sectores populares como consecuencia de trayectorias sociales de marginación</w:t>
      </w:r>
      <w:r w:rsidRPr="003058CE">
        <w:rPr>
          <w:rFonts w:ascii="Times New Roman" w:eastAsia="Times New Roman" w:hAnsi="Times New Roman" w:cs="Times New Roman"/>
        </w:rPr>
        <w:t>, I Jornadas Nacionales de Investigación en Ciencia</w:t>
      </w:r>
      <w:r w:rsidRPr="003058CE">
        <w:rPr>
          <w:rFonts w:ascii="Times New Roman" w:eastAsia="Times New Roman" w:hAnsi="Times New Roman" w:cs="Times New Roman"/>
        </w:rPr>
        <w:t xml:space="preserve">s Sociales de la </w:t>
      </w:r>
      <w:proofErr w:type="spellStart"/>
      <w:r w:rsidRPr="003058CE">
        <w:rPr>
          <w:rFonts w:ascii="Times New Roman" w:eastAsia="Times New Roman" w:hAnsi="Times New Roman" w:cs="Times New Roman"/>
        </w:rPr>
        <w:t>UNCuyo</w:t>
      </w:r>
      <w:proofErr w:type="spellEnd"/>
      <w:r w:rsidRPr="003058CE">
        <w:rPr>
          <w:rFonts w:ascii="Times New Roman" w:eastAsia="Times New Roman" w:hAnsi="Times New Roman" w:cs="Times New Roman"/>
        </w:rPr>
        <w:t>.</w:t>
      </w:r>
    </w:p>
    <w:p w14:paraId="00000054" w14:textId="77777777" w:rsidR="00B34CA7" w:rsidRPr="003058CE" w:rsidRDefault="00B34CA7" w:rsidP="003058CE">
      <w:pPr>
        <w:spacing w:line="360" w:lineRule="auto"/>
        <w:jc w:val="both"/>
        <w:rPr>
          <w:rFonts w:ascii="Times New Roman" w:eastAsia="Times New Roman" w:hAnsi="Times New Roman" w:cs="Times New Roman"/>
        </w:rPr>
      </w:pPr>
    </w:p>
    <w:p w14:paraId="00000055" w14:textId="77777777" w:rsidR="00B34CA7" w:rsidRPr="003058CE" w:rsidRDefault="00F14A16" w:rsidP="003058CE">
      <w:pPr>
        <w:shd w:val="clear" w:color="auto" w:fill="FFFFFF"/>
        <w:spacing w:line="360" w:lineRule="auto"/>
        <w:jc w:val="both"/>
        <w:rPr>
          <w:rFonts w:ascii="Times New Roman" w:eastAsia="Times New Roman" w:hAnsi="Times New Roman" w:cs="Times New Roman"/>
        </w:rPr>
      </w:pPr>
      <w:r w:rsidRPr="003058CE">
        <w:rPr>
          <w:rFonts w:ascii="Times New Roman" w:eastAsia="Times New Roman" w:hAnsi="Times New Roman" w:cs="Times New Roman"/>
        </w:rPr>
        <w:t xml:space="preserve">Wacquant, </w:t>
      </w:r>
      <w:proofErr w:type="spellStart"/>
      <w:r w:rsidRPr="003058CE">
        <w:rPr>
          <w:rFonts w:ascii="Times New Roman" w:eastAsia="Times New Roman" w:hAnsi="Times New Roman" w:cs="Times New Roman"/>
        </w:rPr>
        <w:t>Loïc</w:t>
      </w:r>
      <w:proofErr w:type="spellEnd"/>
      <w:r w:rsidRPr="003058CE">
        <w:rPr>
          <w:rFonts w:ascii="Times New Roman" w:eastAsia="Times New Roman" w:hAnsi="Times New Roman" w:cs="Times New Roman"/>
        </w:rPr>
        <w:t xml:space="preserve"> (2011): </w:t>
      </w:r>
      <w:r w:rsidRPr="003058CE">
        <w:rPr>
          <w:rFonts w:ascii="Times New Roman" w:eastAsia="Times New Roman" w:hAnsi="Times New Roman" w:cs="Times New Roman"/>
          <w:i/>
        </w:rPr>
        <w:t>Forjando el Estado Neoliberal, Workfare, Prisonfare e Inseguridad Social</w:t>
      </w:r>
      <w:r w:rsidRPr="003058CE">
        <w:rPr>
          <w:rFonts w:ascii="Times New Roman" w:eastAsia="Times New Roman" w:hAnsi="Times New Roman" w:cs="Times New Roman"/>
        </w:rPr>
        <w:t xml:space="preserve">, en </w:t>
      </w:r>
      <w:proofErr w:type="spellStart"/>
      <w:r w:rsidRPr="003058CE">
        <w:rPr>
          <w:rFonts w:ascii="Times New Roman" w:eastAsia="Times New Roman" w:hAnsi="Times New Roman" w:cs="Times New Roman"/>
        </w:rPr>
        <w:t>Prohistoria</w:t>
      </w:r>
      <w:proofErr w:type="spellEnd"/>
      <w:r w:rsidRPr="003058CE">
        <w:rPr>
          <w:rFonts w:ascii="Times New Roman" w:eastAsia="Times New Roman" w:hAnsi="Times New Roman" w:cs="Times New Roman"/>
        </w:rPr>
        <w:t xml:space="preserve"> vol.16 Rosario jul./dic.</w:t>
      </w:r>
    </w:p>
    <w:p w14:paraId="00000056" w14:textId="77777777" w:rsidR="00B34CA7" w:rsidRPr="003058CE" w:rsidRDefault="00B34CA7" w:rsidP="003058CE">
      <w:pPr>
        <w:pStyle w:val="Ttulo1"/>
        <w:keepNext w:val="0"/>
        <w:keepLines w:val="0"/>
        <w:shd w:val="clear" w:color="auto" w:fill="FFFFFF"/>
        <w:spacing w:before="0" w:line="360" w:lineRule="auto"/>
        <w:jc w:val="both"/>
        <w:rPr>
          <w:rFonts w:ascii="Times New Roman" w:eastAsia="Times New Roman" w:hAnsi="Times New Roman" w:cs="Times New Roman"/>
          <w:b w:val="0"/>
          <w:sz w:val="24"/>
          <w:szCs w:val="24"/>
        </w:rPr>
      </w:pPr>
      <w:bookmarkStart w:id="1" w:name="_r7j96d41s7d5" w:colFirst="0" w:colLast="0"/>
      <w:bookmarkEnd w:id="1"/>
    </w:p>
    <w:p w14:paraId="00000057" w14:textId="77777777" w:rsidR="00B34CA7" w:rsidRPr="003058CE" w:rsidRDefault="00F14A16" w:rsidP="003058CE">
      <w:pPr>
        <w:pStyle w:val="Ttulo1"/>
        <w:keepNext w:val="0"/>
        <w:keepLines w:val="0"/>
        <w:shd w:val="clear" w:color="auto" w:fill="FFFFFF"/>
        <w:spacing w:before="0" w:line="360" w:lineRule="auto"/>
        <w:jc w:val="both"/>
        <w:rPr>
          <w:rFonts w:ascii="Times New Roman" w:eastAsia="Times New Roman" w:hAnsi="Times New Roman" w:cs="Times New Roman"/>
          <w:b w:val="0"/>
          <w:sz w:val="24"/>
          <w:szCs w:val="24"/>
        </w:rPr>
      </w:pPr>
      <w:bookmarkStart w:id="2" w:name="_3sw4lor53foo" w:colFirst="0" w:colLast="0"/>
      <w:bookmarkEnd w:id="2"/>
      <w:proofErr w:type="spellStart"/>
      <w:r w:rsidRPr="003058CE">
        <w:rPr>
          <w:rFonts w:ascii="Times New Roman" w:eastAsia="Times New Roman" w:hAnsi="Times New Roman" w:cs="Times New Roman"/>
          <w:b w:val="0"/>
          <w:sz w:val="24"/>
          <w:szCs w:val="24"/>
        </w:rPr>
        <w:t>Zygmunt</w:t>
      </w:r>
      <w:proofErr w:type="spellEnd"/>
      <w:r w:rsidRPr="003058CE">
        <w:rPr>
          <w:rFonts w:ascii="Times New Roman" w:eastAsia="Times New Roman" w:hAnsi="Times New Roman" w:cs="Times New Roman"/>
          <w:b w:val="0"/>
          <w:sz w:val="24"/>
          <w:szCs w:val="24"/>
        </w:rPr>
        <w:t xml:space="preserve">, Bauman y Donskis, </w:t>
      </w:r>
      <w:proofErr w:type="spellStart"/>
      <w:proofErr w:type="gramStart"/>
      <w:r w:rsidRPr="003058CE">
        <w:rPr>
          <w:rFonts w:ascii="Times New Roman" w:eastAsia="Times New Roman" w:hAnsi="Times New Roman" w:cs="Times New Roman"/>
          <w:b w:val="0"/>
          <w:sz w:val="24"/>
          <w:szCs w:val="24"/>
        </w:rPr>
        <w:t>Leonidas</w:t>
      </w:r>
      <w:proofErr w:type="spellEnd"/>
      <w:r w:rsidRPr="003058CE">
        <w:rPr>
          <w:rFonts w:ascii="Times New Roman" w:eastAsia="Times New Roman" w:hAnsi="Times New Roman" w:cs="Times New Roman"/>
          <w:b w:val="0"/>
          <w:sz w:val="24"/>
          <w:szCs w:val="24"/>
        </w:rPr>
        <w:t xml:space="preserve">  (</w:t>
      </w:r>
      <w:proofErr w:type="gramEnd"/>
      <w:r w:rsidRPr="003058CE">
        <w:rPr>
          <w:rFonts w:ascii="Times New Roman" w:eastAsia="Times New Roman" w:hAnsi="Times New Roman" w:cs="Times New Roman"/>
          <w:b w:val="0"/>
          <w:sz w:val="24"/>
          <w:szCs w:val="24"/>
        </w:rPr>
        <w:t xml:space="preserve">2015): </w:t>
      </w:r>
      <w:r w:rsidRPr="003058CE">
        <w:rPr>
          <w:rFonts w:ascii="Times New Roman" w:eastAsia="Times New Roman" w:hAnsi="Times New Roman" w:cs="Times New Roman"/>
          <w:b w:val="0"/>
          <w:i/>
          <w:sz w:val="24"/>
          <w:szCs w:val="24"/>
        </w:rPr>
        <w:t>Ceguera moral. La pérdida de sensibilidad en la</w:t>
      </w:r>
      <w:r w:rsidRPr="003058CE">
        <w:rPr>
          <w:rFonts w:ascii="Times New Roman" w:eastAsia="Times New Roman" w:hAnsi="Times New Roman" w:cs="Times New Roman"/>
          <w:b w:val="0"/>
          <w:i/>
          <w:sz w:val="24"/>
          <w:szCs w:val="24"/>
        </w:rPr>
        <w:t xml:space="preserve"> modernidad líquida</w:t>
      </w:r>
      <w:r w:rsidRPr="003058CE">
        <w:rPr>
          <w:rFonts w:ascii="Times New Roman" w:eastAsia="Times New Roman" w:hAnsi="Times New Roman" w:cs="Times New Roman"/>
          <w:b w:val="0"/>
          <w:sz w:val="24"/>
          <w:szCs w:val="24"/>
        </w:rPr>
        <w:t>, Barcelona: Paidós.</w:t>
      </w:r>
    </w:p>
    <w:p w14:paraId="00000058" w14:textId="77777777" w:rsidR="00B34CA7" w:rsidRPr="003058CE" w:rsidRDefault="00B34CA7" w:rsidP="003058CE">
      <w:pPr>
        <w:shd w:val="clear" w:color="auto" w:fill="FFFFFF"/>
        <w:spacing w:line="360" w:lineRule="auto"/>
        <w:jc w:val="both"/>
        <w:rPr>
          <w:rFonts w:ascii="Times New Roman" w:eastAsia="Times New Roman" w:hAnsi="Times New Roman" w:cs="Times New Roman"/>
        </w:rPr>
      </w:pPr>
    </w:p>
    <w:p w14:paraId="00000059" w14:textId="77777777" w:rsidR="00B34CA7" w:rsidRPr="003058CE" w:rsidRDefault="00B34CA7" w:rsidP="003058CE">
      <w:pPr>
        <w:shd w:val="clear" w:color="auto" w:fill="FFFFFF"/>
        <w:spacing w:line="360" w:lineRule="auto"/>
        <w:jc w:val="both"/>
        <w:rPr>
          <w:rFonts w:ascii="Times New Roman" w:eastAsia="Times New Roman" w:hAnsi="Times New Roman" w:cs="Times New Roman"/>
        </w:rPr>
      </w:pPr>
    </w:p>
    <w:p w14:paraId="0000005A" w14:textId="77777777" w:rsidR="00B34CA7" w:rsidRPr="003058CE" w:rsidRDefault="00B34CA7" w:rsidP="003058CE">
      <w:pPr>
        <w:shd w:val="clear" w:color="auto" w:fill="FFFFFF"/>
        <w:spacing w:line="360" w:lineRule="auto"/>
        <w:jc w:val="both"/>
        <w:rPr>
          <w:rFonts w:ascii="Times New Roman" w:eastAsia="Times New Roman" w:hAnsi="Times New Roman" w:cs="Times New Roman"/>
          <w:color w:val="444444"/>
        </w:rPr>
      </w:pPr>
    </w:p>
    <w:p w14:paraId="0000005B" w14:textId="77777777" w:rsidR="00B34CA7" w:rsidRPr="003058CE" w:rsidRDefault="00B34CA7" w:rsidP="003058CE">
      <w:pPr>
        <w:shd w:val="clear" w:color="auto" w:fill="FFFFFF"/>
        <w:spacing w:line="360" w:lineRule="auto"/>
        <w:jc w:val="both"/>
        <w:rPr>
          <w:rFonts w:ascii="Times New Roman" w:eastAsia="Times New Roman" w:hAnsi="Times New Roman" w:cs="Times New Roman"/>
        </w:rPr>
      </w:pPr>
    </w:p>
    <w:p w14:paraId="0000005C" w14:textId="77777777" w:rsidR="00B34CA7" w:rsidRPr="003058CE" w:rsidRDefault="00B34CA7" w:rsidP="003058CE">
      <w:pPr>
        <w:spacing w:line="360" w:lineRule="auto"/>
        <w:jc w:val="both"/>
        <w:rPr>
          <w:rFonts w:ascii="Times New Roman" w:eastAsia="Times New Roman" w:hAnsi="Times New Roman" w:cs="Times New Roman"/>
        </w:rPr>
      </w:pPr>
    </w:p>
    <w:p w14:paraId="0000005D" w14:textId="77777777" w:rsidR="00B34CA7" w:rsidRPr="003058CE" w:rsidRDefault="00B34CA7" w:rsidP="003058CE">
      <w:pPr>
        <w:spacing w:line="360" w:lineRule="auto"/>
        <w:jc w:val="both"/>
        <w:rPr>
          <w:rFonts w:ascii="Times New Roman" w:eastAsia="Times New Roman" w:hAnsi="Times New Roman" w:cs="Times New Roman"/>
        </w:rPr>
      </w:pPr>
    </w:p>
    <w:p w14:paraId="0000005E" w14:textId="77777777" w:rsidR="00B34CA7" w:rsidRPr="003058CE" w:rsidRDefault="00B34CA7" w:rsidP="003058CE">
      <w:pPr>
        <w:spacing w:line="360" w:lineRule="auto"/>
        <w:jc w:val="both"/>
        <w:rPr>
          <w:rFonts w:ascii="Times New Roman" w:eastAsia="Times New Roman" w:hAnsi="Times New Roman" w:cs="Times New Roman"/>
        </w:rPr>
      </w:pPr>
    </w:p>
    <w:p w14:paraId="0000005F" w14:textId="77777777" w:rsidR="00B34CA7" w:rsidRPr="003058CE" w:rsidRDefault="00B34CA7" w:rsidP="003058CE">
      <w:pPr>
        <w:spacing w:line="360" w:lineRule="auto"/>
        <w:jc w:val="both"/>
        <w:rPr>
          <w:rFonts w:ascii="Times New Roman" w:eastAsia="Times New Roman" w:hAnsi="Times New Roman" w:cs="Times New Roman"/>
        </w:rPr>
      </w:pPr>
    </w:p>
    <w:sectPr w:rsidR="00B34CA7" w:rsidRPr="003058CE" w:rsidSect="003058CE">
      <w:footerReference w:type="even" r:id="rId7"/>
      <w:footerReference w:type="default" r:id="rId8"/>
      <w:headerReference w:type="first" r:id="rId9"/>
      <w:pgSz w:w="12240" w:h="15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D325" w14:textId="77777777" w:rsidR="00F14A16" w:rsidRDefault="00F14A16">
      <w:r>
        <w:separator/>
      </w:r>
    </w:p>
  </w:endnote>
  <w:endnote w:type="continuationSeparator" w:id="0">
    <w:p w14:paraId="22A64BBF" w14:textId="77777777" w:rsidR="00F14A16" w:rsidRDefault="00F1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B34CA7" w:rsidRDefault="00F14A1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63" w14:textId="77777777" w:rsidR="00B34CA7" w:rsidRDefault="00B34CA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0F400FDF" w:rsidR="00B34CA7" w:rsidRDefault="00F14A1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058CE">
      <w:rPr>
        <w:color w:val="000000"/>
      </w:rPr>
      <w:fldChar w:fldCharType="separate"/>
    </w:r>
    <w:r w:rsidR="003058CE">
      <w:rPr>
        <w:noProof/>
        <w:color w:val="000000"/>
      </w:rPr>
      <w:t>2</w:t>
    </w:r>
    <w:r>
      <w:rPr>
        <w:color w:val="000000"/>
      </w:rPr>
      <w:fldChar w:fldCharType="end"/>
    </w:r>
  </w:p>
  <w:p w14:paraId="00000061" w14:textId="77777777" w:rsidR="00B34CA7" w:rsidRDefault="00B34CA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F91C5" w14:textId="77777777" w:rsidR="00F14A16" w:rsidRDefault="00F14A16">
      <w:r>
        <w:separator/>
      </w:r>
    </w:p>
  </w:footnote>
  <w:footnote w:type="continuationSeparator" w:id="0">
    <w:p w14:paraId="164A6014" w14:textId="77777777" w:rsidR="00F14A16" w:rsidRDefault="00F1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5" w14:textId="77777777" w:rsidR="00B34CA7" w:rsidRDefault="00F14A16">
    <w:pPr>
      <w:tabs>
        <w:tab w:val="center" w:pos="4252"/>
        <w:tab w:val="right" w:pos="8504"/>
      </w:tabs>
      <w:rPr>
        <w:rFonts w:ascii="Arial" w:eastAsia="Arial" w:hAnsi="Arial" w:cs="Arial"/>
        <w:sz w:val="22"/>
        <w:szCs w:val="22"/>
      </w:rPr>
    </w:pPr>
    <w:r>
      <w:rPr>
        <w:rFonts w:ascii="Arial" w:eastAsia="Arial" w:hAnsi="Arial" w:cs="Arial"/>
        <w:sz w:val="22"/>
        <w:szCs w:val="22"/>
      </w:rPr>
      <w:t xml:space="preserve">X Jornadas de Jóvenes </w:t>
    </w:r>
    <w:proofErr w:type="spellStart"/>
    <w:r>
      <w:rPr>
        <w:rFonts w:ascii="Arial" w:eastAsia="Arial" w:hAnsi="Arial" w:cs="Arial"/>
        <w:sz w:val="22"/>
        <w:szCs w:val="22"/>
      </w:rPr>
      <w:t>Investigadorxs</w:t>
    </w:r>
    <w:proofErr w:type="spellEnd"/>
  </w:p>
  <w:p w14:paraId="00000066" w14:textId="77777777" w:rsidR="00B34CA7" w:rsidRDefault="00F14A16">
    <w:pPr>
      <w:tabs>
        <w:tab w:val="center" w:pos="4252"/>
        <w:tab w:val="right" w:pos="8504"/>
      </w:tabs>
      <w:rPr>
        <w:rFonts w:ascii="Arial" w:eastAsia="Arial" w:hAnsi="Arial" w:cs="Arial"/>
        <w:sz w:val="22"/>
        <w:szCs w:val="22"/>
      </w:rPr>
    </w:pPr>
    <w:r>
      <w:rPr>
        <w:rFonts w:ascii="Arial" w:eastAsia="Arial" w:hAnsi="Arial" w:cs="Arial"/>
        <w:sz w:val="22"/>
        <w:szCs w:val="22"/>
      </w:rPr>
      <w:t xml:space="preserve">Instituto de Investigaciones Gino </w:t>
    </w:r>
    <w:proofErr w:type="spellStart"/>
    <w:r>
      <w:rPr>
        <w:rFonts w:ascii="Arial" w:eastAsia="Arial" w:hAnsi="Arial" w:cs="Arial"/>
        <w:sz w:val="22"/>
        <w:szCs w:val="22"/>
      </w:rPr>
      <w:t>Germani</w:t>
    </w:r>
    <w:proofErr w:type="spellEnd"/>
  </w:p>
  <w:p w14:paraId="00000067" w14:textId="77777777" w:rsidR="00B34CA7" w:rsidRDefault="00F14A16">
    <w:pPr>
      <w:tabs>
        <w:tab w:val="center" w:pos="4252"/>
        <w:tab w:val="right" w:pos="8504"/>
      </w:tabs>
      <w:rPr>
        <w:rFonts w:ascii="Arial" w:eastAsia="Arial" w:hAnsi="Arial" w:cs="Arial"/>
        <w:sz w:val="22"/>
        <w:szCs w:val="22"/>
      </w:rPr>
    </w:pPr>
    <w:r>
      <w:rPr>
        <w:rFonts w:ascii="Arial" w:eastAsia="Arial" w:hAnsi="Arial" w:cs="Arial"/>
        <w:sz w:val="22"/>
        <w:szCs w:val="22"/>
      </w:rPr>
      <w:t>6, 7 y 8 de noviembre de 2019</w:t>
    </w:r>
  </w:p>
  <w:p w14:paraId="00000068" w14:textId="77777777" w:rsidR="00B34CA7" w:rsidRDefault="00F14A16">
    <w:pPr>
      <w:tabs>
        <w:tab w:val="center" w:pos="4252"/>
        <w:tab w:val="right" w:pos="8504"/>
      </w:tabs>
      <w:rPr>
        <w:rFonts w:ascii="Arial" w:eastAsia="Arial" w:hAnsi="Arial" w:cs="Arial"/>
        <w:sz w:val="22"/>
        <w:szCs w:val="22"/>
      </w:rPr>
    </w:pPr>
    <w:proofErr w:type="spellStart"/>
    <w:r>
      <w:rPr>
        <w:rFonts w:ascii="Arial" w:eastAsia="Arial" w:hAnsi="Arial" w:cs="Arial"/>
        <w:sz w:val="22"/>
        <w:szCs w:val="22"/>
      </w:rPr>
      <w:t>Chiara</w:t>
    </w:r>
    <w:proofErr w:type="spellEnd"/>
    <w:r>
      <w:rPr>
        <w:rFonts w:ascii="Arial" w:eastAsia="Arial" w:hAnsi="Arial" w:cs="Arial"/>
        <w:sz w:val="22"/>
        <w:szCs w:val="22"/>
      </w:rPr>
      <w:t xml:space="preserve"> </w:t>
    </w:r>
    <w:proofErr w:type="spellStart"/>
    <w:r>
      <w:rPr>
        <w:rFonts w:ascii="Arial" w:eastAsia="Arial" w:hAnsi="Arial" w:cs="Arial"/>
        <w:sz w:val="22"/>
        <w:szCs w:val="22"/>
      </w:rPr>
      <w:t>Buraschi</w:t>
    </w:r>
    <w:proofErr w:type="spellEnd"/>
    <w:r>
      <w:rPr>
        <w:rFonts w:ascii="Arial" w:eastAsia="Arial" w:hAnsi="Arial" w:cs="Arial"/>
        <w:sz w:val="22"/>
        <w:szCs w:val="22"/>
      </w:rPr>
      <w:t xml:space="preserve"> Bernasconi</w:t>
    </w:r>
  </w:p>
  <w:p w14:paraId="00000069" w14:textId="77777777" w:rsidR="00B34CA7" w:rsidRDefault="00F14A16">
    <w:pPr>
      <w:tabs>
        <w:tab w:val="center" w:pos="4252"/>
        <w:tab w:val="right" w:pos="8504"/>
      </w:tabs>
      <w:rPr>
        <w:rFonts w:ascii="Arial" w:eastAsia="Arial" w:hAnsi="Arial" w:cs="Arial"/>
        <w:sz w:val="22"/>
        <w:szCs w:val="22"/>
      </w:rPr>
    </w:pPr>
    <w:r>
      <w:rPr>
        <w:rFonts w:ascii="Arial" w:eastAsia="Arial" w:hAnsi="Arial" w:cs="Arial"/>
        <w:sz w:val="22"/>
        <w:szCs w:val="22"/>
      </w:rPr>
      <w:t>Universidad de Buenos Aires</w:t>
    </w:r>
  </w:p>
  <w:p w14:paraId="0000006A" w14:textId="77777777" w:rsidR="00B34CA7" w:rsidRDefault="00F14A16">
    <w:pPr>
      <w:tabs>
        <w:tab w:val="center" w:pos="4252"/>
        <w:tab w:val="right" w:pos="8504"/>
      </w:tabs>
      <w:rPr>
        <w:rFonts w:ascii="Arial" w:eastAsia="Arial" w:hAnsi="Arial" w:cs="Arial"/>
        <w:sz w:val="22"/>
        <w:szCs w:val="22"/>
      </w:rPr>
    </w:pPr>
    <w:hyperlink r:id="rId1">
      <w:r>
        <w:rPr>
          <w:rFonts w:ascii="Arial" w:eastAsia="Arial" w:hAnsi="Arial" w:cs="Arial"/>
          <w:color w:val="0000FF"/>
          <w:sz w:val="22"/>
          <w:szCs w:val="22"/>
          <w:u w:val="single"/>
        </w:rPr>
        <w:t>chburaschi@gmail.com</w:t>
      </w:r>
    </w:hyperlink>
  </w:p>
  <w:p w14:paraId="0000006B" w14:textId="77777777" w:rsidR="00B34CA7" w:rsidRDefault="00F14A16">
    <w:pPr>
      <w:tabs>
        <w:tab w:val="center" w:pos="4252"/>
        <w:tab w:val="right" w:pos="8504"/>
      </w:tabs>
      <w:rPr>
        <w:rFonts w:ascii="Arial" w:eastAsia="Arial" w:hAnsi="Arial" w:cs="Arial"/>
        <w:sz w:val="22"/>
        <w:szCs w:val="22"/>
      </w:rPr>
    </w:pPr>
    <w:r>
      <w:rPr>
        <w:rFonts w:ascii="Arial" w:eastAsia="Arial" w:hAnsi="Arial" w:cs="Arial"/>
        <w:sz w:val="22"/>
        <w:szCs w:val="22"/>
      </w:rPr>
      <w:t>Estudiante de grado</w:t>
    </w:r>
  </w:p>
  <w:p w14:paraId="0000006C" w14:textId="44D2F205" w:rsidR="00B34CA7" w:rsidRDefault="00F14A16">
    <w:pPr>
      <w:tabs>
        <w:tab w:val="center" w:pos="4252"/>
        <w:tab w:val="right" w:pos="8504"/>
      </w:tabs>
      <w:rPr>
        <w:rFonts w:ascii="Arial" w:eastAsia="Arial" w:hAnsi="Arial" w:cs="Arial"/>
        <w:sz w:val="22"/>
        <w:szCs w:val="22"/>
      </w:rPr>
    </w:pPr>
    <w:r>
      <w:rPr>
        <w:rFonts w:ascii="Arial" w:eastAsia="Arial" w:hAnsi="Arial" w:cs="Arial"/>
        <w:sz w:val="22"/>
        <w:szCs w:val="22"/>
      </w:rPr>
      <w:t>Eje 2: Poder, dominación y violencia</w:t>
    </w:r>
  </w:p>
  <w:p w14:paraId="6B9B7A70" w14:textId="61ACA0A2" w:rsidR="003058CE" w:rsidRDefault="003058CE">
    <w:pPr>
      <w:tabs>
        <w:tab w:val="center" w:pos="4252"/>
        <w:tab w:val="right" w:pos="8504"/>
      </w:tabs>
      <w:rPr>
        <w:rFonts w:ascii="Arial" w:eastAsia="Arial" w:hAnsi="Arial" w:cs="Arial"/>
        <w:sz w:val="22"/>
        <w:szCs w:val="22"/>
      </w:rPr>
    </w:pPr>
    <w:r>
      <w:rPr>
        <w:rFonts w:ascii="Arial" w:eastAsia="Arial" w:hAnsi="Arial" w:cs="Arial"/>
        <w:sz w:val="22"/>
        <w:szCs w:val="22"/>
      </w:rPr>
      <w:t>El Estado Centauro: entre el laissez-faire y la regulación penal</w:t>
    </w:r>
  </w:p>
  <w:p w14:paraId="369B5B71" w14:textId="3F6C2BCC" w:rsidR="003058CE" w:rsidRDefault="003058CE">
    <w:pPr>
      <w:tabs>
        <w:tab w:val="center" w:pos="4252"/>
        <w:tab w:val="right" w:pos="8504"/>
      </w:tabs>
      <w:rPr>
        <w:rFonts w:ascii="Arial" w:eastAsia="Arial" w:hAnsi="Arial" w:cs="Arial"/>
        <w:sz w:val="22"/>
        <w:szCs w:val="22"/>
      </w:rPr>
    </w:pPr>
    <w:r>
      <w:rPr>
        <w:rFonts w:ascii="Arial" w:eastAsia="Arial" w:hAnsi="Arial" w:cs="Arial"/>
        <w:sz w:val="22"/>
        <w:szCs w:val="22"/>
      </w:rPr>
      <w:t>Palabras Clave: Cuestión social – Inseguridad – Responsabilidad estatal</w:t>
    </w:r>
  </w:p>
  <w:p w14:paraId="0000006D" w14:textId="77777777" w:rsidR="00B34CA7" w:rsidRDefault="00B34CA7">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A7"/>
    <w:rsid w:val="003058CE"/>
    <w:rsid w:val="003D520D"/>
    <w:rsid w:val="00B34CA7"/>
    <w:rsid w:val="00F14A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8AEC"/>
  <w15:docId w15:val="{2BCACCE5-C8F9-9D40-A683-C13EB008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ES_trad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058CE"/>
    <w:pPr>
      <w:tabs>
        <w:tab w:val="center" w:pos="4419"/>
        <w:tab w:val="right" w:pos="8838"/>
      </w:tabs>
    </w:pPr>
  </w:style>
  <w:style w:type="character" w:customStyle="1" w:styleId="EncabezadoCar">
    <w:name w:val="Encabezado Car"/>
    <w:basedOn w:val="Fuentedeprrafopredeter"/>
    <w:link w:val="Encabezado"/>
    <w:uiPriority w:val="99"/>
    <w:rsid w:val="0030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hburasc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A231-F606-C242-AD8D-E1F07519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4341</Words>
  <Characters>23878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2019-08-16T15:45:00Z</cp:lastPrinted>
  <dcterms:created xsi:type="dcterms:W3CDTF">2019-08-16T15:56:00Z</dcterms:created>
  <dcterms:modified xsi:type="dcterms:W3CDTF">2019-08-16T15:56:00Z</dcterms:modified>
</cp:coreProperties>
</file>