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814" w:rsidRPr="003B00A2" w:rsidRDefault="00A97814" w:rsidP="007A6BCA">
      <w:pPr>
        <w:pStyle w:val="NormalWeb"/>
        <w:spacing w:before="0" w:beforeAutospacing="0" w:after="0" w:line="240" w:lineRule="auto"/>
        <w:jc w:val="center"/>
        <w:rPr>
          <w:color w:val="262626" w:themeColor="text1" w:themeTint="D9"/>
          <w:lang w:val="es-ES"/>
        </w:rPr>
      </w:pPr>
      <w:r w:rsidRPr="003B00A2">
        <w:rPr>
          <w:color w:val="262626" w:themeColor="text1" w:themeTint="D9"/>
          <w:sz w:val="20"/>
          <w:szCs w:val="20"/>
          <w:lang w:val="es-ES"/>
        </w:rPr>
        <w:t>Eje 5 Política, Ideología y Discurso.</w:t>
      </w:r>
    </w:p>
    <w:p w:rsidR="007A6BCA" w:rsidRDefault="007A6BCA" w:rsidP="007A6BCA">
      <w:pPr>
        <w:pStyle w:val="NormalWeb"/>
        <w:spacing w:before="0" w:beforeAutospacing="0" w:after="0" w:line="360" w:lineRule="auto"/>
        <w:rPr>
          <w:b/>
          <w:bCs/>
          <w:lang w:val="es-ES"/>
        </w:rPr>
      </w:pPr>
    </w:p>
    <w:p w:rsidR="003B00A2" w:rsidRPr="00E463F6" w:rsidRDefault="00E463F6" w:rsidP="007A6BCA">
      <w:pPr>
        <w:pStyle w:val="NormalWeb"/>
        <w:spacing w:before="0" w:beforeAutospacing="0" w:after="0" w:line="360" w:lineRule="auto"/>
        <w:rPr>
          <w:lang w:val="es-ES"/>
        </w:rPr>
      </w:pPr>
      <w:r>
        <w:rPr>
          <w:b/>
          <w:bCs/>
          <w:lang w:val="es-ES"/>
        </w:rPr>
        <w:t xml:space="preserve">Título de la ponencia: </w:t>
      </w:r>
      <w:r w:rsidR="003B00A2" w:rsidRPr="00E463F6">
        <w:rPr>
          <w:bCs/>
          <w:lang w:val="es-ES"/>
        </w:rPr>
        <w:t>Nuevas relaciones entre ciencia y política. Debates y consensos en el discurso experto de organismos internacionales sobre la cuestión social en los inicios del siglo XXI</w:t>
      </w:r>
      <w:r w:rsidR="003B00A2" w:rsidRPr="00E463F6">
        <w:rPr>
          <w:lang w:val="es-ES"/>
        </w:rPr>
        <w:t>.</w:t>
      </w:r>
    </w:p>
    <w:p w:rsidR="003B00A2" w:rsidRPr="00DC1C23" w:rsidRDefault="003B00A2" w:rsidP="007A6BCA">
      <w:pPr>
        <w:pStyle w:val="NormalWeb"/>
        <w:spacing w:before="0" w:beforeAutospacing="0" w:after="0" w:line="360" w:lineRule="auto"/>
        <w:rPr>
          <w:lang w:val="es-ES"/>
        </w:rPr>
      </w:pPr>
      <w:r w:rsidRPr="00DC1C23">
        <w:rPr>
          <w:i/>
          <w:iCs/>
          <w:lang w:val="es-ES"/>
        </w:rPr>
        <w:t>Palabras clave</w:t>
      </w:r>
      <w:r w:rsidRPr="00DC1C23">
        <w:rPr>
          <w:lang w:val="es-ES"/>
        </w:rPr>
        <w:t>: cuestión social; saberes expertos; organismos internacionales; política; subjetividad.</w:t>
      </w:r>
    </w:p>
    <w:p w:rsidR="003B00A2" w:rsidRPr="00E463F6" w:rsidRDefault="00E463F6" w:rsidP="007A6BCA">
      <w:pPr>
        <w:pStyle w:val="NormalWeb"/>
        <w:spacing w:before="0" w:beforeAutospacing="0" w:after="0" w:line="360" w:lineRule="auto"/>
        <w:jc w:val="both"/>
        <w:rPr>
          <w:lang w:val="es-ES"/>
        </w:rPr>
      </w:pPr>
      <w:r w:rsidRPr="00E463F6">
        <w:rPr>
          <w:lang w:val="es-ES"/>
        </w:rPr>
        <w:t xml:space="preserve">Autora: </w:t>
      </w:r>
      <w:r w:rsidR="003B00A2" w:rsidRPr="00E463F6">
        <w:rPr>
          <w:lang w:val="es-ES"/>
        </w:rPr>
        <w:t xml:space="preserve">Eliana </w:t>
      </w:r>
      <w:proofErr w:type="spellStart"/>
      <w:r w:rsidR="003B00A2" w:rsidRPr="00E463F6">
        <w:rPr>
          <w:lang w:val="es-ES"/>
        </w:rPr>
        <w:t>Lijterman</w:t>
      </w:r>
      <w:proofErr w:type="spellEnd"/>
      <w:r w:rsidR="003B00A2" w:rsidRPr="00E463F6">
        <w:rPr>
          <w:lang w:val="es-ES"/>
        </w:rPr>
        <w:t xml:space="preserve">, Becaria Doctoral de CONICET (IIGG), </w:t>
      </w:r>
      <w:hyperlink r:id="rId8" w:history="1">
        <w:r w:rsidR="003B00A2" w:rsidRPr="00E463F6">
          <w:rPr>
            <w:rStyle w:val="Hipervnculo"/>
            <w:lang w:val="es-ES"/>
          </w:rPr>
          <w:t>Eliana.lijterman@gmail.com</w:t>
        </w:r>
      </w:hyperlink>
      <w:r w:rsidR="003B00A2" w:rsidRPr="00E463F6">
        <w:rPr>
          <w:lang w:val="es-ES"/>
        </w:rPr>
        <w:t xml:space="preserve">, Estudiante de Doctorado en Ciencias Sociales, FCS-UBA (ciclo inicial en Maestría en Investigación Social). </w:t>
      </w:r>
    </w:p>
    <w:p w:rsidR="007A6BCA" w:rsidRDefault="007A6BCA" w:rsidP="007A6BCA">
      <w:pPr>
        <w:spacing w:after="0" w:line="360" w:lineRule="auto"/>
        <w:rPr>
          <w:rFonts w:ascii="Times New Roman" w:hAnsi="Times New Roman" w:cs="Times New Roman"/>
          <w:sz w:val="24"/>
          <w:szCs w:val="24"/>
          <w:u w:val="single"/>
        </w:rPr>
      </w:pPr>
    </w:p>
    <w:p w:rsidR="005746B1" w:rsidRPr="001B6CDD" w:rsidRDefault="003B00A2" w:rsidP="007A6BCA">
      <w:pPr>
        <w:spacing w:after="0" w:line="360" w:lineRule="auto"/>
        <w:rPr>
          <w:rFonts w:ascii="Times New Roman" w:hAnsi="Times New Roman" w:cs="Times New Roman"/>
          <w:b/>
          <w:smallCaps/>
          <w:sz w:val="24"/>
          <w:szCs w:val="24"/>
        </w:rPr>
      </w:pPr>
      <w:r w:rsidRPr="001B6CDD">
        <w:rPr>
          <w:rFonts w:ascii="Times New Roman" w:hAnsi="Times New Roman" w:cs="Times New Roman"/>
          <w:b/>
          <w:smallCaps/>
          <w:sz w:val="24"/>
          <w:szCs w:val="24"/>
        </w:rPr>
        <w:t>Introducción</w:t>
      </w:r>
    </w:p>
    <w:p w:rsidR="00BD4C6E" w:rsidRDefault="00B105E3" w:rsidP="007A6BCA">
      <w:pPr>
        <w:pStyle w:val="western"/>
        <w:spacing w:before="0" w:beforeAutospacing="0" w:after="0" w:line="360" w:lineRule="auto"/>
        <w:ind w:firstLine="567"/>
        <w:jc w:val="both"/>
        <w:rPr>
          <w:rFonts w:ascii="Times New Roman" w:hAnsi="Times New Roman" w:cs="Times New Roman"/>
          <w:sz w:val="24"/>
          <w:szCs w:val="24"/>
          <w:lang w:val="es-ES"/>
        </w:rPr>
      </w:pPr>
      <w:r w:rsidRPr="00DC1C23">
        <w:rPr>
          <w:rFonts w:ascii="Times New Roman" w:hAnsi="Times New Roman" w:cs="Times New Roman"/>
          <w:sz w:val="24"/>
          <w:szCs w:val="24"/>
          <w:lang w:val="es-ES"/>
        </w:rPr>
        <w:t>L</w:t>
      </w:r>
      <w:r w:rsidR="003B00A2" w:rsidRPr="00DC1C23">
        <w:rPr>
          <w:rFonts w:ascii="Times New Roman" w:hAnsi="Times New Roman" w:cs="Times New Roman"/>
          <w:sz w:val="24"/>
          <w:szCs w:val="24"/>
          <w:lang w:val="es-ES"/>
        </w:rPr>
        <w:t xml:space="preserve">a presente ponencia busca exponer algunas de las reflexiones que son parte de la tesis de Maestría en Investigación Social de la Facultad de Ciencias Sociales (UBA), en proceso de elaboración. </w:t>
      </w:r>
      <w:r w:rsidR="007A6BCA">
        <w:rPr>
          <w:rFonts w:ascii="Times New Roman" w:hAnsi="Times New Roman" w:cs="Times New Roman"/>
          <w:sz w:val="24"/>
          <w:szCs w:val="24"/>
          <w:lang w:val="es-ES"/>
        </w:rPr>
        <w:t>Nos preguntamos por</w:t>
      </w:r>
      <w:r w:rsidR="003B00A2" w:rsidRPr="00DC1C23">
        <w:rPr>
          <w:rFonts w:ascii="Times New Roman" w:hAnsi="Times New Roman" w:cs="Times New Roman"/>
          <w:sz w:val="24"/>
          <w:szCs w:val="24"/>
          <w:lang w:val="es-ES"/>
        </w:rPr>
        <w:t xml:space="preserve"> las problematizaciones producidas en el campo de saberes expertos acerca de las condiciones de trabajo y de vida de los trabajadores en condición de informalidad, en los debates sobre las políticas de asistencia y seguridad social del Estado Nacional en Argentina, durante el período 2003- 2015. Nos interesaba reconstruir bajo qué condiciones y con qué sentidos la informalidad se convertía en un problema de política social.</w:t>
      </w:r>
      <w:r w:rsidR="00BD4C6E">
        <w:rPr>
          <w:rFonts w:ascii="Times New Roman" w:hAnsi="Times New Roman" w:cs="Times New Roman"/>
          <w:sz w:val="24"/>
          <w:szCs w:val="24"/>
          <w:lang w:val="es-ES"/>
        </w:rPr>
        <w:t xml:space="preserve"> </w:t>
      </w:r>
    </w:p>
    <w:p w:rsidR="00B105E3" w:rsidRPr="00DC1C23" w:rsidRDefault="003B00A2" w:rsidP="007A6BCA">
      <w:pPr>
        <w:pStyle w:val="western"/>
        <w:spacing w:before="0" w:beforeAutospacing="0" w:after="0" w:line="360" w:lineRule="auto"/>
        <w:ind w:firstLine="567"/>
        <w:jc w:val="both"/>
        <w:rPr>
          <w:rFonts w:ascii="Times New Roman" w:hAnsi="Times New Roman" w:cs="Times New Roman"/>
          <w:sz w:val="24"/>
          <w:szCs w:val="24"/>
          <w:lang w:val="es-ES"/>
        </w:rPr>
      </w:pPr>
      <w:r w:rsidRPr="00DC1C23">
        <w:rPr>
          <w:rFonts w:ascii="Times New Roman" w:hAnsi="Times New Roman" w:cs="Times New Roman"/>
          <w:sz w:val="24"/>
          <w:szCs w:val="24"/>
          <w:lang w:val="es-ES"/>
        </w:rPr>
        <w:t>Nuestra investigación se asentó en un trabajo de archivo</w:t>
      </w:r>
      <w:r w:rsidR="007A6BCA">
        <w:rPr>
          <w:rFonts w:ascii="Times New Roman" w:hAnsi="Times New Roman" w:cs="Times New Roman"/>
          <w:sz w:val="24"/>
          <w:szCs w:val="24"/>
          <w:lang w:val="es-ES"/>
        </w:rPr>
        <w:t xml:space="preserve"> sobre la producción experta acerca de la informalidad y las protecciones. Elaboramos un </w:t>
      </w:r>
      <w:r w:rsidR="007A6BCA" w:rsidRPr="007A6BCA">
        <w:rPr>
          <w:rFonts w:ascii="Times New Roman" w:hAnsi="Times New Roman" w:cs="Times New Roman"/>
          <w:i/>
          <w:sz w:val="24"/>
          <w:szCs w:val="24"/>
          <w:lang w:val="es-ES"/>
        </w:rPr>
        <w:t>corpus</w:t>
      </w:r>
      <w:r w:rsidR="007A6BCA">
        <w:rPr>
          <w:rFonts w:ascii="Times New Roman" w:hAnsi="Times New Roman" w:cs="Times New Roman"/>
          <w:sz w:val="24"/>
          <w:szCs w:val="24"/>
          <w:lang w:val="es-ES"/>
        </w:rPr>
        <w:t xml:space="preserve"> de</w:t>
      </w:r>
      <w:r w:rsidRPr="00DC1C23">
        <w:rPr>
          <w:rFonts w:ascii="Times New Roman" w:hAnsi="Times New Roman" w:cs="Times New Roman"/>
          <w:sz w:val="24"/>
          <w:szCs w:val="24"/>
          <w:lang w:val="es-ES"/>
        </w:rPr>
        <w:t xml:space="preserve"> documentos heterogéneos producidos por </w:t>
      </w:r>
      <w:r w:rsidR="00B105E3" w:rsidRPr="00DC1C23">
        <w:rPr>
          <w:rFonts w:ascii="Times New Roman" w:hAnsi="Times New Roman" w:cs="Times New Roman"/>
          <w:sz w:val="24"/>
          <w:szCs w:val="24"/>
          <w:lang w:val="es-ES"/>
        </w:rPr>
        <w:t>agencias</w:t>
      </w:r>
      <w:r w:rsidRPr="00DC1C23">
        <w:rPr>
          <w:rFonts w:ascii="Times New Roman" w:hAnsi="Times New Roman" w:cs="Times New Roman"/>
          <w:sz w:val="24"/>
          <w:szCs w:val="24"/>
          <w:lang w:val="es-ES"/>
        </w:rPr>
        <w:t xml:space="preserve"> internacionales de desarrollo </w:t>
      </w:r>
      <w:r w:rsidR="00B105E3" w:rsidRPr="00DC1C23">
        <w:rPr>
          <w:rFonts w:ascii="Times New Roman" w:hAnsi="Times New Roman" w:cs="Times New Roman"/>
          <w:sz w:val="24"/>
          <w:szCs w:val="24"/>
          <w:lang w:val="es-ES"/>
        </w:rPr>
        <w:t xml:space="preserve">(AID) </w:t>
      </w:r>
      <w:r w:rsidRPr="00DC1C23">
        <w:rPr>
          <w:rFonts w:ascii="Times New Roman" w:hAnsi="Times New Roman" w:cs="Times New Roman"/>
          <w:sz w:val="24"/>
          <w:szCs w:val="24"/>
          <w:lang w:val="es-ES"/>
        </w:rPr>
        <w:t>y por</w:t>
      </w:r>
      <w:r w:rsidR="00BD4C6E">
        <w:rPr>
          <w:rFonts w:ascii="Times New Roman" w:hAnsi="Times New Roman" w:cs="Times New Roman"/>
          <w:sz w:val="24"/>
          <w:szCs w:val="24"/>
          <w:lang w:val="es-ES"/>
        </w:rPr>
        <w:t xml:space="preserve"> diversos</w:t>
      </w:r>
      <w:r w:rsidRPr="00DC1C23">
        <w:rPr>
          <w:rFonts w:ascii="Times New Roman" w:hAnsi="Times New Roman" w:cs="Times New Roman"/>
          <w:sz w:val="24"/>
          <w:szCs w:val="24"/>
          <w:lang w:val="es-ES"/>
        </w:rPr>
        <w:t xml:space="preserve"> saberes locales “de Estado”. En esta ponencia, nos limitaremos a exponer algunas conclusiones acerca de la producción de las </w:t>
      </w:r>
      <w:r w:rsidR="00B105E3" w:rsidRPr="00DC1C23">
        <w:rPr>
          <w:rFonts w:ascii="Times New Roman" w:hAnsi="Times New Roman" w:cs="Times New Roman"/>
          <w:sz w:val="24"/>
          <w:szCs w:val="24"/>
          <w:lang w:val="es-ES"/>
        </w:rPr>
        <w:t>AID</w:t>
      </w:r>
      <w:r w:rsidRPr="00DC1C23">
        <w:rPr>
          <w:rFonts w:ascii="Times New Roman" w:hAnsi="Times New Roman" w:cs="Times New Roman"/>
          <w:sz w:val="24"/>
          <w:szCs w:val="24"/>
          <w:lang w:val="es-ES"/>
        </w:rPr>
        <w:t xml:space="preserve"> que estudiamos, que conformaron un capítulo ineludible del proceso: la Organización Internacional del Trabajo (OIT), el Banco Mundial (BM), el Banco Interamericano de Desarrollo (BID) y la Comisión Económica para América Latina (CEPAL). En las últimas décadas, las mismas se constituyeron en referentes de la construcción de conocimiento orientado a la intervención estatal, en particular, en el campo de lo social (</w:t>
      </w:r>
      <w:proofErr w:type="spellStart"/>
      <w:r w:rsidRPr="00DC1C23">
        <w:rPr>
          <w:rFonts w:ascii="Times New Roman" w:hAnsi="Times New Roman" w:cs="Times New Roman"/>
          <w:sz w:val="24"/>
          <w:szCs w:val="24"/>
          <w:lang w:val="es-ES"/>
        </w:rPr>
        <w:t>Grassi</w:t>
      </w:r>
      <w:proofErr w:type="spellEnd"/>
      <w:r w:rsidRPr="00DC1C23">
        <w:rPr>
          <w:rFonts w:ascii="Times New Roman" w:hAnsi="Times New Roman" w:cs="Times New Roman"/>
          <w:sz w:val="24"/>
          <w:szCs w:val="24"/>
          <w:lang w:val="es-ES"/>
        </w:rPr>
        <w:t xml:space="preserve">, 2003; </w:t>
      </w:r>
      <w:proofErr w:type="spellStart"/>
      <w:r w:rsidRPr="00DC1C23">
        <w:rPr>
          <w:rFonts w:ascii="Times New Roman" w:hAnsi="Times New Roman" w:cs="Times New Roman"/>
          <w:sz w:val="24"/>
          <w:szCs w:val="24"/>
          <w:lang w:val="es-ES"/>
        </w:rPr>
        <w:t>Orlansky</w:t>
      </w:r>
      <w:proofErr w:type="spellEnd"/>
      <w:r w:rsidRPr="00DC1C23">
        <w:rPr>
          <w:rFonts w:ascii="Times New Roman" w:hAnsi="Times New Roman" w:cs="Times New Roman"/>
          <w:sz w:val="24"/>
          <w:szCs w:val="24"/>
          <w:lang w:val="es-ES"/>
        </w:rPr>
        <w:t>, 2005;</w:t>
      </w:r>
      <w:r w:rsidR="0045482F">
        <w:rPr>
          <w:rFonts w:ascii="Times New Roman" w:hAnsi="Times New Roman" w:cs="Times New Roman"/>
          <w:sz w:val="24"/>
          <w:szCs w:val="24"/>
          <w:lang w:val="es-ES"/>
        </w:rPr>
        <w:t xml:space="preserve"> Murillo, 2005; </w:t>
      </w:r>
      <w:proofErr w:type="spellStart"/>
      <w:r w:rsidR="0045482F">
        <w:rPr>
          <w:rFonts w:ascii="Times New Roman" w:hAnsi="Times New Roman" w:cs="Times New Roman"/>
          <w:sz w:val="24"/>
          <w:szCs w:val="24"/>
          <w:lang w:val="es-ES"/>
        </w:rPr>
        <w:t>Merklen</w:t>
      </w:r>
      <w:proofErr w:type="spellEnd"/>
      <w:r w:rsidR="0045482F">
        <w:rPr>
          <w:rFonts w:ascii="Times New Roman" w:hAnsi="Times New Roman" w:cs="Times New Roman"/>
          <w:sz w:val="24"/>
          <w:szCs w:val="24"/>
          <w:lang w:val="es-ES"/>
        </w:rPr>
        <w:t>, 2010).</w:t>
      </w:r>
    </w:p>
    <w:p w:rsidR="003B00A2" w:rsidRPr="00DC1C23" w:rsidRDefault="0045482F" w:rsidP="007A6BCA">
      <w:pPr>
        <w:pStyle w:val="western"/>
        <w:spacing w:before="0" w:beforeAutospacing="0" w:after="0" w:line="360" w:lineRule="auto"/>
        <w:ind w:firstLine="567"/>
        <w:jc w:val="both"/>
        <w:rPr>
          <w:rFonts w:ascii="Times New Roman" w:hAnsi="Times New Roman" w:cs="Times New Roman"/>
          <w:lang w:val="es-ES"/>
        </w:rPr>
      </w:pPr>
      <w:r>
        <w:rPr>
          <w:rFonts w:ascii="Times New Roman" w:hAnsi="Times New Roman" w:cs="Times New Roman"/>
          <w:sz w:val="24"/>
          <w:szCs w:val="24"/>
          <w:lang w:val="es-ES"/>
        </w:rPr>
        <w:t xml:space="preserve">A partir del trabajo de archivo, pudimos identificar, hacia fines de la década de 1990, un intenso debate acerca de la cuestión social, los modos de explicarla e intervenirla, en un contexto de </w:t>
      </w:r>
      <w:r w:rsidR="003B00A2" w:rsidRPr="00DC1C23">
        <w:rPr>
          <w:rFonts w:ascii="Times New Roman" w:hAnsi="Times New Roman" w:cs="Times New Roman"/>
          <w:sz w:val="24"/>
          <w:szCs w:val="24"/>
          <w:lang w:val="es-ES"/>
        </w:rPr>
        <w:t xml:space="preserve">crisis económicas y políticas cuyo epicentro fue el Sur global. Hallamos diversas modalidades de </w:t>
      </w:r>
      <w:r w:rsidR="003B00A2" w:rsidRPr="00DC1C23">
        <w:rPr>
          <w:rFonts w:ascii="Times New Roman" w:hAnsi="Times New Roman" w:cs="Times New Roman"/>
          <w:i/>
          <w:iCs/>
          <w:sz w:val="24"/>
          <w:szCs w:val="24"/>
          <w:lang w:val="es-ES"/>
        </w:rPr>
        <w:t>diálogo polémico</w:t>
      </w:r>
      <w:r w:rsidR="003B00A2" w:rsidRPr="00DC1C23">
        <w:rPr>
          <w:rFonts w:ascii="Times New Roman" w:hAnsi="Times New Roman" w:cs="Times New Roman"/>
          <w:sz w:val="24"/>
          <w:szCs w:val="24"/>
          <w:lang w:val="es-ES"/>
        </w:rPr>
        <w:t xml:space="preserve"> acerca del balance de las reformas de los años previos, los diagnósticos </w:t>
      </w:r>
      <w:r w:rsidR="00B105E3" w:rsidRPr="00DC1C23">
        <w:rPr>
          <w:rFonts w:ascii="Times New Roman" w:hAnsi="Times New Roman" w:cs="Times New Roman"/>
          <w:sz w:val="24"/>
          <w:szCs w:val="24"/>
          <w:lang w:val="es-ES"/>
        </w:rPr>
        <w:t>sobre</w:t>
      </w:r>
      <w:r w:rsidR="003B00A2" w:rsidRPr="00DC1C23">
        <w:rPr>
          <w:rFonts w:ascii="Times New Roman" w:hAnsi="Times New Roman" w:cs="Times New Roman"/>
          <w:sz w:val="24"/>
          <w:szCs w:val="24"/>
          <w:lang w:val="es-ES"/>
        </w:rPr>
        <w:t xml:space="preserve"> sus “consecuencias sociales” y las propuestas para afrontarlas. </w:t>
      </w:r>
      <w:r w:rsidR="00BD4C6E">
        <w:rPr>
          <w:rFonts w:ascii="Times New Roman" w:hAnsi="Times New Roman" w:cs="Times New Roman"/>
          <w:sz w:val="24"/>
          <w:szCs w:val="24"/>
          <w:lang w:val="es-ES"/>
        </w:rPr>
        <w:t>E</w:t>
      </w:r>
      <w:r w:rsidR="003B00A2" w:rsidRPr="00DC1C23">
        <w:rPr>
          <w:rFonts w:ascii="Times New Roman" w:hAnsi="Times New Roman" w:cs="Times New Roman"/>
          <w:sz w:val="24"/>
          <w:szCs w:val="24"/>
          <w:lang w:val="es-ES"/>
        </w:rPr>
        <w:t xml:space="preserve">stos diálogos </w:t>
      </w:r>
      <w:r w:rsidR="00BD4C6E">
        <w:rPr>
          <w:rFonts w:ascii="Times New Roman" w:hAnsi="Times New Roman" w:cs="Times New Roman"/>
          <w:sz w:val="24"/>
          <w:szCs w:val="24"/>
          <w:lang w:val="es-ES"/>
        </w:rPr>
        <w:t xml:space="preserve">polémicos </w:t>
      </w:r>
      <w:r w:rsidR="003B00A2" w:rsidRPr="00DC1C23">
        <w:rPr>
          <w:rFonts w:ascii="Times New Roman" w:hAnsi="Times New Roman" w:cs="Times New Roman"/>
          <w:sz w:val="24"/>
          <w:szCs w:val="24"/>
          <w:lang w:val="es-ES"/>
        </w:rPr>
        <w:t xml:space="preserve">nos señalan el resquebrajamiento de la orientación hegemónica que había </w:t>
      </w:r>
      <w:r w:rsidR="003B00A2" w:rsidRPr="00DC1C23">
        <w:rPr>
          <w:rFonts w:ascii="Times New Roman" w:hAnsi="Times New Roman" w:cs="Times New Roman"/>
          <w:sz w:val="24"/>
          <w:szCs w:val="24"/>
          <w:lang w:val="es-ES"/>
        </w:rPr>
        <w:lastRenderedPageBreak/>
        <w:t xml:space="preserve">asumido la intervención sobre la cuestión social durante dicha década y un proceso de reformulaciones y disputas en torno a un </w:t>
      </w:r>
      <w:r w:rsidR="003B00A2" w:rsidRPr="00DC1C23">
        <w:rPr>
          <w:rFonts w:ascii="Times New Roman" w:hAnsi="Times New Roman" w:cs="Times New Roman"/>
          <w:i/>
          <w:iCs/>
          <w:sz w:val="24"/>
          <w:szCs w:val="24"/>
          <w:lang w:val="es-ES"/>
        </w:rPr>
        <w:t>nuevo consenso</w:t>
      </w:r>
      <w:r w:rsidR="003B00A2" w:rsidRPr="00DC1C23">
        <w:rPr>
          <w:rFonts w:ascii="Times New Roman" w:hAnsi="Times New Roman" w:cs="Times New Roman"/>
          <w:sz w:val="24"/>
          <w:szCs w:val="24"/>
          <w:lang w:val="es-ES"/>
        </w:rPr>
        <w:t>.</w:t>
      </w:r>
    </w:p>
    <w:p w:rsidR="00B105E3" w:rsidRPr="00DC1C23" w:rsidRDefault="003B00A2" w:rsidP="007A6BCA">
      <w:pPr>
        <w:pStyle w:val="western"/>
        <w:spacing w:before="0" w:beforeAutospacing="0" w:after="0" w:line="360" w:lineRule="auto"/>
        <w:ind w:firstLine="567"/>
        <w:jc w:val="both"/>
        <w:rPr>
          <w:rFonts w:ascii="Times New Roman" w:hAnsi="Times New Roman" w:cs="Times New Roman"/>
          <w:sz w:val="24"/>
          <w:szCs w:val="24"/>
          <w:lang w:val="es-ES"/>
        </w:rPr>
      </w:pPr>
      <w:r w:rsidRPr="00DC1C23">
        <w:rPr>
          <w:rFonts w:ascii="Times New Roman" w:hAnsi="Times New Roman" w:cs="Times New Roman"/>
          <w:sz w:val="24"/>
          <w:szCs w:val="24"/>
          <w:lang w:val="es-ES"/>
        </w:rPr>
        <w:t xml:space="preserve">En este trabajo pondremos de relieve un aspecto de estas reformulaciones: </w:t>
      </w:r>
      <w:r w:rsidRPr="00DC1C23">
        <w:rPr>
          <w:rFonts w:ascii="Times New Roman" w:hAnsi="Times New Roman" w:cs="Times New Roman"/>
          <w:i/>
          <w:sz w:val="24"/>
          <w:szCs w:val="24"/>
          <w:lang w:val="es-ES"/>
        </w:rPr>
        <w:t>la relación entre ciencia y política</w:t>
      </w:r>
      <w:r w:rsidR="00BD4C6E">
        <w:rPr>
          <w:rFonts w:ascii="Times New Roman" w:hAnsi="Times New Roman" w:cs="Times New Roman"/>
          <w:i/>
          <w:sz w:val="24"/>
          <w:szCs w:val="24"/>
          <w:lang w:val="es-ES"/>
        </w:rPr>
        <w:t xml:space="preserve"> que se manifiesta en </w:t>
      </w:r>
      <w:r w:rsidR="0045482F">
        <w:rPr>
          <w:rFonts w:ascii="Times New Roman" w:hAnsi="Times New Roman" w:cs="Times New Roman"/>
          <w:i/>
          <w:sz w:val="24"/>
          <w:szCs w:val="24"/>
          <w:lang w:val="es-ES"/>
        </w:rPr>
        <w:t>la</w:t>
      </w:r>
      <w:r w:rsidR="00BD4C6E">
        <w:rPr>
          <w:rFonts w:ascii="Times New Roman" w:hAnsi="Times New Roman" w:cs="Times New Roman"/>
          <w:i/>
          <w:sz w:val="24"/>
          <w:szCs w:val="24"/>
          <w:lang w:val="es-ES"/>
        </w:rPr>
        <w:t xml:space="preserve"> reconfiguración de los saberes expertos</w:t>
      </w:r>
      <w:r w:rsidRPr="00DC1C23">
        <w:rPr>
          <w:rFonts w:ascii="Times New Roman" w:hAnsi="Times New Roman" w:cs="Times New Roman"/>
          <w:sz w:val="24"/>
          <w:szCs w:val="24"/>
          <w:lang w:val="es-ES"/>
        </w:rPr>
        <w:t xml:space="preserve">. Identificamos una serie de operaciones discursivas que dan cuenta de un desplazamiento de los fundamentos de </w:t>
      </w:r>
      <w:r w:rsidR="00B105E3" w:rsidRPr="00DC1C23">
        <w:rPr>
          <w:rFonts w:ascii="Times New Roman" w:hAnsi="Times New Roman" w:cs="Times New Roman"/>
          <w:sz w:val="24"/>
          <w:szCs w:val="24"/>
          <w:lang w:val="es-ES"/>
        </w:rPr>
        <w:t xml:space="preserve">legitimidad de </w:t>
      </w:r>
      <w:r w:rsidRPr="00DC1C23">
        <w:rPr>
          <w:rFonts w:ascii="Times New Roman" w:hAnsi="Times New Roman" w:cs="Times New Roman"/>
          <w:sz w:val="24"/>
          <w:szCs w:val="24"/>
          <w:lang w:val="es-ES"/>
        </w:rPr>
        <w:t>los diagnósticos y propuestas: la opaca y excluyente racionalidad técnica de los años previos</w:t>
      </w:r>
      <w:r w:rsidR="0045482F">
        <w:rPr>
          <w:rFonts w:ascii="Times New Roman" w:hAnsi="Times New Roman" w:cs="Times New Roman"/>
          <w:sz w:val="24"/>
          <w:szCs w:val="24"/>
          <w:lang w:val="es-ES"/>
        </w:rPr>
        <w:t xml:space="preserve"> ya</w:t>
      </w:r>
      <w:r w:rsidRPr="00DC1C23">
        <w:rPr>
          <w:rFonts w:ascii="Times New Roman" w:hAnsi="Times New Roman" w:cs="Times New Roman"/>
          <w:sz w:val="24"/>
          <w:szCs w:val="24"/>
          <w:lang w:val="es-ES"/>
        </w:rPr>
        <w:t xml:space="preserve"> no parece ser lo suficientemente legítima </w:t>
      </w:r>
      <w:r w:rsidR="0045482F">
        <w:rPr>
          <w:rFonts w:ascii="Times New Roman" w:hAnsi="Times New Roman" w:cs="Times New Roman"/>
          <w:sz w:val="24"/>
          <w:szCs w:val="24"/>
          <w:lang w:val="es-ES"/>
        </w:rPr>
        <w:t xml:space="preserve">ni dar respuestas satisfactorias a los problemas que las nuevas programáticas delimitaban. </w:t>
      </w:r>
      <w:r w:rsidRPr="00DC1C23">
        <w:rPr>
          <w:rFonts w:ascii="Times New Roman" w:hAnsi="Times New Roman" w:cs="Times New Roman"/>
          <w:sz w:val="24"/>
          <w:szCs w:val="24"/>
          <w:lang w:val="es-ES"/>
        </w:rPr>
        <w:t xml:space="preserve">Así, se produjo un desplazamiento de estos saberes hacia las experiencias de los “afectados” por la crisis: pobres, trabajadores, comunidades de los “países en desarrollo”. </w:t>
      </w:r>
    </w:p>
    <w:p w:rsidR="007A6BCA" w:rsidRDefault="003B00A2" w:rsidP="007A6BCA">
      <w:pPr>
        <w:pStyle w:val="western"/>
        <w:spacing w:before="0" w:beforeAutospacing="0" w:after="0" w:line="360" w:lineRule="auto"/>
        <w:ind w:firstLine="567"/>
        <w:jc w:val="both"/>
        <w:rPr>
          <w:rFonts w:ascii="Times New Roman" w:hAnsi="Times New Roman" w:cs="Times New Roman"/>
          <w:sz w:val="24"/>
          <w:szCs w:val="24"/>
          <w:lang w:val="es-ES"/>
        </w:rPr>
      </w:pPr>
      <w:r w:rsidRPr="00742DB3">
        <w:rPr>
          <w:rFonts w:ascii="Times New Roman" w:hAnsi="Times New Roman" w:cs="Times New Roman"/>
          <w:sz w:val="24"/>
          <w:szCs w:val="24"/>
          <w:lang w:val="es-ES"/>
        </w:rPr>
        <w:t>Encontramos dos modalidades disímiles de desplazamiento: la incorporación de una dimensión valorativa sobre el curso del desarrollo, a partir de cierta politización del discurso experto; y una renovada centralidad de análisis cualitativos cuyo objeto es la subjetividad de las poblaciones (experiencias, motivaciones y comportamientos).</w:t>
      </w:r>
      <w:r w:rsidR="00B105E3" w:rsidRPr="00742DB3">
        <w:rPr>
          <w:rFonts w:ascii="Times New Roman" w:hAnsi="Times New Roman" w:cs="Times New Roman"/>
          <w:lang w:val="es-ES"/>
        </w:rPr>
        <w:t xml:space="preserve"> </w:t>
      </w:r>
      <w:r w:rsidRPr="00742DB3">
        <w:rPr>
          <w:rFonts w:ascii="Times New Roman" w:hAnsi="Times New Roman" w:cs="Times New Roman"/>
          <w:sz w:val="24"/>
          <w:szCs w:val="24"/>
          <w:lang w:val="es-ES"/>
        </w:rPr>
        <w:t xml:space="preserve">Nuestra hipótesis es </w:t>
      </w:r>
      <w:r w:rsidR="0045482F" w:rsidRPr="00742DB3">
        <w:rPr>
          <w:rFonts w:ascii="Times New Roman" w:hAnsi="Times New Roman" w:cs="Times New Roman"/>
          <w:sz w:val="24"/>
          <w:szCs w:val="24"/>
          <w:lang w:val="es-ES"/>
        </w:rPr>
        <w:t>que estos desplazamientos expresan</w:t>
      </w:r>
      <w:r w:rsidRPr="00742DB3">
        <w:rPr>
          <w:rFonts w:ascii="Times New Roman" w:hAnsi="Times New Roman" w:cs="Times New Roman"/>
          <w:sz w:val="24"/>
          <w:szCs w:val="24"/>
          <w:lang w:val="es-ES"/>
        </w:rPr>
        <w:t xml:space="preserve"> un cambio en el objeto </w:t>
      </w:r>
      <w:r w:rsidR="0045482F" w:rsidRPr="00742DB3">
        <w:rPr>
          <w:rFonts w:ascii="Times New Roman" w:hAnsi="Times New Roman" w:cs="Times New Roman"/>
          <w:sz w:val="24"/>
          <w:szCs w:val="24"/>
          <w:lang w:val="es-ES"/>
        </w:rPr>
        <w:t>de conocimiento</w:t>
      </w:r>
      <w:r w:rsidRPr="00742DB3">
        <w:rPr>
          <w:rFonts w:ascii="Times New Roman" w:hAnsi="Times New Roman" w:cs="Times New Roman"/>
          <w:sz w:val="24"/>
          <w:szCs w:val="24"/>
          <w:lang w:val="es-ES"/>
        </w:rPr>
        <w:t xml:space="preserve"> y también en el fundamento de </w:t>
      </w:r>
      <w:r w:rsidR="0045482F" w:rsidRPr="00742DB3">
        <w:rPr>
          <w:rFonts w:ascii="Times New Roman" w:hAnsi="Times New Roman" w:cs="Times New Roman"/>
          <w:sz w:val="24"/>
          <w:szCs w:val="24"/>
          <w:lang w:val="es-ES"/>
        </w:rPr>
        <w:t>la</w:t>
      </w:r>
      <w:r w:rsidRPr="00742DB3">
        <w:rPr>
          <w:rFonts w:ascii="Times New Roman" w:hAnsi="Times New Roman" w:cs="Times New Roman"/>
          <w:sz w:val="24"/>
          <w:szCs w:val="24"/>
          <w:lang w:val="es-ES"/>
        </w:rPr>
        <w:t xml:space="preserve"> legitimidad</w:t>
      </w:r>
      <w:r w:rsidR="0045482F" w:rsidRPr="00742DB3">
        <w:rPr>
          <w:rFonts w:ascii="Times New Roman" w:hAnsi="Times New Roman" w:cs="Times New Roman"/>
          <w:sz w:val="24"/>
          <w:szCs w:val="24"/>
          <w:lang w:val="es-ES"/>
        </w:rPr>
        <w:t xml:space="preserve"> de los</w:t>
      </w:r>
      <w:r w:rsidR="0045482F">
        <w:rPr>
          <w:rFonts w:ascii="Times New Roman" w:hAnsi="Times New Roman" w:cs="Times New Roman"/>
          <w:sz w:val="24"/>
          <w:szCs w:val="24"/>
          <w:lang w:val="es-ES"/>
        </w:rPr>
        <w:t xml:space="preserve"> saberes</w:t>
      </w:r>
      <w:r w:rsidRPr="00DC1C23">
        <w:rPr>
          <w:rFonts w:ascii="Times New Roman" w:hAnsi="Times New Roman" w:cs="Times New Roman"/>
          <w:sz w:val="24"/>
          <w:szCs w:val="24"/>
          <w:lang w:val="es-ES"/>
        </w:rPr>
        <w:t xml:space="preserve">. </w:t>
      </w:r>
    </w:p>
    <w:p w:rsidR="0045482F" w:rsidRPr="00DC1C23" w:rsidRDefault="0045482F" w:rsidP="007A6BCA">
      <w:pPr>
        <w:pStyle w:val="western"/>
        <w:spacing w:before="0" w:beforeAutospacing="0" w:after="0" w:line="360" w:lineRule="auto"/>
        <w:ind w:firstLine="567"/>
        <w:jc w:val="both"/>
        <w:rPr>
          <w:rFonts w:ascii="Times New Roman" w:hAnsi="Times New Roman" w:cs="Times New Roman"/>
          <w:lang w:val="es-ES"/>
        </w:rPr>
      </w:pPr>
    </w:p>
    <w:p w:rsidR="003B00A2" w:rsidRPr="00673D50" w:rsidRDefault="004A4314" w:rsidP="00673D50">
      <w:pPr>
        <w:pStyle w:val="Prrafodelista"/>
        <w:numPr>
          <w:ilvl w:val="0"/>
          <w:numId w:val="8"/>
        </w:numPr>
        <w:spacing w:after="0" w:line="360" w:lineRule="auto"/>
        <w:jc w:val="both"/>
        <w:rPr>
          <w:rFonts w:ascii="Times New Roman" w:hAnsi="Times New Roman" w:cs="Times New Roman"/>
          <w:b/>
          <w:smallCaps/>
          <w:sz w:val="24"/>
          <w:szCs w:val="24"/>
        </w:rPr>
      </w:pPr>
      <w:r w:rsidRPr="00673D50">
        <w:rPr>
          <w:rFonts w:ascii="Times New Roman" w:hAnsi="Times New Roman" w:cs="Times New Roman"/>
          <w:b/>
          <w:smallCaps/>
          <w:sz w:val="24"/>
          <w:szCs w:val="24"/>
        </w:rPr>
        <w:t xml:space="preserve">La nebulosa de las </w:t>
      </w:r>
      <w:r w:rsidR="001B6CDD" w:rsidRPr="00673D50">
        <w:rPr>
          <w:rFonts w:ascii="Times New Roman" w:hAnsi="Times New Roman" w:cs="Times New Roman"/>
          <w:b/>
          <w:smallCaps/>
          <w:sz w:val="24"/>
          <w:szCs w:val="24"/>
        </w:rPr>
        <w:t>reformas</w:t>
      </w:r>
      <w:r w:rsidRPr="00673D50">
        <w:rPr>
          <w:rFonts w:ascii="Times New Roman" w:hAnsi="Times New Roman" w:cs="Times New Roman"/>
          <w:b/>
          <w:smallCaps/>
          <w:sz w:val="24"/>
          <w:szCs w:val="24"/>
        </w:rPr>
        <w:t>: la relación entre ciencia y administración</w:t>
      </w:r>
    </w:p>
    <w:p w:rsidR="0094443C" w:rsidRPr="00DC1C23" w:rsidRDefault="004A4314" w:rsidP="007A6BCA">
      <w:pPr>
        <w:pStyle w:val="western"/>
        <w:spacing w:before="0" w:beforeAutospacing="0" w:after="0" w:line="360" w:lineRule="auto"/>
        <w:ind w:firstLine="567"/>
        <w:jc w:val="both"/>
        <w:rPr>
          <w:rFonts w:ascii="Times New Roman" w:hAnsi="Times New Roman" w:cs="Times New Roman"/>
          <w:sz w:val="24"/>
          <w:szCs w:val="24"/>
        </w:rPr>
      </w:pPr>
      <w:r w:rsidRPr="00DC1C23">
        <w:rPr>
          <w:rFonts w:ascii="Times New Roman" w:hAnsi="Times New Roman" w:cs="Times New Roman"/>
          <w:sz w:val="24"/>
          <w:szCs w:val="24"/>
        </w:rPr>
        <w:t xml:space="preserve">El estudio de los saberes expertos vinculados al campo de la política social </w:t>
      </w:r>
      <w:r w:rsidR="001B6CDD">
        <w:rPr>
          <w:rFonts w:ascii="Times New Roman" w:hAnsi="Times New Roman" w:cs="Times New Roman"/>
          <w:sz w:val="24"/>
          <w:szCs w:val="24"/>
        </w:rPr>
        <w:t xml:space="preserve">obedece a la conceptualización de </w:t>
      </w:r>
      <w:r w:rsidRPr="00DC1C23">
        <w:rPr>
          <w:rFonts w:ascii="Times New Roman" w:hAnsi="Times New Roman" w:cs="Times New Roman"/>
          <w:sz w:val="24"/>
          <w:szCs w:val="24"/>
        </w:rPr>
        <w:t xml:space="preserve">los regímenes de visibilidad y reconocimiento que entraña todo proceso de intervención social, sustentados en los efectos saber-poder. Como apunta </w:t>
      </w:r>
      <w:proofErr w:type="spellStart"/>
      <w:r w:rsidRPr="00DC1C23">
        <w:rPr>
          <w:rFonts w:ascii="Times New Roman" w:hAnsi="Times New Roman" w:cs="Times New Roman"/>
          <w:sz w:val="24"/>
          <w:szCs w:val="24"/>
        </w:rPr>
        <w:t>Topalov</w:t>
      </w:r>
      <w:proofErr w:type="spellEnd"/>
      <w:r w:rsidRPr="00DC1C23">
        <w:rPr>
          <w:rFonts w:ascii="Times New Roman" w:hAnsi="Times New Roman" w:cs="Times New Roman"/>
          <w:sz w:val="24"/>
          <w:szCs w:val="24"/>
        </w:rPr>
        <w:t xml:space="preserve"> (2004), la intervención sobre los sectores populares implica, de forma indisoluble, una mirada sobre los mismos y la representación de un “problema” pasible de ser </w:t>
      </w:r>
      <w:r w:rsidR="001B6CDD">
        <w:rPr>
          <w:rFonts w:ascii="Times New Roman" w:hAnsi="Times New Roman" w:cs="Times New Roman"/>
          <w:sz w:val="24"/>
          <w:szCs w:val="24"/>
        </w:rPr>
        <w:t>transformado</w:t>
      </w:r>
      <w:r w:rsidRPr="00DC1C23">
        <w:rPr>
          <w:rFonts w:ascii="Times New Roman" w:hAnsi="Times New Roman" w:cs="Times New Roman"/>
          <w:sz w:val="24"/>
          <w:szCs w:val="24"/>
        </w:rPr>
        <w:t>. De este modo, las categorías que piensan</w:t>
      </w:r>
      <w:r w:rsidR="004E3400" w:rsidRPr="00DC1C23">
        <w:rPr>
          <w:rFonts w:ascii="Times New Roman" w:hAnsi="Times New Roman" w:cs="Times New Roman"/>
          <w:sz w:val="24"/>
          <w:szCs w:val="24"/>
        </w:rPr>
        <w:t xml:space="preserve"> (y dicen)</w:t>
      </w:r>
      <w:r w:rsidRPr="00DC1C23">
        <w:rPr>
          <w:rFonts w:ascii="Times New Roman" w:hAnsi="Times New Roman" w:cs="Times New Roman"/>
          <w:sz w:val="24"/>
          <w:szCs w:val="24"/>
        </w:rPr>
        <w:t xml:space="preserve"> la realidad social y las prácticas para su </w:t>
      </w:r>
      <w:r w:rsidR="001B6CDD">
        <w:rPr>
          <w:rFonts w:ascii="Times New Roman" w:hAnsi="Times New Roman" w:cs="Times New Roman"/>
          <w:sz w:val="24"/>
          <w:szCs w:val="24"/>
        </w:rPr>
        <w:t>alteración</w:t>
      </w:r>
      <w:r w:rsidRPr="00DC1C23">
        <w:rPr>
          <w:rFonts w:ascii="Times New Roman" w:hAnsi="Times New Roman" w:cs="Times New Roman"/>
          <w:sz w:val="24"/>
          <w:szCs w:val="24"/>
        </w:rPr>
        <w:t xml:space="preserve"> conforman un todo.</w:t>
      </w:r>
      <w:r w:rsidR="004E3400" w:rsidRPr="00DC1C23">
        <w:rPr>
          <w:rFonts w:ascii="Times New Roman" w:hAnsi="Times New Roman" w:cs="Times New Roman"/>
          <w:sz w:val="24"/>
          <w:szCs w:val="24"/>
        </w:rPr>
        <w:t xml:space="preserve"> La política social misma puede pensarse como un espacio </w:t>
      </w:r>
      <w:r w:rsidRPr="00DC1C23">
        <w:rPr>
          <w:rFonts w:ascii="Times New Roman" w:hAnsi="Times New Roman" w:cs="Times New Roman"/>
          <w:sz w:val="24"/>
          <w:szCs w:val="24"/>
        </w:rPr>
        <w:t xml:space="preserve">en el </w:t>
      </w:r>
      <w:r w:rsidR="004E3400" w:rsidRPr="00DC1C23">
        <w:rPr>
          <w:rFonts w:ascii="Times New Roman" w:hAnsi="Times New Roman" w:cs="Times New Roman"/>
          <w:sz w:val="24"/>
          <w:szCs w:val="24"/>
        </w:rPr>
        <w:t>cual</w:t>
      </w:r>
      <w:r w:rsidRPr="00DC1C23">
        <w:rPr>
          <w:rFonts w:ascii="Times New Roman" w:hAnsi="Times New Roman" w:cs="Times New Roman"/>
          <w:sz w:val="24"/>
          <w:szCs w:val="24"/>
        </w:rPr>
        <w:t xml:space="preserve"> los problemas sociales se conforman de manera polémica y argumental (</w:t>
      </w:r>
      <w:proofErr w:type="spellStart"/>
      <w:r w:rsidRPr="00DC1C23">
        <w:rPr>
          <w:rFonts w:ascii="Times New Roman" w:hAnsi="Times New Roman" w:cs="Times New Roman"/>
          <w:sz w:val="24"/>
          <w:szCs w:val="24"/>
        </w:rPr>
        <w:t>Grassi</w:t>
      </w:r>
      <w:proofErr w:type="spellEnd"/>
      <w:r w:rsidRPr="00DC1C23">
        <w:rPr>
          <w:rFonts w:ascii="Times New Roman" w:hAnsi="Times New Roman" w:cs="Times New Roman"/>
          <w:sz w:val="24"/>
          <w:szCs w:val="24"/>
        </w:rPr>
        <w:t xml:space="preserve">, 2003), </w:t>
      </w:r>
      <w:r w:rsidR="004E3400" w:rsidRPr="00DC1C23">
        <w:rPr>
          <w:rFonts w:ascii="Times New Roman" w:hAnsi="Times New Roman" w:cs="Times New Roman"/>
          <w:sz w:val="24"/>
          <w:szCs w:val="24"/>
        </w:rPr>
        <w:t>y no solamente como una respuesta a problemas ya constituidos de manera previa y externa al campo.</w:t>
      </w:r>
      <w:r w:rsidR="001B6CDD">
        <w:rPr>
          <w:rFonts w:ascii="Times New Roman" w:hAnsi="Times New Roman" w:cs="Times New Roman"/>
          <w:sz w:val="24"/>
          <w:szCs w:val="24"/>
        </w:rPr>
        <w:t xml:space="preserve"> </w:t>
      </w:r>
      <w:r w:rsidR="004E3400" w:rsidRPr="00DC1C23">
        <w:rPr>
          <w:rFonts w:ascii="Times New Roman" w:hAnsi="Times New Roman" w:cs="Times New Roman"/>
          <w:sz w:val="24"/>
          <w:szCs w:val="24"/>
        </w:rPr>
        <w:t xml:space="preserve">Como forma política de la cuestión social, </w:t>
      </w:r>
      <w:r w:rsidR="001B6CDD">
        <w:rPr>
          <w:rFonts w:ascii="Times New Roman" w:hAnsi="Times New Roman" w:cs="Times New Roman"/>
          <w:sz w:val="24"/>
          <w:szCs w:val="24"/>
        </w:rPr>
        <w:t>ella</w:t>
      </w:r>
      <w:r w:rsidR="004E3400" w:rsidRPr="00DC1C23">
        <w:rPr>
          <w:rFonts w:ascii="Times New Roman" w:hAnsi="Times New Roman" w:cs="Times New Roman"/>
          <w:sz w:val="24"/>
          <w:szCs w:val="24"/>
        </w:rPr>
        <w:t xml:space="preserve"> es espacio y </w:t>
      </w:r>
      <w:r w:rsidR="001B6CDD">
        <w:rPr>
          <w:rFonts w:ascii="Times New Roman" w:hAnsi="Times New Roman" w:cs="Times New Roman"/>
          <w:sz w:val="24"/>
          <w:szCs w:val="24"/>
        </w:rPr>
        <w:t>producto</w:t>
      </w:r>
      <w:r w:rsidR="004E3400" w:rsidRPr="00DC1C23">
        <w:rPr>
          <w:rFonts w:ascii="Times New Roman" w:hAnsi="Times New Roman" w:cs="Times New Roman"/>
          <w:sz w:val="24"/>
          <w:szCs w:val="24"/>
        </w:rPr>
        <w:t xml:space="preserve"> de una batalla de categorías, explicaciones y definiciones sobre los problema</w:t>
      </w:r>
      <w:r w:rsidR="001B6CDD">
        <w:rPr>
          <w:rFonts w:ascii="Times New Roman" w:hAnsi="Times New Roman" w:cs="Times New Roman"/>
          <w:sz w:val="24"/>
          <w:szCs w:val="24"/>
        </w:rPr>
        <w:t>s y sujetos que comprende.</w:t>
      </w:r>
    </w:p>
    <w:p w:rsidR="002A1B9F" w:rsidRDefault="004A4314" w:rsidP="007A6BCA">
      <w:pPr>
        <w:pStyle w:val="western"/>
        <w:spacing w:before="0" w:beforeAutospacing="0" w:after="0" w:line="360" w:lineRule="auto"/>
        <w:ind w:firstLine="567"/>
        <w:jc w:val="both"/>
        <w:rPr>
          <w:rFonts w:ascii="Times New Roman" w:hAnsi="Times New Roman" w:cs="Times New Roman"/>
          <w:sz w:val="24"/>
          <w:szCs w:val="24"/>
        </w:rPr>
      </w:pPr>
      <w:r w:rsidRPr="00DC1C23">
        <w:rPr>
          <w:rFonts w:ascii="Times New Roman" w:hAnsi="Times New Roman" w:cs="Times New Roman"/>
          <w:sz w:val="24"/>
          <w:szCs w:val="24"/>
        </w:rPr>
        <w:t xml:space="preserve">La constitución histórica de la política social como campo institucional </w:t>
      </w:r>
      <w:r w:rsidR="00E752A1">
        <w:rPr>
          <w:rFonts w:ascii="Times New Roman" w:hAnsi="Times New Roman" w:cs="Times New Roman"/>
          <w:sz w:val="24"/>
          <w:szCs w:val="24"/>
        </w:rPr>
        <w:t>señala el</w:t>
      </w:r>
      <w:r w:rsidRPr="00DC1C23">
        <w:rPr>
          <w:rFonts w:ascii="Times New Roman" w:hAnsi="Times New Roman" w:cs="Times New Roman"/>
          <w:sz w:val="24"/>
          <w:szCs w:val="24"/>
        </w:rPr>
        <w:t xml:space="preserve"> enlazamiento entre “ciencia y a</w:t>
      </w:r>
      <w:r w:rsidR="00E752A1">
        <w:rPr>
          <w:rFonts w:ascii="Times New Roman" w:hAnsi="Times New Roman" w:cs="Times New Roman"/>
          <w:sz w:val="24"/>
          <w:szCs w:val="24"/>
        </w:rPr>
        <w:t>dministración” (</w:t>
      </w:r>
      <w:proofErr w:type="spellStart"/>
      <w:r w:rsidR="00E752A1">
        <w:rPr>
          <w:rFonts w:ascii="Times New Roman" w:hAnsi="Times New Roman" w:cs="Times New Roman"/>
          <w:sz w:val="24"/>
          <w:szCs w:val="24"/>
        </w:rPr>
        <w:t>Topalov</w:t>
      </w:r>
      <w:proofErr w:type="spellEnd"/>
      <w:r w:rsidR="00E752A1">
        <w:rPr>
          <w:rFonts w:ascii="Times New Roman" w:hAnsi="Times New Roman" w:cs="Times New Roman"/>
          <w:sz w:val="24"/>
          <w:szCs w:val="24"/>
        </w:rPr>
        <w:t>, 2004). La estatalización de la cuestión social entrañó el proceso de la profesionalización de la interven</w:t>
      </w:r>
      <w:r w:rsidR="002A1B9F">
        <w:rPr>
          <w:rFonts w:ascii="Times New Roman" w:hAnsi="Times New Roman" w:cs="Times New Roman"/>
          <w:sz w:val="24"/>
          <w:szCs w:val="24"/>
        </w:rPr>
        <w:t xml:space="preserve">ción en torno a ella </w:t>
      </w:r>
      <w:r w:rsidRPr="00DC1C23">
        <w:rPr>
          <w:rFonts w:ascii="Times New Roman" w:hAnsi="Times New Roman" w:cs="Times New Roman"/>
          <w:sz w:val="24"/>
          <w:szCs w:val="24"/>
        </w:rPr>
        <w:t>(</w:t>
      </w:r>
      <w:proofErr w:type="spellStart"/>
      <w:r w:rsidRPr="00DC1C23">
        <w:rPr>
          <w:rFonts w:ascii="Times New Roman" w:hAnsi="Times New Roman" w:cs="Times New Roman"/>
          <w:sz w:val="24"/>
          <w:szCs w:val="24"/>
        </w:rPr>
        <w:t>Donzelot</w:t>
      </w:r>
      <w:proofErr w:type="spellEnd"/>
      <w:r w:rsidRPr="00DC1C23">
        <w:rPr>
          <w:rFonts w:ascii="Times New Roman" w:hAnsi="Times New Roman" w:cs="Times New Roman"/>
          <w:sz w:val="24"/>
          <w:szCs w:val="24"/>
        </w:rPr>
        <w:t xml:space="preserve">, </w:t>
      </w:r>
      <w:r w:rsidR="0094443C" w:rsidRPr="00DC1C23">
        <w:rPr>
          <w:rFonts w:ascii="Times New Roman" w:hAnsi="Times New Roman" w:cs="Times New Roman"/>
          <w:sz w:val="24"/>
          <w:szCs w:val="24"/>
        </w:rPr>
        <w:t>2007;</w:t>
      </w:r>
      <w:r w:rsidRPr="00DC1C23">
        <w:rPr>
          <w:rFonts w:ascii="Times New Roman" w:hAnsi="Times New Roman" w:cs="Times New Roman"/>
          <w:sz w:val="24"/>
          <w:szCs w:val="24"/>
        </w:rPr>
        <w:t xml:space="preserve"> </w:t>
      </w:r>
      <w:proofErr w:type="spellStart"/>
      <w:r w:rsidRPr="00DC1C23">
        <w:rPr>
          <w:rFonts w:ascii="Times New Roman" w:hAnsi="Times New Roman" w:cs="Times New Roman"/>
          <w:sz w:val="24"/>
          <w:szCs w:val="24"/>
        </w:rPr>
        <w:t>Topalov</w:t>
      </w:r>
      <w:proofErr w:type="spellEnd"/>
      <w:r w:rsidRPr="00DC1C23">
        <w:rPr>
          <w:rFonts w:ascii="Times New Roman" w:hAnsi="Times New Roman" w:cs="Times New Roman"/>
          <w:sz w:val="24"/>
          <w:szCs w:val="24"/>
        </w:rPr>
        <w:t xml:space="preserve">, 2004). La </w:t>
      </w:r>
      <w:proofErr w:type="spellStart"/>
      <w:r w:rsidRPr="00DC1C23">
        <w:rPr>
          <w:rFonts w:ascii="Times New Roman" w:hAnsi="Times New Roman" w:cs="Times New Roman"/>
          <w:i/>
          <w:iCs/>
          <w:sz w:val="24"/>
          <w:szCs w:val="24"/>
        </w:rPr>
        <w:t>expertise</w:t>
      </w:r>
      <w:proofErr w:type="spellEnd"/>
      <w:r w:rsidRPr="00DC1C23">
        <w:rPr>
          <w:rFonts w:ascii="Times New Roman" w:hAnsi="Times New Roman" w:cs="Times New Roman"/>
          <w:sz w:val="24"/>
          <w:szCs w:val="24"/>
        </w:rPr>
        <w:t>, como forma específica de conocer e intervenir sobre el mundo, contiene la ambivalencia de su constitución: se ha</w:t>
      </w:r>
      <w:r w:rsidR="00DC1C23">
        <w:rPr>
          <w:rFonts w:ascii="Times New Roman" w:hAnsi="Times New Roman" w:cs="Times New Roman"/>
          <w:sz w:val="24"/>
          <w:szCs w:val="24"/>
        </w:rPr>
        <w:t>ll</w:t>
      </w:r>
      <w:r w:rsidRPr="00DC1C23">
        <w:rPr>
          <w:rFonts w:ascii="Times New Roman" w:hAnsi="Times New Roman" w:cs="Times New Roman"/>
          <w:sz w:val="24"/>
          <w:szCs w:val="24"/>
        </w:rPr>
        <w:t xml:space="preserve">a en la intersección entre </w:t>
      </w:r>
      <w:r w:rsidRPr="00DC1C23">
        <w:rPr>
          <w:rFonts w:ascii="Times New Roman" w:hAnsi="Times New Roman" w:cs="Times New Roman"/>
          <w:sz w:val="24"/>
          <w:szCs w:val="24"/>
        </w:rPr>
        <w:lastRenderedPageBreak/>
        <w:t xml:space="preserve">el mundo académico e intelectual –pues es una práctica científica- y el campo del poder y la política. </w:t>
      </w:r>
      <w:proofErr w:type="spellStart"/>
      <w:r w:rsidRPr="00DC1C23">
        <w:rPr>
          <w:rFonts w:ascii="Times New Roman" w:hAnsi="Times New Roman" w:cs="Times New Roman"/>
          <w:sz w:val="24"/>
          <w:szCs w:val="24"/>
        </w:rPr>
        <w:t>Morresi</w:t>
      </w:r>
      <w:proofErr w:type="spellEnd"/>
      <w:r w:rsidRPr="00DC1C23">
        <w:rPr>
          <w:rFonts w:ascii="Times New Roman" w:hAnsi="Times New Roman" w:cs="Times New Roman"/>
          <w:sz w:val="24"/>
          <w:szCs w:val="24"/>
        </w:rPr>
        <w:t xml:space="preserve"> y </w:t>
      </w:r>
      <w:proofErr w:type="spellStart"/>
      <w:r w:rsidRPr="00DC1C23">
        <w:rPr>
          <w:rFonts w:ascii="Times New Roman" w:hAnsi="Times New Roman" w:cs="Times New Roman"/>
          <w:sz w:val="24"/>
          <w:szCs w:val="24"/>
        </w:rPr>
        <w:t>Vommaro</w:t>
      </w:r>
      <w:proofErr w:type="spellEnd"/>
      <w:r w:rsidRPr="00DC1C23">
        <w:rPr>
          <w:rFonts w:ascii="Times New Roman" w:hAnsi="Times New Roman" w:cs="Times New Roman"/>
          <w:sz w:val="24"/>
          <w:szCs w:val="24"/>
        </w:rPr>
        <w:t xml:space="preserve"> (201</w:t>
      </w:r>
      <w:r w:rsidR="004366B3">
        <w:rPr>
          <w:rFonts w:ascii="Times New Roman" w:hAnsi="Times New Roman" w:cs="Times New Roman"/>
          <w:sz w:val="24"/>
          <w:szCs w:val="24"/>
        </w:rPr>
        <w:t>2</w:t>
      </w:r>
      <w:r w:rsidRPr="00DC1C23">
        <w:rPr>
          <w:rFonts w:ascii="Times New Roman" w:hAnsi="Times New Roman" w:cs="Times New Roman"/>
          <w:sz w:val="24"/>
          <w:szCs w:val="24"/>
        </w:rPr>
        <w:t xml:space="preserve">) definen a la actividad experta como una forma específica de intervención en el campo del poder, cuya legitimidad se sustenta en la producción de bienes materiales y simbólicos técnicamente fundados, ligados a un campo disciplinar o profesional. Curiosamente, a partir de esta intersección, se producen efectos de </w:t>
      </w:r>
      <w:r w:rsidRPr="00DC1C23">
        <w:rPr>
          <w:rFonts w:ascii="Times New Roman" w:hAnsi="Times New Roman" w:cs="Times New Roman"/>
          <w:i/>
          <w:iCs/>
          <w:sz w:val="24"/>
          <w:szCs w:val="24"/>
        </w:rPr>
        <w:t>despolitización</w:t>
      </w:r>
      <w:r w:rsidRPr="00DC1C23">
        <w:rPr>
          <w:rFonts w:ascii="Times New Roman" w:hAnsi="Times New Roman" w:cs="Times New Roman"/>
          <w:sz w:val="24"/>
          <w:szCs w:val="24"/>
        </w:rPr>
        <w:t xml:space="preserve"> en la problematización de la cuestión social, por el dominio que so</w:t>
      </w:r>
      <w:r w:rsidR="0094443C" w:rsidRPr="00DC1C23">
        <w:rPr>
          <w:rFonts w:ascii="Times New Roman" w:hAnsi="Times New Roman" w:cs="Times New Roman"/>
          <w:sz w:val="24"/>
          <w:szCs w:val="24"/>
        </w:rPr>
        <w:t>bre ella ejercen estos saberes (</w:t>
      </w:r>
      <w:proofErr w:type="spellStart"/>
      <w:r w:rsidR="0094443C" w:rsidRPr="00DC1C23">
        <w:rPr>
          <w:rFonts w:ascii="Times New Roman" w:hAnsi="Times New Roman" w:cs="Times New Roman"/>
          <w:sz w:val="24"/>
          <w:szCs w:val="24"/>
        </w:rPr>
        <w:t>Topalov</w:t>
      </w:r>
      <w:proofErr w:type="spellEnd"/>
      <w:r w:rsidR="0094443C" w:rsidRPr="00DC1C23">
        <w:rPr>
          <w:rFonts w:ascii="Times New Roman" w:hAnsi="Times New Roman" w:cs="Times New Roman"/>
          <w:sz w:val="24"/>
          <w:szCs w:val="24"/>
        </w:rPr>
        <w:t xml:space="preserve">, 2004). </w:t>
      </w:r>
      <w:r w:rsidR="002A1B9F">
        <w:rPr>
          <w:rFonts w:ascii="Times New Roman" w:hAnsi="Times New Roman" w:cs="Times New Roman"/>
          <w:sz w:val="24"/>
          <w:szCs w:val="24"/>
        </w:rPr>
        <w:t>Ellos</w:t>
      </w:r>
      <w:r w:rsidRPr="00DC1C23">
        <w:rPr>
          <w:rFonts w:ascii="Times New Roman" w:hAnsi="Times New Roman" w:cs="Times New Roman"/>
          <w:sz w:val="24"/>
          <w:szCs w:val="24"/>
        </w:rPr>
        <w:t xml:space="preserve"> despliegan un doble proceso de conocimiento/enmascaramiento sobre la vida popular, </w:t>
      </w:r>
      <w:r w:rsidR="002A1B9F">
        <w:rPr>
          <w:rFonts w:ascii="Times New Roman" w:hAnsi="Times New Roman" w:cs="Times New Roman"/>
          <w:sz w:val="24"/>
          <w:szCs w:val="24"/>
        </w:rPr>
        <w:t>rompiendo la relación entre saberes y prácticas populares</w:t>
      </w:r>
      <w:r w:rsidRPr="00DC1C23">
        <w:rPr>
          <w:rFonts w:ascii="Times New Roman" w:hAnsi="Times New Roman" w:cs="Times New Roman"/>
          <w:sz w:val="24"/>
          <w:szCs w:val="24"/>
        </w:rPr>
        <w:t xml:space="preserve">. </w:t>
      </w:r>
      <w:r w:rsidR="002A1B9F">
        <w:rPr>
          <w:rFonts w:ascii="Times New Roman" w:hAnsi="Times New Roman" w:cs="Times New Roman"/>
          <w:sz w:val="24"/>
          <w:szCs w:val="24"/>
        </w:rPr>
        <w:t>En tanto la discusión sobre los problemas sociales se torna asunto de especialistas, ellos monopolizan el debate público, alterando el carácter público del debate</w:t>
      </w:r>
    </w:p>
    <w:p w:rsidR="00423788" w:rsidRDefault="0094443C" w:rsidP="00423788">
      <w:pPr>
        <w:pStyle w:val="western"/>
        <w:spacing w:before="0" w:beforeAutospacing="0" w:after="0" w:line="360" w:lineRule="auto"/>
        <w:ind w:firstLine="567"/>
        <w:jc w:val="both"/>
        <w:rPr>
          <w:rFonts w:ascii="Times New Roman" w:hAnsi="Times New Roman" w:cs="Times New Roman"/>
          <w:sz w:val="24"/>
          <w:szCs w:val="24"/>
        </w:rPr>
      </w:pPr>
      <w:r w:rsidRPr="00DC1C23">
        <w:rPr>
          <w:rFonts w:ascii="Times New Roman" w:hAnsi="Times New Roman" w:cs="Times New Roman"/>
          <w:sz w:val="24"/>
          <w:szCs w:val="24"/>
        </w:rPr>
        <w:t>L</w:t>
      </w:r>
      <w:r w:rsidR="004A4314" w:rsidRPr="00DC1C23">
        <w:rPr>
          <w:rFonts w:ascii="Times New Roman" w:hAnsi="Times New Roman" w:cs="Times New Roman"/>
          <w:sz w:val="24"/>
          <w:szCs w:val="24"/>
        </w:rPr>
        <w:t xml:space="preserve">a delimitación de un dominio de </w:t>
      </w:r>
      <w:proofErr w:type="spellStart"/>
      <w:r w:rsidR="004A4314" w:rsidRPr="00DC1C23">
        <w:rPr>
          <w:rFonts w:ascii="Times New Roman" w:hAnsi="Times New Roman" w:cs="Times New Roman"/>
          <w:i/>
          <w:iCs/>
          <w:sz w:val="24"/>
          <w:szCs w:val="24"/>
        </w:rPr>
        <w:t>expertise</w:t>
      </w:r>
      <w:proofErr w:type="spellEnd"/>
      <w:r w:rsidR="004A4314" w:rsidRPr="00DC1C23">
        <w:rPr>
          <w:rFonts w:ascii="Times New Roman" w:hAnsi="Times New Roman" w:cs="Times New Roman"/>
          <w:sz w:val="24"/>
          <w:szCs w:val="24"/>
        </w:rPr>
        <w:t xml:space="preserve"> tiene </w:t>
      </w:r>
      <w:r w:rsidRPr="00DC1C23">
        <w:rPr>
          <w:rFonts w:ascii="Times New Roman" w:hAnsi="Times New Roman" w:cs="Times New Roman"/>
          <w:sz w:val="24"/>
          <w:szCs w:val="24"/>
        </w:rPr>
        <w:t>por</w:t>
      </w:r>
      <w:r w:rsidR="004A4314" w:rsidRPr="00DC1C23">
        <w:rPr>
          <w:rFonts w:ascii="Times New Roman" w:hAnsi="Times New Roman" w:cs="Times New Roman"/>
          <w:sz w:val="24"/>
          <w:szCs w:val="24"/>
        </w:rPr>
        <w:t xml:space="preserve"> condición </w:t>
      </w:r>
      <w:r w:rsidRPr="00DC1C23">
        <w:rPr>
          <w:rFonts w:ascii="Times New Roman" w:hAnsi="Times New Roman" w:cs="Times New Roman"/>
          <w:sz w:val="24"/>
          <w:szCs w:val="24"/>
        </w:rPr>
        <w:t>un</w:t>
      </w:r>
      <w:r w:rsidR="004A4314" w:rsidRPr="00DC1C23">
        <w:rPr>
          <w:rFonts w:ascii="Times New Roman" w:hAnsi="Times New Roman" w:cs="Times New Roman"/>
          <w:sz w:val="24"/>
          <w:szCs w:val="24"/>
        </w:rPr>
        <w:t xml:space="preserve"> proceso de construcción de legitimidad de su discurso (de los saberes que entrelaza, sus formas de enunciación), de los instrumentos técnicos que moviliza, de los fundamentos de sus saberes, y de los propios expertos como portadores de los mismos (</w:t>
      </w:r>
      <w:proofErr w:type="spellStart"/>
      <w:r w:rsidR="004A4314" w:rsidRPr="00DC1C23">
        <w:rPr>
          <w:rFonts w:ascii="Times New Roman" w:hAnsi="Times New Roman" w:cs="Times New Roman"/>
          <w:sz w:val="24"/>
          <w:szCs w:val="24"/>
        </w:rPr>
        <w:t>Morresi</w:t>
      </w:r>
      <w:proofErr w:type="spellEnd"/>
      <w:r w:rsidR="004366B3">
        <w:rPr>
          <w:rFonts w:ascii="Times New Roman" w:hAnsi="Times New Roman" w:cs="Times New Roman"/>
          <w:sz w:val="24"/>
          <w:szCs w:val="24"/>
        </w:rPr>
        <w:t xml:space="preserve"> y </w:t>
      </w:r>
      <w:proofErr w:type="spellStart"/>
      <w:r w:rsidR="004366B3">
        <w:rPr>
          <w:rFonts w:ascii="Times New Roman" w:hAnsi="Times New Roman" w:cs="Times New Roman"/>
          <w:sz w:val="24"/>
          <w:szCs w:val="24"/>
        </w:rPr>
        <w:t>Vommaro</w:t>
      </w:r>
      <w:proofErr w:type="spellEnd"/>
      <w:r w:rsidR="004366B3">
        <w:rPr>
          <w:rFonts w:ascii="Times New Roman" w:hAnsi="Times New Roman" w:cs="Times New Roman"/>
          <w:sz w:val="24"/>
          <w:szCs w:val="24"/>
        </w:rPr>
        <w:t>, 2012</w:t>
      </w:r>
      <w:r w:rsidR="004A4314" w:rsidRPr="00DC1C23">
        <w:rPr>
          <w:rFonts w:ascii="Times New Roman" w:hAnsi="Times New Roman" w:cs="Times New Roman"/>
          <w:sz w:val="24"/>
          <w:szCs w:val="24"/>
        </w:rPr>
        <w:t>).</w:t>
      </w:r>
      <w:r w:rsidRPr="00DC1C23">
        <w:rPr>
          <w:rFonts w:ascii="Times New Roman" w:hAnsi="Times New Roman" w:cs="Times New Roman"/>
          <w:sz w:val="24"/>
          <w:szCs w:val="24"/>
          <w:vertAlign w:val="superscript"/>
        </w:rPr>
        <w:t xml:space="preserve"> </w:t>
      </w:r>
      <w:r w:rsidR="00423788" w:rsidRPr="00DC1C23">
        <w:rPr>
          <w:rFonts w:ascii="Times New Roman" w:hAnsi="Times New Roman" w:cs="Times New Roman"/>
          <w:sz w:val="24"/>
          <w:szCs w:val="24"/>
        </w:rPr>
        <w:t xml:space="preserve">Desde las primeras reformas sociales, un fundamento recurrente de legitimidad de estos saberes expertos yació en la asociación entre objetividad científica </w:t>
      </w:r>
      <w:r w:rsidR="00423788" w:rsidRPr="00742DB3">
        <w:rPr>
          <w:rFonts w:ascii="Times New Roman" w:hAnsi="Times New Roman" w:cs="Times New Roman"/>
          <w:sz w:val="24"/>
          <w:szCs w:val="24"/>
        </w:rPr>
        <w:t>y neutralidad política, representándose a sí mismos por fuera y por encima de la lucha social. Sin embargo, no es un fundamento único ni atemporal, como intentaremos demostrar en este trabajo.</w:t>
      </w:r>
      <w:r w:rsidR="00423788" w:rsidRPr="00742DB3">
        <w:rPr>
          <w:rStyle w:val="Refdenotaalpie"/>
          <w:rFonts w:ascii="Times New Roman" w:hAnsi="Times New Roman" w:cs="Times New Roman"/>
          <w:sz w:val="24"/>
          <w:szCs w:val="24"/>
        </w:rPr>
        <w:footnoteReference w:id="1"/>
      </w:r>
      <w:r w:rsidR="00423788" w:rsidRPr="00742DB3">
        <w:rPr>
          <w:rFonts w:ascii="Times New Roman" w:hAnsi="Times New Roman" w:cs="Times New Roman"/>
          <w:sz w:val="24"/>
          <w:szCs w:val="24"/>
        </w:rPr>
        <w:t xml:space="preserve">Por el contrario, </w:t>
      </w:r>
      <w:r w:rsidR="004A4314" w:rsidRPr="00742DB3">
        <w:rPr>
          <w:rFonts w:ascii="Times New Roman" w:hAnsi="Times New Roman" w:cs="Times New Roman"/>
          <w:sz w:val="24"/>
          <w:szCs w:val="24"/>
        </w:rPr>
        <w:t xml:space="preserve">estos fundamentos </w:t>
      </w:r>
      <w:r w:rsidRPr="00742DB3">
        <w:rPr>
          <w:rFonts w:ascii="Times New Roman" w:hAnsi="Times New Roman" w:cs="Times New Roman"/>
          <w:sz w:val="24"/>
          <w:szCs w:val="24"/>
        </w:rPr>
        <w:t xml:space="preserve">se transforman a través de </w:t>
      </w:r>
      <w:r w:rsidR="004A4314" w:rsidRPr="00742DB3">
        <w:rPr>
          <w:rFonts w:ascii="Times New Roman" w:hAnsi="Times New Roman" w:cs="Times New Roman"/>
          <w:sz w:val="24"/>
          <w:szCs w:val="24"/>
        </w:rPr>
        <w:t>procesos interiores y exter</w:t>
      </w:r>
      <w:r w:rsidRPr="00742DB3">
        <w:rPr>
          <w:rFonts w:ascii="Times New Roman" w:hAnsi="Times New Roman" w:cs="Times New Roman"/>
          <w:sz w:val="24"/>
          <w:szCs w:val="24"/>
        </w:rPr>
        <w:t>iores</w:t>
      </w:r>
      <w:r w:rsidR="004A4314" w:rsidRPr="00742DB3">
        <w:rPr>
          <w:rFonts w:ascii="Times New Roman" w:hAnsi="Times New Roman" w:cs="Times New Roman"/>
          <w:sz w:val="24"/>
          <w:szCs w:val="24"/>
        </w:rPr>
        <w:t xml:space="preserve"> a los</w:t>
      </w:r>
      <w:r w:rsidR="004A4314" w:rsidRPr="00DC1C23">
        <w:rPr>
          <w:rFonts w:ascii="Times New Roman" w:hAnsi="Times New Roman" w:cs="Times New Roman"/>
          <w:sz w:val="24"/>
          <w:szCs w:val="24"/>
        </w:rPr>
        <w:t xml:space="preserve"> campos de conocimiento, </w:t>
      </w:r>
      <w:r w:rsidRPr="00DC1C23">
        <w:rPr>
          <w:rFonts w:ascii="Times New Roman" w:hAnsi="Times New Roman" w:cs="Times New Roman"/>
          <w:sz w:val="24"/>
          <w:szCs w:val="24"/>
        </w:rPr>
        <w:t xml:space="preserve">entre lógicas técnico-especializadas y políticas, </w:t>
      </w:r>
      <w:r w:rsidR="00423788">
        <w:rPr>
          <w:rFonts w:ascii="Times New Roman" w:hAnsi="Times New Roman" w:cs="Times New Roman"/>
          <w:sz w:val="24"/>
          <w:szCs w:val="24"/>
        </w:rPr>
        <w:t>por la</w:t>
      </w:r>
      <w:r w:rsidR="004A4314" w:rsidRPr="00DC1C23">
        <w:rPr>
          <w:rFonts w:ascii="Times New Roman" w:hAnsi="Times New Roman" w:cs="Times New Roman"/>
          <w:sz w:val="24"/>
          <w:szCs w:val="24"/>
        </w:rPr>
        <w:t>s que se construye una “oferta</w:t>
      </w:r>
      <w:r w:rsidR="00423788">
        <w:rPr>
          <w:rFonts w:ascii="Times New Roman" w:hAnsi="Times New Roman" w:cs="Times New Roman"/>
          <w:sz w:val="24"/>
          <w:szCs w:val="24"/>
        </w:rPr>
        <w:t xml:space="preserve"> de saber” de utilidad práctica y</w:t>
      </w:r>
      <w:r w:rsidR="004A4314" w:rsidRPr="00DC1C23">
        <w:rPr>
          <w:rFonts w:ascii="Times New Roman" w:hAnsi="Times New Roman" w:cs="Times New Roman"/>
          <w:sz w:val="24"/>
          <w:szCs w:val="24"/>
        </w:rPr>
        <w:t xml:space="preserve"> una “demanda social” de dichos recursos y herramientas para la intervención en diversos campos </w:t>
      </w:r>
      <w:r w:rsidRPr="00DC1C23">
        <w:rPr>
          <w:rFonts w:ascii="Times New Roman" w:hAnsi="Times New Roman" w:cs="Times New Roman"/>
          <w:sz w:val="24"/>
          <w:szCs w:val="24"/>
        </w:rPr>
        <w:t xml:space="preserve">de actividad </w:t>
      </w:r>
      <w:r w:rsidR="004366B3">
        <w:rPr>
          <w:rFonts w:ascii="Times New Roman" w:hAnsi="Times New Roman" w:cs="Times New Roman"/>
          <w:sz w:val="24"/>
          <w:szCs w:val="24"/>
        </w:rPr>
        <w:t>(</w:t>
      </w:r>
      <w:proofErr w:type="spellStart"/>
      <w:r w:rsidR="004366B3">
        <w:rPr>
          <w:rFonts w:ascii="Times New Roman" w:hAnsi="Times New Roman" w:cs="Times New Roman"/>
          <w:sz w:val="24"/>
          <w:szCs w:val="24"/>
        </w:rPr>
        <w:t>Morresi</w:t>
      </w:r>
      <w:proofErr w:type="spellEnd"/>
      <w:r w:rsidR="004366B3">
        <w:rPr>
          <w:rFonts w:ascii="Times New Roman" w:hAnsi="Times New Roman" w:cs="Times New Roman"/>
          <w:sz w:val="24"/>
          <w:szCs w:val="24"/>
        </w:rPr>
        <w:t xml:space="preserve"> y </w:t>
      </w:r>
      <w:proofErr w:type="spellStart"/>
      <w:r w:rsidR="004366B3">
        <w:rPr>
          <w:rFonts w:ascii="Times New Roman" w:hAnsi="Times New Roman" w:cs="Times New Roman"/>
          <w:sz w:val="24"/>
          <w:szCs w:val="24"/>
        </w:rPr>
        <w:t>Vommaro</w:t>
      </w:r>
      <w:proofErr w:type="spellEnd"/>
      <w:r w:rsidR="004366B3">
        <w:rPr>
          <w:rFonts w:ascii="Times New Roman" w:hAnsi="Times New Roman" w:cs="Times New Roman"/>
          <w:sz w:val="24"/>
          <w:szCs w:val="24"/>
        </w:rPr>
        <w:t>, 2012</w:t>
      </w:r>
      <w:r w:rsidR="004A4314" w:rsidRPr="00DC1C23">
        <w:rPr>
          <w:rFonts w:ascii="Times New Roman" w:hAnsi="Times New Roman" w:cs="Times New Roman"/>
          <w:sz w:val="24"/>
          <w:szCs w:val="24"/>
        </w:rPr>
        <w:t xml:space="preserve">). Se produce, así, una red de saberes, técnicas, sujetos y espacios institucionales, que </w:t>
      </w:r>
      <w:proofErr w:type="spellStart"/>
      <w:r w:rsidR="004A4314" w:rsidRPr="00DC1C23">
        <w:rPr>
          <w:rFonts w:ascii="Times New Roman" w:hAnsi="Times New Roman" w:cs="Times New Roman"/>
          <w:sz w:val="24"/>
          <w:szCs w:val="24"/>
        </w:rPr>
        <w:t>Topalov</w:t>
      </w:r>
      <w:proofErr w:type="spellEnd"/>
      <w:r w:rsidR="004A4314" w:rsidRPr="00DC1C23">
        <w:rPr>
          <w:rFonts w:ascii="Times New Roman" w:hAnsi="Times New Roman" w:cs="Times New Roman"/>
          <w:sz w:val="24"/>
          <w:szCs w:val="24"/>
        </w:rPr>
        <w:t xml:space="preserve"> llama “nebulosa de la reforma”, en base a la cual es posible reconstruir una unidad del proceso pese a la heterogeneidad y multiplicidad de los circuitos de producción y circulación.</w:t>
      </w:r>
    </w:p>
    <w:p w:rsidR="007E338C" w:rsidRPr="00DC1C23" w:rsidRDefault="007E338C" w:rsidP="007E338C">
      <w:pPr>
        <w:pStyle w:val="western"/>
        <w:spacing w:before="0" w:beforeAutospacing="0" w:after="0" w:line="360" w:lineRule="auto"/>
        <w:ind w:firstLine="567"/>
        <w:jc w:val="both"/>
        <w:rPr>
          <w:rFonts w:ascii="Times New Roman" w:hAnsi="Times New Roman" w:cs="Times New Roman"/>
          <w:sz w:val="24"/>
          <w:szCs w:val="24"/>
          <w:lang w:val="es-ES"/>
        </w:rPr>
      </w:pPr>
    </w:p>
    <w:p w:rsidR="007E338C" w:rsidRPr="0080795B" w:rsidRDefault="007E338C" w:rsidP="007E338C">
      <w:pPr>
        <w:pStyle w:val="western"/>
        <w:numPr>
          <w:ilvl w:val="0"/>
          <w:numId w:val="8"/>
        </w:numPr>
        <w:spacing w:before="0" w:beforeAutospacing="0" w:after="0" w:line="360" w:lineRule="auto"/>
        <w:jc w:val="both"/>
        <w:rPr>
          <w:rFonts w:ascii="Times New Roman" w:hAnsi="Times New Roman" w:cs="Times New Roman"/>
          <w:smallCaps/>
          <w:sz w:val="24"/>
          <w:szCs w:val="24"/>
        </w:rPr>
      </w:pPr>
      <w:r w:rsidRPr="0080795B">
        <w:rPr>
          <w:rFonts w:ascii="Times New Roman" w:hAnsi="Times New Roman" w:cs="Times New Roman"/>
          <w:b/>
          <w:smallCaps/>
          <w:sz w:val="24"/>
          <w:szCs w:val="24"/>
          <w:lang w:val="es-ES"/>
        </w:rPr>
        <w:t xml:space="preserve">Saberes expertos, programáticas y </w:t>
      </w:r>
      <w:proofErr w:type="spellStart"/>
      <w:r w:rsidRPr="0080795B">
        <w:rPr>
          <w:rFonts w:ascii="Times New Roman" w:hAnsi="Times New Roman" w:cs="Times New Roman"/>
          <w:b/>
          <w:smallCaps/>
          <w:sz w:val="24"/>
          <w:szCs w:val="24"/>
          <w:lang w:val="es-ES"/>
        </w:rPr>
        <w:t>discursividades</w:t>
      </w:r>
      <w:proofErr w:type="spellEnd"/>
      <w:r w:rsidRPr="0080795B">
        <w:rPr>
          <w:rFonts w:ascii="Times New Roman" w:hAnsi="Times New Roman" w:cs="Times New Roman"/>
          <w:smallCaps/>
          <w:sz w:val="24"/>
          <w:szCs w:val="24"/>
        </w:rPr>
        <w:t xml:space="preserve"> </w:t>
      </w:r>
    </w:p>
    <w:p w:rsidR="007E338C" w:rsidRPr="00DC1C23" w:rsidRDefault="007E338C" w:rsidP="007E338C">
      <w:pPr>
        <w:pStyle w:val="western"/>
        <w:spacing w:before="0" w:beforeAutospacing="0"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E</w:t>
      </w:r>
      <w:r w:rsidRPr="00DC1C23">
        <w:rPr>
          <w:rFonts w:ascii="Times New Roman" w:hAnsi="Times New Roman" w:cs="Times New Roman"/>
          <w:sz w:val="24"/>
          <w:szCs w:val="24"/>
        </w:rPr>
        <w:t xml:space="preserve">n su análisis de los estudios sobre los saberes expertos, </w:t>
      </w:r>
      <w:proofErr w:type="spellStart"/>
      <w:r w:rsidRPr="00DC1C23">
        <w:rPr>
          <w:rFonts w:ascii="Times New Roman" w:hAnsi="Times New Roman" w:cs="Times New Roman"/>
          <w:sz w:val="24"/>
          <w:szCs w:val="24"/>
        </w:rPr>
        <w:t>Morresi</w:t>
      </w:r>
      <w:proofErr w:type="spellEnd"/>
      <w:r w:rsidRPr="00DC1C23">
        <w:rPr>
          <w:rFonts w:ascii="Times New Roman" w:hAnsi="Times New Roman" w:cs="Times New Roman"/>
          <w:sz w:val="24"/>
          <w:szCs w:val="24"/>
        </w:rPr>
        <w:t xml:space="preserve"> y </w:t>
      </w:r>
      <w:proofErr w:type="spellStart"/>
      <w:r w:rsidRPr="00DC1C23">
        <w:rPr>
          <w:rFonts w:ascii="Times New Roman" w:hAnsi="Times New Roman" w:cs="Times New Roman"/>
          <w:sz w:val="24"/>
          <w:szCs w:val="24"/>
        </w:rPr>
        <w:t>Vommaro</w:t>
      </w:r>
      <w:proofErr w:type="spellEnd"/>
      <w:r w:rsidRPr="00DC1C23">
        <w:rPr>
          <w:rFonts w:ascii="Times New Roman" w:hAnsi="Times New Roman" w:cs="Times New Roman"/>
          <w:sz w:val="24"/>
          <w:szCs w:val="24"/>
        </w:rPr>
        <w:t xml:space="preserve"> distinguen diferentes programas de investigación. Entre ellos, nuestra perspectiva se vincula </w:t>
      </w:r>
      <w:r w:rsidRPr="00DC1C23">
        <w:rPr>
          <w:rFonts w:ascii="Times New Roman" w:hAnsi="Times New Roman" w:cs="Times New Roman"/>
          <w:sz w:val="24"/>
          <w:szCs w:val="24"/>
        </w:rPr>
        <w:lastRenderedPageBreak/>
        <w:t>al estudio de la construcción de problemas públicos. A diferencia de la sociología de los problemas públicos</w:t>
      </w:r>
      <w:r w:rsidRPr="00DC1C23">
        <w:rPr>
          <w:rStyle w:val="Refdenotaalpie"/>
          <w:rFonts w:ascii="Times New Roman" w:hAnsi="Times New Roman" w:cs="Times New Roman"/>
          <w:sz w:val="24"/>
          <w:szCs w:val="24"/>
        </w:rPr>
        <w:footnoteReference w:id="2"/>
      </w:r>
      <w:r w:rsidRPr="00DC1C23">
        <w:rPr>
          <w:rFonts w:ascii="Times New Roman" w:hAnsi="Times New Roman" w:cs="Times New Roman"/>
          <w:sz w:val="24"/>
          <w:szCs w:val="24"/>
        </w:rPr>
        <w:t xml:space="preserve">, retomamos para nuestro análisis la idea de problematización, de la cual se registran antecedentes en el campo de estudios de la política social en Argentina, como </w:t>
      </w:r>
      <w:proofErr w:type="spellStart"/>
      <w:r w:rsidRPr="00DC1C23">
        <w:rPr>
          <w:rFonts w:ascii="Times New Roman" w:hAnsi="Times New Roman" w:cs="Times New Roman"/>
          <w:sz w:val="24"/>
          <w:szCs w:val="24"/>
        </w:rPr>
        <w:t>Grassi</w:t>
      </w:r>
      <w:proofErr w:type="spellEnd"/>
      <w:r w:rsidRPr="00DC1C23">
        <w:rPr>
          <w:rFonts w:ascii="Times New Roman" w:hAnsi="Times New Roman" w:cs="Times New Roman"/>
          <w:sz w:val="24"/>
          <w:szCs w:val="24"/>
        </w:rPr>
        <w:t xml:space="preserve"> (2003), </w:t>
      </w:r>
      <w:proofErr w:type="spellStart"/>
      <w:r w:rsidRPr="00DC1C23">
        <w:rPr>
          <w:rFonts w:ascii="Times New Roman" w:hAnsi="Times New Roman" w:cs="Times New Roman"/>
          <w:sz w:val="24"/>
          <w:szCs w:val="24"/>
        </w:rPr>
        <w:t>Grondona</w:t>
      </w:r>
      <w:proofErr w:type="spellEnd"/>
      <w:r w:rsidRPr="00DC1C23">
        <w:rPr>
          <w:rFonts w:ascii="Times New Roman" w:hAnsi="Times New Roman" w:cs="Times New Roman"/>
          <w:sz w:val="24"/>
          <w:szCs w:val="24"/>
        </w:rPr>
        <w:t xml:space="preserve"> (2014) y Aguilar (2015).  La idea de “problema” puede ser pensada en dos sentidos.</w:t>
      </w:r>
    </w:p>
    <w:p w:rsidR="007E338C" w:rsidRDefault="007E338C" w:rsidP="007E338C">
      <w:pPr>
        <w:pStyle w:val="western"/>
        <w:spacing w:before="0" w:beforeAutospacing="0" w:after="0" w:line="360" w:lineRule="auto"/>
        <w:ind w:firstLine="567"/>
        <w:jc w:val="both"/>
        <w:rPr>
          <w:rFonts w:ascii="Times New Roman" w:hAnsi="Times New Roman" w:cs="Times New Roman"/>
          <w:sz w:val="24"/>
          <w:szCs w:val="24"/>
        </w:rPr>
      </w:pPr>
      <w:r w:rsidRPr="00DC1C23">
        <w:rPr>
          <w:rFonts w:ascii="Times New Roman" w:hAnsi="Times New Roman" w:cs="Times New Roman"/>
          <w:sz w:val="24"/>
          <w:szCs w:val="24"/>
        </w:rPr>
        <w:t xml:space="preserve">En primer lugar, como analiza </w:t>
      </w:r>
      <w:proofErr w:type="spellStart"/>
      <w:r w:rsidRPr="00DC1C23">
        <w:rPr>
          <w:rFonts w:ascii="Times New Roman" w:hAnsi="Times New Roman" w:cs="Times New Roman"/>
          <w:sz w:val="24"/>
          <w:szCs w:val="24"/>
        </w:rPr>
        <w:t>Grassi</w:t>
      </w:r>
      <w:proofErr w:type="spellEnd"/>
      <w:r w:rsidRPr="00DC1C23">
        <w:rPr>
          <w:rFonts w:ascii="Times New Roman" w:hAnsi="Times New Roman" w:cs="Times New Roman"/>
          <w:sz w:val="24"/>
          <w:szCs w:val="24"/>
        </w:rPr>
        <w:t xml:space="preserve"> (2003), la cuestión social en tanto contradicción y antagonismo no se expresa de forma directa, sino a través de una serie de “problemas sociales”, cuya estabilización expresa la forma hegemónica en que ella es interrogada, definida y tratada. Los problemas, entonces, son producto de un proceso de disputa y </w:t>
      </w:r>
      <w:proofErr w:type="spellStart"/>
      <w:r w:rsidRPr="00DC1C23">
        <w:rPr>
          <w:rFonts w:ascii="Times New Roman" w:hAnsi="Times New Roman" w:cs="Times New Roman"/>
          <w:sz w:val="24"/>
          <w:szCs w:val="24"/>
        </w:rPr>
        <w:t>hegemonización</w:t>
      </w:r>
      <w:proofErr w:type="spellEnd"/>
      <w:r w:rsidRPr="00DC1C23">
        <w:rPr>
          <w:rFonts w:ascii="Times New Roman" w:hAnsi="Times New Roman" w:cs="Times New Roman"/>
          <w:sz w:val="24"/>
          <w:szCs w:val="24"/>
        </w:rPr>
        <w:t xml:space="preserve"> que se despliega argumentalmente en relación a sus redes de explicación, términos y soluciones. Esta conceptualización nos lleva a un segundo sentido, que destaca el carácter de “evidencia” con que se invisten los problemas. La categoría de </w:t>
      </w:r>
      <w:r w:rsidRPr="00DC1C23">
        <w:rPr>
          <w:rFonts w:ascii="Times New Roman" w:hAnsi="Times New Roman" w:cs="Times New Roman"/>
          <w:i/>
          <w:iCs/>
          <w:sz w:val="24"/>
          <w:szCs w:val="24"/>
        </w:rPr>
        <w:t>problematización</w:t>
      </w:r>
      <w:r w:rsidRPr="00DC1C23">
        <w:rPr>
          <w:rFonts w:ascii="Times New Roman" w:hAnsi="Times New Roman" w:cs="Times New Roman"/>
          <w:sz w:val="24"/>
          <w:szCs w:val="24"/>
        </w:rPr>
        <w:t xml:space="preserve">, propia de la tradición </w:t>
      </w:r>
      <w:proofErr w:type="spellStart"/>
      <w:r w:rsidRPr="00DC1C23">
        <w:rPr>
          <w:rFonts w:ascii="Times New Roman" w:hAnsi="Times New Roman" w:cs="Times New Roman"/>
          <w:sz w:val="24"/>
          <w:szCs w:val="24"/>
        </w:rPr>
        <w:t>althusseriana</w:t>
      </w:r>
      <w:proofErr w:type="spellEnd"/>
      <w:r w:rsidRPr="00DC1C23">
        <w:rPr>
          <w:rFonts w:ascii="Times New Roman" w:hAnsi="Times New Roman" w:cs="Times New Roman"/>
          <w:sz w:val="24"/>
          <w:szCs w:val="24"/>
        </w:rPr>
        <w:t xml:space="preserve"> y </w:t>
      </w:r>
      <w:proofErr w:type="spellStart"/>
      <w:r w:rsidRPr="00DC1C23">
        <w:rPr>
          <w:rFonts w:ascii="Times New Roman" w:hAnsi="Times New Roman" w:cs="Times New Roman"/>
          <w:sz w:val="24"/>
          <w:szCs w:val="24"/>
        </w:rPr>
        <w:t>foucaultiana</w:t>
      </w:r>
      <w:proofErr w:type="spellEnd"/>
      <w:r w:rsidRPr="00DC1C23">
        <w:rPr>
          <w:rFonts w:ascii="Times New Roman" w:hAnsi="Times New Roman" w:cs="Times New Roman"/>
          <w:sz w:val="24"/>
          <w:szCs w:val="24"/>
        </w:rPr>
        <w:t xml:space="preserve">, tiende un puente entre las prácticas discursivas y </w:t>
      </w:r>
      <w:proofErr w:type="spellStart"/>
      <w:r w:rsidRPr="00DC1C23">
        <w:rPr>
          <w:rFonts w:ascii="Times New Roman" w:hAnsi="Times New Roman" w:cs="Times New Roman"/>
          <w:sz w:val="24"/>
          <w:szCs w:val="24"/>
        </w:rPr>
        <w:t>extradiscursivas</w:t>
      </w:r>
      <w:proofErr w:type="spellEnd"/>
      <w:r w:rsidRPr="00DC1C23">
        <w:rPr>
          <w:rFonts w:ascii="Times New Roman" w:hAnsi="Times New Roman" w:cs="Times New Roman"/>
          <w:sz w:val="24"/>
          <w:szCs w:val="24"/>
        </w:rPr>
        <w:t xml:space="preserve"> por las cuales </w:t>
      </w:r>
      <w:r>
        <w:rPr>
          <w:rFonts w:ascii="Times New Roman" w:hAnsi="Times New Roman" w:cs="Times New Roman"/>
          <w:sz w:val="24"/>
          <w:szCs w:val="24"/>
        </w:rPr>
        <w:t>una</w:t>
      </w:r>
      <w:r w:rsidRPr="00DC1C23">
        <w:rPr>
          <w:rFonts w:ascii="Times New Roman" w:hAnsi="Times New Roman" w:cs="Times New Roman"/>
          <w:sz w:val="24"/>
          <w:szCs w:val="24"/>
        </w:rPr>
        <w:t xml:space="preserve"> cuestión es inscripta en el juego de lo verdadero y lo falso, constituyéndose como objeto de pensamiento y acción (</w:t>
      </w:r>
      <w:proofErr w:type="spellStart"/>
      <w:r w:rsidRPr="00DC1C23">
        <w:rPr>
          <w:rFonts w:ascii="Times New Roman" w:hAnsi="Times New Roman" w:cs="Times New Roman"/>
          <w:sz w:val="24"/>
          <w:szCs w:val="24"/>
        </w:rPr>
        <w:t>Revel</w:t>
      </w:r>
      <w:proofErr w:type="spellEnd"/>
      <w:r w:rsidRPr="00DC1C23">
        <w:rPr>
          <w:rFonts w:ascii="Times New Roman" w:hAnsi="Times New Roman" w:cs="Times New Roman"/>
          <w:sz w:val="24"/>
          <w:szCs w:val="24"/>
        </w:rPr>
        <w:t>, 2008). Se trata, entonces, de desentrañar los juegos entre saber y poder que producen dichas evidencias, re-escribir las relaciones e intersecciones entre ciencia y política.</w:t>
      </w:r>
    </w:p>
    <w:p w:rsidR="007E338C" w:rsidRPr="00DC1C23" w:rsidRDefault="007E338C" w:rsidP="007E338C">
      <w:pPr>
        <w:pStyle w:val="western"/>
        <w:spacing w:before="0" w:beforeAutospacing="0"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Las batallas discursivas asumen, entonces, una importancia crucial en la reconstrucción de las problematizaciones. </w:t>
      </w:r>
      <w:r w:rsidRPr="00DC1C23">
        <w:rPr>
          <w:rFonts w:ascii="Times New Roman" w:hAnsi="Times New Roman" w:cs="Times New Roman"/>
          <w:sz w:val="24"/>
          <w:szCs w:val="24"/>
        </w:rPr>
        <w:t xml:space="preserve">Partimos de una concepción del discurso en tanto práctica social, que se desprende de sus acepciones referenciales o sintomáticas respecto de procesos </w:t>
      </w:r>
      <w:proofErr w:type="spellStart"/>
      <w:r w:rsidRPr="00DC1C23">
        <w:rPr>
          <w:rFonts w:ascii="Times New Roman" w:hAnsi="Times New Roman" w:cs="Times New Roman"/>
          <w:sz w:val="24"/>
          <w:szCs w:val="24"/>
        </w:rPr>
        <w:t>extradiscursivos</w:t>
      </w:r>
      <w:proofErr w:type="spellEnd"/>
      <w:r w:rsidRPr="00DC1C23">
        <w:rPr>
          <w:rFonts w:ascii="Times New Roman" w:hAnsi="Times New Roman" w:cs="Times New Roman"/>
          <w:sz w:val="24"/>
          <w:szCs w:val="24"/>
        </w:rPr>
        <w:t xml:space="preserve">. En tanto práctica, los discursos participan de la formación de los objetos de los que “hablan” y el sentido emerge no por una relación entre las palabras y las cosas, sino de una relación entre discursos (Foucault, 2008; </w:t>
      </w:r>
      <w:proofErr w:type="spellStart"/>
      <w:r w:rsidRPr="00DC1C23">
        <w:rPr>
          <w:rFonts w:ascii="Times New Roman" w:hAnsi="Times New Roman" w:cs="Times New Roman"/>
          <w:sz w:val="24"/>
          <w:szCs w:val="24"/>
        </w:rPr>
        <w:t>P</w:t>
      </w:r>
      <w:r w:rsidR="00742DB3">
        <w:rPr>
          <w:rFonts w:ascii="Times New Roman" w:hAnsi="Times New Roman" w:cs="Times New Roman"/>
          <w:sz w:val="24"/>
          <w:szCs w:val="24"/>
        </w:rPr>
        <w:t>ê</w:t>
      </w:r>
      <w:r w:rsidRPr="00DC1C23">
        <w:rPr>
          <w:rFonts w:ascii="Times New Roman" w:hAnsi="Times New Roman" w:cs="Times New Roman"/>
          <w:sz w:val="24"/>
          <w:szCs w:val="24"/>
        </w:rPr>
        <w:t>cheux</w:t>
      </w:r>
      <w:proofErr w:type="spellEnd"/>
      <w:r w:rsidRPr="00DC1C23">
        <w:rPr>
          <w:rFonts w:ascii="Times New Roman" w:hAnsi="Times New Roman" w:cs="Times New Roman"/>
          <w:sz w:val="24"/>
          <w:szCs w:val="24"/>
        </w:rPr>
        <w:t xml:space="preserve"> y </w:t>
      </w:r>
      <w:proofErr w:type="spellStart"/>
      <w:r w:rsidRPr="00DC1C23">
        <w:rPr>
          <w:rFonts w:ascii="Times New Roman" w:hAnsi="Times New Roman" w:cs="Times New Roman"/>
          <w:sz w:val="24"/>
          <w:szCs w:val="24"/>
        </w:rPr>
        <w:t>Fuchs</w:t>
      </w:r>
      <w:proofErr w:type="spellEnd"/>
      <w:r w:rsidRPr="00DC1C23">
        <w:rPr>
          <w:rFonts w:ascii="Times New Roman" w:hAnsi="Times New Roman" w:cs="Times New Roman"/>
          <w:sz w:val="24"/>
          <w:szCs w:val="24"/>
        </w:rPr>
        <w:t xml:space="preserve">, 1975; </w:t>
      </w:r>
      <w:proofErr w:type="spellStart"/>
      <w:r w:rsidRPr="00DC1C23">
        <w:rPr>
          <w:rFonts w:ascii="Times New Roman" w:hAnsi="Times New Roman" w:cs="Times New Roman"/>
          <w:sz w:val="24"/>
          <w:szCs w:val="24"/>
        </w:rPr>
        <w:t>Robin</w:t>
      </w:r>
      <w:proofErr w:type="spellEnd"/>
      <w:r w:rsidRPr="00DC1C23">
        <w:rPr>
          <w:rFonts w:ascii="Times New Roman" w:hAnsi="Times New Roman" w:cs="Times New Roman"/>
          <w:sz w:val="24"/>
          <w:szCs w:val="24"/>
        </w:rPr>
        <w:t xml:space="preserve">, </w:t>
      </w:r>
      <w:proofErr w:type="spellStart"/>
      <w:r w:rsidRPr="00DC1C23">
        <w:rPr>
          <w:rFonts w:ascii="Times New Roman" w:hAnsi="Times New Roman" w:cs="Times New Roman"/>
          <w:sz w:val="24"/>
          <w:szCs w:val="24"/>
        </w:rPr>
        <w:t>Normand</w:t>
      </w:r>
      <w:proofErr w:type="spellEnd"/>
      <w:r w:rsidRPr="00DC1C23">
        <w:rPr>
          <w:rFonts w:ascii="Times New Roman" w:hAnsi="Times New Roman" w:cs="Times New Roman"/>
          <w:sz w:val="24"/>
          <w:szCs w:val="24"/>
        </w:rPr>
        <w:t xml:space="preserve"> y </w:t>
      </w:r>
      <w:proofErr w:type="spellStart"/>
      <w:r w:rsidRPr="00DC1C23">
        <w:rPr>
          <w:rFonts w:ascii="Times New Roman" w:hAnsi="Times New Roman" w:cs="Times New Roman"/>
          <w:sz w:val="24"/>
          <w:szCs w:val="24"/>
        </w:rPr>
        <w:t>Maldidier</w:t>
      </w:r>
      <w:proofErr w:type="spellEnd"/>
      <w:r w:rsidRPr="00DC1C23">
        <w:rPr>
          <w:rFonts w:ascii="Times New Roman" w:hAnsi="Times New Roman" w:cs="Times New Roman"/>
          <w:sz w:val="24"/>
          <w:szCs w:val="24"/>
        </w:rPr>
        <w:t>,</w:t>
      </w:r>
      <w:r>
        <w:rPr>
          <w:rFonts w:ascii="Times New Roman" w:hAnsi="Times New Roman" w:cs="Times New Roman"/>
          <w:sz w:val="24"/>
          <w:szCs w:val="24"/>
        </w:rPr>
        <w:t xml:space="preserve"> </w:t>
      </w:r>
      <w:r w:rsidRPr="00DC1C23">
        <w:rPr>
          <w:rFonts w:ascii="Times New Roman" w:hAnsi="Times New Roman" w:cs="Times New Roman"/>
          <w:sz w:val="24"/>
          <w:szCs w:val="24"/>
        </w:rPr>
        <w:t xml:space="preserve">1972). En este sentido, el trabajo de archivo nos permite poner en relación discursos heterogéneos a través de un montaje que </w:t>
      </w:r>
      <w:proofErr w:type="spellStart"/>
      <w:r w:rsidRPr="00DC1C23">
        <w:rPr>
          <w:rFonts w:ascii="Times New Roman" w:hAnsi="Times New Roman" w:cs="Times New Roman"/>
          <w:sz w:val="24"/>
          <w:szCs w:val="24"/>
        </w:rPr>
        <w:t>hipotetiza</w:t>
      </w:r>
      <w:proofErr w:type="spellEnd"/>
      <w:r w:rsidRPr="00DC1C23">
        <w:rPr>
          <w:rFonts w:ascii="Times New Roman" w:hAnsi="Times New Roman" w:cs="Times New Roman"/>
          <w:sz w:val="24"/>
          <w:szCs w:val="24"/>
        </w:rPr>
        <w:t xml:space="preserve"> acerca de sus relaciones (y pone a prueba dichas hipótesis). El corpus documental</w:t>
      </w:r>
      <w:r>
        <w:rPr>
          <w:rFonts w:ascii="Times New Roman" w:hAnsi="Times New Roman" w:cs="Times New Roman"/>
          <w:sz w:val="24"/>
          <w:szCs w:val="24"/>
        </w:rPr>
        <w:t>,</w:t>
      </w:r>
      <w:r w:rsidRPr="00DC1C23">
        <w:rPr>
          <w:rFonts w:ascii="Times New Roman" w:hAnsi="Times New Roman" w:cs="Times New Roman"/>
          <w:sz w:val="24"/>
          <w:szCs w:val="24"/>
        </w:rPr>
        <w:t xml:space="preserve"> que es medio y producto de nuestra investigación</w:t>
      </w:r>
      <w:r>
        <w:rPr>
          <w:rFonts w:ascii="Times New Roman" w:hAnsi="Times New Roman" w:cs="Times New Roman"/>
          <w:sz w:val="24"/>
          <w:szCs w:val="24"/>
        </w:rPr>
        <w:t>,</w:t>
      </w:r>
      <w:r w:rsidRPr="00DC1C23">
        <w:rPr>
          <w:rFonts w:ascii="Times New Roman" w:hAnsi="Times New Roman" w:cs="Times New Roman"/>
          <w:sz w:val="24"/>
          <w:szCs w:val="24"/>
        </w:rPr>
        <w:t xml:space="preserve"> no constituye un depósito de fuentes de las que extraer información, sino un “conjunto de los discursos efectivamente dichos/pronunciados que persisten en el tiempo, resultado de procesos de organización y distribución” (Aguilar et al., 2014: 37). Se trata de </w:t>
      </w:r>
      <w:r w:rsidRPr="00DC1C23">
        <w:rPr>
          <w:rFonts w:ascii="Times New Roman" w:hAnsi="Times New Roman" w:cs="Times New Roman"/>
          <w:sz w:val="24"/>
          <w:szCs w:val="24"/>
        </w:rPr>
        <w:lastRenderedPageBreak/>
        <w:t>analizar los documentos poniendo de relieve las relaciones que establecen el borde entre lo dicho y lo no dicho.</w:t>
      </w:r>
    </w:p>
    <w:p w:rsidR="007E338C" w:rsidRDefault="007E338C" w:rsidP="007E338C">
      <w:pPr>
        <w:pStyle w:val="western"/>
        <w:spacing w:before="0" w:beforeAutospacing="0" w:after="0" w:line="360" w:lineRule="auto"/>
        <w:ind w:firstLine="567"/>
        <w:jc w:val="both"/>
        <w:rPr>
          <w:rFonts w:ascii="Times New Roman" w:hAnsi="Times New Roman" w:cs="Times New Roman"/>
          <w:sz w:val="24"/>
          <w:szCs w:val="24"/>
        </w:rPr>
      </w:pPr>
      <w:r w:rsidRPr="00DC1C23">
        <w:rPr>
          <w:rFonts w:ascii="Times New Roman" w:hAnsi="Times New Roman" w:cs="Times New Roman"/>
          <w:sz w:val="24"/>
          <w:szCs w:val="24"/>
        </w:rPr>
        <w:t xml:space="preserve">En este </w:t>
      </w:r>
      <w:r>
        <w:rPr>
          <w:rFonts w:ascii="Times New Roman" w:hAnsi="Times New Roman" w:cs="Times New Roman"/>
          <w:sz w:val="24"/>
          <w:szCs w:val="24"/>
        </w:rPr>
        <w:t>sentido</w:t>
      </w:r>
      <w:r w:rsidRPr="00DC1C23">
        <w:rPr>
          <w:rFonts w:ascii="Times New Roman" w:hAnsi="Times New Roman" w:cs="Times New Roman"/>
          <w:sz w:val="24"/>
          <w:szCs w:val="24"/>
        </w:rPr>
        <w:t>, el trabajo de archivo sobre la producción expe</w:t>
      </w:r>
      <w:r>
        <w:rPr>
          <w:rFonts w:ascii="Times New Roman" w:hAnsi="Times New Roman" w:cs="Times New Roman"/>
          <w:sz w:val="24"/>
          <w:szCs w:val="24"/>
        </w:rPr>
        <w:t>rta se orientó</w:t>
      </w:r>
      <w:r w:rsidRPr="00DC1C23">
        <w:rPr>
          <w:rFonts w:ascii="Times New Roman" w:hAnsi="Times New Roman" w:cs="Times New Roman"/>
          <w:sz w:val="24"/>
          <w:szCs w:val="24"/>
        </w:rPr>
        <w:t xml:space="preserve"> a reconstruir las </w:t>
      </w:r>
      <w:proofErr w:type="spellStart"/>
      <w:r w:rsidRPr="00DC1C23">
        <w:rPr>
          <w:rFonts w:ascii="Times New Roman" w:hAnsi="Times New Roman" w:cs="Times New Roman"/>
          <w:i/>
          <w:sz w:val="24"/>
          <w:szCs w:val="24"/>
        </w:rPr>
        <w:t>discursividades</w:t>
      </w:r>
      <w:proofErr w:type="spellEnd"/>
      <w:r w:rsidRPr="00DC1C23">
        <w:rPr>
          <w:rFonts w:ascii="Times New Roman" w:hAnsi="Times New Roman" w:cs="Times New Roman"/>
          <w:sz w:val="24"/>
          <w:szCs w:val="24"/>
        </w:rPr>
        <w:t xml:space="preserve"> que orientan las prácticas de gobierno: ellas conforman la dimensión atinente a las formas de </w:t>
      </w:r>
      <w:proofErr w:type="spellStart"/>
      <w:r w:rsidRPr="00DC1C23">
        <w:rPr>
          <w:rFonts w:ascii="Times New Roman" w:hAnsi="Times New Roman" w:cs="Times New Roman"/>
          <w:sz w:val="24"/>
          <w:szCs w:val="24"/>
        </w:rPr>
        <w:t>visibilización</w:t>
      </w:r>
      <w:proofErr w:type="spellEnd"/>
      <w:r w:rsidRPr="00DC1C23">
        <w:rPr>
          <w:rFonts w:ascii="Times New Roman" w:hAnsi="Times New Roman" w:cs="Times New Roman"/>
          <w:sz w:val="24"/>
          <w:szCs w:val="24"/>
        </w:rPr>
        <w:t xml:space="preserve"> y modos de reflexión que producen problemas y sus soluciones. Las </w:t>
      </w:r>
      <w:proofErr w:type="spellStart"/>
      <w:r w:rsidRPr="00DC1C23">
        <w:rPr>
          <w:rFonts w:ascii="Times New Roman" w:hAnsi="Times New Roman" w:cs="Times New Roman"/>
          <w:iCs/>
          <w:sz w:val="24"/>
          <w:szCs w:val="24"/>
        </w:rPr>
        <w:t>discursividades</w:t>
      </w:r>
      <w:proofErr w:type="spellEnd"/>
      <w:r w:rsidRPr="00DC1C23">
        <w:rPr>
          <w:rFonts w:ascii="Times New Roman" w:hAnsi="Times New Roman" w:cs="Times New Roman"/>
          <w:sz w:val="24"/>
          <w:szCs w:val="24"/>
        </w:rPr>
        <w:t xml:space="preserve"> conforman </w:t>
      </w:r>
      <w:r w:rsidRPr="00DC1C23">
        <w:rPr>
          <w:rFonts w:ascii="Times New Roman" w:hAnsi="Times New Roman" w:cs="Times New Roman"/>
          <w:i/>
          <w:sz w:val="24"/>
          <w:szCs w:val="24"/>
        </w:rPr>
        <w:t>programáticas</w:t>
      </w:r>
      <w:r w:rsidRPr="00DC1C23">
        <w:rPr>
          <w:rFonts w:ascii="Times New Roman" w:hAnsi="Times New Roman" w:cs="Times New Roman"/>
          <w:sz w:val="24"/>
          <w:szCs w:val="24"/>
        </w:rPr>
        <w:t>, esto es, una articulación entre ciertos problemas visibilizados, poblaciones vinculadas a ellos (afectadas, responsables de los mismos, o ambas), dispositivos de intervención, y unos determinados fines y transformaciones postuladas (</w:t>
      </w:r>
      <w:proofErr w:type="spellStart"/>
      <w:r w:rsidRPr="00DC1C23">
        <w:rPr>
          <w:rFonts w:ascii="Times New Roman" w:hAnsi="Times New Roman" w:cs="Times New Roman"/>
          <w:sz w:val="24"/>
          <w:szCs w:val="24"/>
        </w:rPr>
        <w:t>Grondona</w:t>
      </w:r>
      <w:proofErr w:type="spellEnd"/>
      <w:r w:rsidRPr="00DC1C23">
        <w:rPr>
          <w:rFonts w:ascii="Times New Roman" w:hAnsi="Times New Roman" w:cs="Times New Roman"/>
          <w:sz w:val="24"/>
          <w:szCs w:val="24"/>
        </w:rPr>
        <w:t xml:space="preserve">, 2014). </w:t>
      </w:r>
    </w:p>
    <w:p w:rsidR="007E338C" w:rsidRDefault="007E338C" w:rsidP="007A6BCA">
      <w:pPr>
        <w:pStyle w:val="western"/>
        <w:spacing w:before="0" w:beforeAutospacing="0" w:after="0" w:line="360" w:lineRule="auto"/>
        <w:ind w:firstLine="567"/>
        <w:jc w:val="both"/>
        <w:rPr>
          <w:rFonts w:ascii="Times New Roman" w:hAnsi="Times New Roman" w:cs="Times New Roman"/>
          <w:b/>
          <w:i/>
          <w:sz w:val="24"/>
          <w:szCs w:val="24"/>
        </w:rPr>
      </w:pPr>
    </w:p>
    <w:p w:rsidR="00423788" w:rsidRDefault="0094443C" w:rsidP="007E338C">
      <w:pPr>
        <w:pStyle w:val="western"/>
        <w:numPr>
          <w:ilvl w:val="0"/>
          <w:numId w:val="9"/>
        </w:numPr>
        <w:spacing w:before="0" w:beforeAutospacing="0" w:after="0" w:line="360" w:lineRule="auto"/>
        <w:jc w:val="both"/>
        <w:rPr>
          <w:rFonts w:ascii="Times New Roman" w:hAnsi="Times New Roman" w:cs="Times New Roman"/>
          <w:b/>
          <w:smallCaps/>
          <w:sz w:val="24"/>
          <w:szCs w:val="24"/>
        </w:rPr>
      </w:pPr>
      <w:r w:rsidRPr="00423788">
        <w:rPr>
          <w:rFonts w:ascii="Times New Roman" w:hAnsi="Times New Roman" w:cs="Times New Roman"/>
          <w:b/>
          <w:smallCaps/>
          <w:sz w:val="24"/>
          <w:szCs w:val="24"/>
        </w:rPr>
        <w:t>Los organismos internacionales</w:t>
      </w:r>
      <w:r w:rsidR="00FF709D" w:rsidRPr="00423788">
        <w:rPr>
          <w:rFonts w:ascii="Times New Roman" w:hAnsi="Times New Roman" w:cs="Times New Roman"/>
          <w:b/>
          <w:smallCaps/>
          <w:sz w:val="24"/>
          <w:szCs w:val="24"/>
        </w:rPr>
        <w:t xml:space="preserve"> como agencias de desarrollo.</w:t>
      </w:r>
      <w:r w:rsidR="00423788">
        <w:rPr>
          <w:rFonts w:ascii="Times New Roman" w:hAnsi="Times New Roman" w:cs="Times New Roman"/>
          <w:b/>
          <w:smallCaps/>
          <w:sz w:val="24"/>
          <w:szCs w:val="24"/>
        </w:rPr>
        <w:t xml:space="preserve"> </w:t>
      </w:r>
      <w:bookmarkStart w:id="0" w:name="Footnote1"/>
      <w:bookmarkEnd w:id="0"/>
      <w:r w:rsidR="00423788">
        <w:rPr>
          <w:rFonts w:ascii="Times New Roman" w:hAnsi="Times New Roman" w:cs="Times New Roman"/>
          <w:b/>
          <w:smallCaps/>
          <w:sz w:val="24"/>
          <w:szCs w:val="24"/>
        </w:rPr>
        <w:t>Nuevos saberes sobre y para el Tercer Mundo</w:t>
      </w:r>
    </w:p>
    <w:p w:rsidR="000065CC" w:rsidRPr="00DC1C23" w:rsidRDefault="000065CC" w:rsidP="00673D50">
      <w:pPr>
        <w:pStyle w:val="western"/>
        <w:spacing w:before="0" w:beforeAutospacing="0" w:after="0" w:line="360" w:lineRule="auto"/>
        <w:ind w:firstLine="567"/>
        <w:jc w:val="both"/>
        <w:rPr>
          <w:rFonts w:ascii="Times New Roman" w:hAnsi="Times New Roman" w:cs="Times New Roman"/>
          <w:sz w:val="24"/>
          <w:szCs w:val="24"/>
          <w:lang w:val="es-ES"/>
        </w:rPr>
      </w:pPr>
      <w:r w:rsidRPr="00DC1C23">
        <w:rPr>
          <w:rFonts w:ascii="Times New Roman" w:hAnsi="Times New Roman" w:cs="Times New Roman"/>
          <w:sz w:val="24"/>
          <w:szCs w:val="24"/>
          <w:lang w:val="es-ES"/>
        </w:rPr>
        <w:t>A lo largo de la ponencia, nos referimos a los</w:t>
      </w:r>
      <w:r w:rsidR="00294EE4">
        <w:rPr>
          <w:rFonts w:ascii="Times New Roman" w:hAnsi="Times New Roman" w:cs="Times New Roman"/>
          <w:sz w:val="24"/>
          <w:szCs w:val="24"/>
          <w:lang w:val="es-ES"/>
        </w:rPr>
        <w:t xml:space="preserve"> organismos internacionales </w:t>
      </w:r>
      <w:r w:rsidRPr="00DC1C23">
        <w:rPr>
          <w:rFonts w:ascii="Times New Roman" w:hAnsi="Times New Roman" w:cs="Times New Roman"/>
          <w:sz w:val="24"/>
          <w:szCs w:val="24"/>
          <w:lang w:val="es-ES"/>
        </w:rPr>
        <w:t>bajo la noción de AID (Álvarez Leguizamó</w:t>
      </w:r>
      <w:r w:rsidR="00673D50">
        <w:rPr>
          <w:rFonts w:ascii="Times New Roman" w:hAnsi="Times New Roman" w:cs="Times New Roman"/>
          <w:sz w:val="24"/>
          <w:szCs w:val="24"/>
          <w:lang w:val="es-ES"/>
        </w:rPr>
        <w:t>n, 2005, 2013; Corbalán, 2002). Ella</w:t>
      </w:r>
      <w:r w:rsidRPr="00DC1C23">
        <w:rPr>
          <w:rFonts w:ascii="Times New Roman" w:hAnsi="Times New Roman" w:cs="Times New Roman"/>
          <w:sz w:val="24"/>
          <w:szCs w:val="24"/>
          <w:lang w:val="es-ES"/>
        </w:rPr>
        <w:t xml:space="preserve"> busca enfatizar que la actividad de estos heterogéneos organismos (internacionales y regionales; financieros y técnicos) tiene por horizonte de reflexión y producción programática a las formas de organización económica, política y cultural de las sociedades y, en particular, de aquellas periféricas, entendidas como “subdesarrolladas”. Desde su surgimiento,</w:t>
      </w:r>
      <w:r w:rsidR="00673D50">
        <w:rPr>
          <w:rFonts w:ascii="Times New Roman" w:hAnsi="Times New Roman" w:cs="Times New Roman"/>
          <w:sz w:val="24"/>
          <w:szCs w:val="24"/>
          <w:lang w:val="es-ES"/>
        </w:rPr>
        <w:t xml:space="preserve"> </w:t>
      </w:r>
      <w:r w:rsidR="00A47D57">
        <w:rPr>
          <w:rFonts w:ascii="Times New Roman" w:hAnsi="Times New Roman" w:cs="Times New Roman"/>
          <w:sz w:val="24"/>
          <w:szCs w:val="24"/>
          <w:lang w:val="es-ES"/>
        </w:rPr>
        <w:t xml:space="preserve">se constituyeron progresivamente </w:t>
      </w:r>
      <w:r w:rsidRPr="00DC1C23">
        <w:rPr>
          <w:rFonts w:ascii="Times New Roman" w:hAnsi="Times New Roman" w:cs="Times New Roman"/>
          <w:sz w:val="24"/>
          <w:szCs w:val="24"/>
          <w:lang w:val="es-ES"/>
        </w:rPr>
        <w:t xml:space="preserve">en referencias ineludibles en el despliegue del pensamiento económico y social en la región latinoamericana, al punto que </w:t>
      </w:r>
      <w:proofErr w:type="spellStart"/>
      <w:r w:rsidRPr="00DC1C23">
        <w:rPr>
          <w:rFonts w:ascii="Times New Roman" w:hAnsi="Times New Roman" w:cs="Times New Roman"/>
          <w:sz w:val="24"/>
          <w:szCs w:val="24"/>
          <w:lang w:val="es-ES"/>
        </w:rPr>
        <w:t>Merklen</w:t>
      </w:r>
      <w:proofErr w:type="spellEnd"/>
      <w:r w:rsidRPr="00DC1C23">
        <w:rPr>
          <w:rFonts w:ascii="Times New Roman" w:hAnsi="Times New Roman" w:cs="Times New Roman"/>
          <w:sz w:val="24"/>
          <w:szCs w:val="24"/>
          <w:lang w:val="es-ES"/>
        </w:rPr>
        <w:t xml:space="preserve"> (2010) conceptualiza este proceso como una “transnacionalización de lo social</w:t>
      </w:r>
      <w:r w:rsidR="00A47D57">
        <w:rPr>
          <w:rFonts w:ascii="Times New Roman" w:hAnsi="Times New Roman" w:cs="Times New Roman"/>
          <w:sz w:val="24"/>
          <w:szCs w:val="24"/>
          <w:lang w:val="es-ES"/>
        </w:rPr>
        <w:t>”</w:t>
      </w:r>
      <w:r w:rsidR="00673D50">
        <w:rPr>
          <w:rFonts w:ascii="Times New Roman" w:hAnsi="Times New Roman" w:cs="Times New Roman"/>
          <w:sz w:val="24"/>
          <w:szCs w:val="24"/>
          <w:lang w:val="es-ES"/>
        </w:rPr>
        <w:t>,</w:t>
      </w:r>
      <w:r w:rsidRPr="00DC1C23">
        <w:rPr>
          <w:rFonts w:ascii="Times New Roman" w:hAnsi="Times New Roman" w:cs="Times New Roman"/>
          <w:sz w:val="24"/>
          <w:szCs w:val="24"/>
          <w:lang w:val="es-ES"/>
        </w:rPr>
        <w:t xml:space="preserve"> desde la década de 1980. Diagnósticos, representaciones, categorías discursivas y prop</w:t>
      </w:r>
      <w:r w:rsidR="00673D50">
        <w:rPr>
          <w:rFonts w:ascii="Times New Roman" w:hAnsi="Times New Roman" w:cs="Times New Roman"/>
          <w:sz w:val="24"/>
          <w:szCs w:val="24"/>
          <w:lang w:val="es-ES"/>
        </w:rPr>
        <w:t>uestas de intervención de</w:t>
      </w:r>
      <w:r w:rsidRPr="00DC1C23">
        <w:rPr>
          <w:rFonts w:ascii="Times New Roman" w:hAnsi="Times New Roman" w:cs="Times New Roman"/>
          <w:sz w:val="24"/>
          <w:szCs w:val="24"/>
          <w:lang w:val="es-ES"/>
        </w:rPr>
        <w:t xml:space="preserve"> agencias internacionales, saberes expertos locales y espacios gubernamentales fueron entrelazándose.</w:t>
      </w:r>
      <w:bookmarkStart w:id="1" w:name="Footnote6"/>
      <w:bookmarkStart w:id="2" w:name="Footnote5"/>
      <w:bookmarkEnd w:id="1"/>
      <w:bookmarkEnd w:id="2"/>
    </w:p>
    <w:p w:rsidR="00FF1C76" w:rsidRPr="00DC1C23" w:rsidRDefault="000065CC" w:rsidP="007A6BCA">
      <w:pPr>
        <w:pStyle w:val="western"/>
        <w:spacing w:before="0" w:beforeAutospacing="0" w:after="0" w:line="360" w:lineRule="auto"/>
        <w:ind w:firstLine="567"/>
        <w:jc w:val="both"/>
        <w:rPr>
          <w:rFonts w:ascii="Times New Roman" w:hAnsi="Times New Roman" w:cs="Times New Roman"/>
          <w:lang w:val="es-ES"/>
        </w:rPr>
      </w:pPr>
      <w:bookmarkStart w:id="3" w:name="Footnote7"/>
      <w:bookmarkEnd w:id="3"/>
      <w:r w:rsidRPr="00DC1C23">
        <w:rPr>
          <w:rFonts w:ascii="Times New Roman" w:hAnsi="Times New Roman" w:cs="Times New Roman"/>
          <w:sz w:val="24"/>
          <w:szCs w:val="24"/>
          <w:lang w:val="es-ES"/>
        </w:rPr>
        <w:t xml:space="preserve">La configuración del Sistema de Naciones Unidas y la conformación de los bancos internacionales y regionales de crédito </w:t>
      </w:r>
      <w:r w:rsidR="00A47D57">
        <w:rPr>
          <w:rFonts w:ascii="Times New Roman" w:hAnsi="Times New Roman" w:cs="Times New Roman"/>
          <w:sz w:val="24"/>
          <w:szCs w:val="24"/>
          <w:lang w:val="es-ES"/>
        </w:rPr>
        <w:t xml:space="preserve">era producto </w:t>
      </w:r>
      <w:r w:rsidRPr="00DC1C23">
        <w:rPr>
          <w:rFonts w:ascii="Times New Roman" w:hAnsi="Times New Roman" w:cs="Times New Roman"/>
          <w:sz w:val="24"/>
          <w:szCs w:val="24"/>
          <w:lang w:val="es-ES"/>
        </w:rPr>
        <w:t xml:space="preserve">y pretendía mantener los acuerdos de </w:t>
      </w:r>
      <w:proofErr w:type="spellStart"/>
      <w:r w:rsidRPr="00DC1C23">
        <w:rPr>
          <w:rFonts w:ascii="Times New Roman" w:hAnsi="Times New Roman" w:cs="Times New Roman"/>
          <w:i/>
          <w:iCs/>
          <w:sz w:val="24"/>
          <w:szCs w:val="24"/>
          <w:lang w:val="es-ES"/>
        </w:rPr>
        <w:t>Bretton</w:t>
      </w:r>
      <w:proofErr w:type="spellEnd"/>
      <w:r w:rsidRPr="00DC1C23">
        <w:rPr>
          <w:rFonts w:ascii="Times New Roman" w:hAnsi="Times New Roman" w:cs="Times New Roman"/>
          <w:i/>
          <w:iCs/>
          <w:sz w:val="24"/>
          <w:szCs w:val="24"/>
          <w:lang w:val="es-ES"/>
        </w:rPr>
        <w:t xml:space="preserve"> Woods</w:t>
      </w:r>
      <w:r w:rsidRPr="00DC1C23">
        <w:rPr>
          <w:rFonts w:ascii="Times New Roman" w:hAnsi="Times New Roman" w:cs="Times New Roman"/>
          <w:sz w:val="24"/>
          <w:szCs w:val="24"/>
          <w:lang w:val="es-ES"/>
        </w:rPr>
        <w:t>,</w:t>
      </w:r>
      <w:r w:rsidRPr="00DC1C23">
        <w:rPr>
          <w:rFonts w:ascii="Times New Roman" w:hAnsi="Times New Roman" w:cs="Times New Roman"/>
          <w:lang w:val="es-ES"/>
        </w:rPr>
        <w:t xml:space="preserve"> </w:t>
      </w:r>
      <w:r w:rsidRPr="00DC1C23">
        <w:rPr>
          <w:rFonts w:ascii="Times New Roman" w:hAnsi="Times New Roman" w:cs="Times New Roman"/>
          <w:sz w:val="24"/>
          <w:szCs w:val="24"/>
          <w:lang w:val="es-ES"/>
        </w:rPr>
        <w:t>celebrados en el año 1944, justamente</w:t>
      </w:r>
      <w:r w:rsidRPr="00DC1C23">
        <w:rPr>
          <w:rFonts w:ascii="Times New Roman" w:hAnsi="Times New Roman" w:cs="Times New Roman"/>
          <w:lang w:val="es-ES"/>
        </w:rPr>
        <w:t xml:space="preserve"> </w:t>
      </w:r>
      <w:r w:rsidRPr="00DC1C23">
        <w:rPr>
          <w:rFonts w:ascii="Times New Roman" w:hAnsi="Times New Roman" w:cs="Times New Roman"/>
          <w:sz w:val="24"/>
          <w:szCs w:val="24"/>
          <w:lang w:val="es-ES"/>
        </w:rPr>
        <w:t>en una conferencia de las Naciones Unidas.</w:t>
      </w:r>
      <w:r w:rsidR="00DC1C23" w:rsidRPr="00DC1C23">
        <w:rPr>
          <w:rStyle w:val="Refdenotaalpie"/>
          <w:rFonts w:ascii="Times New Roman" w:hAnsi="Times New Roman" w:cs="Times New Roman"/>
          <w:sz w:val="24"/>
          <w:szCs w:val="24"/>
          <w:lang w:val="es-ES"/>
        </w:rPr>
        <w:footnoteReference w:id="3"/>
      </w:r>
      <w:r w:rsidR="00DC1C23">
        <w:rPr>
          <w:rFonts w:ascii="Times New Roman" w:hAnsi="Times New Roman" w:cs="Times New Roman"/>
          <w:lang w:val="es-ES"/>
        </w:rPr>
        <w:t xml:space="preserve"> </w:t>
      </w:r>
      <w:r w:rsidRPr="00DC1C23">
        <w:rPr>
          <w:rFonts w:ascii="Times New Roman" w:hAnsi="Times New Roman" w:cs="Times New Roman"/>
          <w:sz w:val="24"/>
          <w:szCs w:val="24"/>
          <w:lang w:val="es-ES"/>
        </w:rPr>
        <w:t>Dichos acuerdos representaban consensos gestionados a nivel global sobre el</w:t>
      </w:r>
      <w:r w:rsidRPr="00DC1C23">
        <w:rPr>
          <w:rFonts w:ascii="Times New Roman" w:hAnsi="Times New Roman" w:cs="Times New Roman"/>
          <w:lang w:val="es-ES"/>
        </w:rPr>
        <w:t xml:space="preserve"> </w:t>
      </w:r>
      <w:r w:rsidRPr="00DC1C23">
        <w:rPr>
          <w:rFonts w:ascii="Times New Roman" w:hAnsi="Times New Roman" w:cs="Times New Roman"/>
          <w:sz w:val="24"/>
          <w:szCs w:val="24"/>
          <w:lang w:val="es-ES"/>
        </w:rPr>
        <w:t xml:space="preserve">sistema monetario, financiero y comercial, </w:t>
      </w:r>
      <w:r w:rsidR="00A47D57">
        <w:rPr>
          <w:rFonts w:ascii="Times New Roman" w:hAnsi="Times New Roman" w:cs="Times New Roman"/>
          <w:sz w:val="24"/>
          <w:szCs w:val="24"/>
          <w:lang w:val="es-ES"/>
        </w:rPr>
        <w:t>que postulaban una</w:t>
      </w:r>
      <w:r w:rsidRPr="00DC1C23">
        <w:rPr>
          <w:rFonts w:ascii="Times New Roman" w:hAnsi="Times New Roman" w:cs="Times New Roman"/>
          <w:sz w:val="24"/>
          <w:szCs w:val="24"/>
          <w:lang w:val="es-ES"/>
        </w:rPr>
        <w:t xml:space="preserve"> “triple afluencia” entre el crecimiento del PBI, de los ingresos familiares y del gasto público (</w:t>
      </w:r>
      <w:proofErr w:type="spellStart"/>
      <w:r w:rsidRPr="00DC1C23">
        <w:rPr>
          <w:rFonts w:ascii="Times New Roman" w:hAnsi="Times New Roman" w:cs="Times New Roman"/>
          <w:sz w:val="24"/>
          <w:szCs w:val="24"/>
          <w:lang w:val="es-ES"/>
        </w:rPr>
        <w:t>Orlansky</w:t>
      </w:r>
      <w:proofErr w:type="spellEnd"/>
      <w:r w:rsidRPr="00DC1C23">
        <w:rPr>
          <w:rFonts w:ascii="Times New Roman" w:hAnsi="Times New Roman" w:cs="Times New Roman"/>
          <w:sz w:val="24"/>
          <w:szCs w:val="24"/>
          <w:lang w:val="es-ES"/>
        </w:rPr>
        <w:t>, 2005: 47</w:t>
      </w:r>
      <w:r w:rsidR="00A47D57">
        <w:rPr>
          <w:rFonts w:ascii="Times New Roman" w:hAnsi="Times New Roman" w:cs="Times New Roman"/>
          <w:sz w:val="24"/>
          <w:szCs w:val="24"/>
          <w:lang w:val="es-ES"/>
        </w:rPr>
        <w:t>; Murillo, 2005</w:t>
      </w:r>
      <w:r w:rsidRPr="00DC1C23">
        <w:rPr>
          <w:rFonts w:ascii="Times New Roman" w:hAnsi="Times New Roman" w:cs="Times New Roman"/>
          <w:sz w:val="24"/>
          <w:szCs w:val="24"/>
          <w:lang w:val="es-ES"/>
        </w:rPr>
        <w:t>). La regulación global del orden monetario y financiero resultaba una condición vertebral del funcionamiento de y entre las economías nacionales.</w:t>
      </w:r>
      <w:r w:rsidRPr="00DC1C23">
        <w:rPr>
          <w:rFonts w:ascii="Times New Roman" w:hAnsi="Times New Roman" w:cs="Times New Roman"/>
          <w:lang w:val="es-ES"/>
        </w:rPr>
        <w:t xml:space="preserve"> </w:t>
      </w:r>
      <w:r w:rsidRPr="00DC1C23">
        <w:rPr>
          <w:rFonts w:ascii="Times New Roman" w:hAnsi="Times New Roman" w:cs="Times New Roman"/>
          <w:sz w:val="24"/>
          <w:szCs w:val="24"/>
          <w:lang w:val="es-ES"/>
        </w:rPr>
        <w:t>En este orden, las AID</w:t>
      </w:r>
      <w:r w:rsidRPr="00DC1C23">
        <w:rPr>
          <w:rFonts w:ascii="Times New Roman" w:hAnsi="Times New Roman" w:cs="Times New Roman"/>
          <w:lang w:val="es-ES"/>
        </w:rPr>
        <w:t xml:space="preserve"> </w:t>
      </w:r>
      <w:r w:rsidRPr="00DC1C23">
        <w:rPr>
          <w:rFonts w:ascii="Times New Roman" w:hAnsi="Times New Roman" w:cs="Times New Roman"/>
          <w:sz w:val="24"/>
          <w:szCs w:val="24"/>
          <w:lang w:val="es-ES"/>
        </w:rPr>
        <w:t xml:space="preserve">constituyeron el </w:t>
      </w:r>
      <w:r w:rsidRPr="00DC1C23">
        <w:rPr>
          <w:rFonts w:ascii="Times New Roman" w:hAnsi="Times New Roman" w:cs="Times New Roman"/>
          <w:sz w:val="24"/>
          <w:szCs w:val="24"/>
          <w:lang w:val="es-ES"/>
        </w:rPr>
        <w:lastRenderedPageBreak/>
        <w:t>andamiaje institucional de estos consensos a nivel global, modelando la realidad económica, política, social y cultural de las sociedades, según un “discurso del desarrollo”</w:t>
      </w:r>
      <w:r w:rsidRPr="00DC1C23">
        <w:rPr>
          <w:rFonts w:ascii="Times New Roman" w:hAnsi="Times New Roman" w:cs="Times New Roman"/>
          <w:lang w:val="es-ES"/>
        </w:rPr>
        <w:t xml:space="preserve"> </w:t>
      </w:r>
      <w:r w:rsidRPr="00DC1C23">
        <w:rPr>
          <w:rFonts w:ascii="Times New Roman" w:hAnsi="Times New Roman" w:cs="Times New Roman"/>
          <w:sz w:val="24"/>
          <w:szCs w:val="24"/>
          <w:lang w:val="es-ES"/>
        </w:rPr>
        <w:t xml:space="preserve">en expansión del cual eran expresión y medio de </w:t>
      </w:r>
      <w:proofErr w:type="spellStart"/>
      <w:r w:rsidRPr="00DC1C23">
        <w:rPr>
          <w:rFonts w:ascii="Times New Roman" w:hAnsi="Times New Roman" w:cs="Times New Roman"/>
          <w:sz w:val="24"/>
          <w:szCs w:val="24"/>
          <w:lang w:val="es-ES"/>
        </w:rPr>
        <w:t>vehiculización</w:t>
      </w:r>
      <w:proofErr w:type="spellEnd"/>
      <w:r w:rsidRPr="00DC1C23">
        <w:rPr>
          <w:rFonts w:ascii="Times New Roman" w:hAnsi="Times New Roman" w:cs="Times New Roman"/>
          <w:sz w:val="24"/>
          <w:szCs w:val="24"/>
          <w:lang w:val="es-ES"/>
        </w:rPr>
        <w:t xml:space="preserve"> (Escobar, 2005).</w:t>
      </w:r>
      <w:r w:rsidRPr="00DC1C23">
        <w:rPr>
          <w:rFonts w:ascii="Times New Roman" w:hAnsi="Times New Roman" w:cs="Times New Roman"/>
          <w:lang w:val="es-ES"/>
        </w:rPr>
        <w:t xml:space="preserve"> </w:t>
      </w:r>
    </w:p>
    <w:p w:rsidR="008F0474" w:rsidRDefault="00A47D57" w:rsidP="007A6BCA">
      <w:pPr>
        <w:pStyle w:val="western"/>
        <w:spacing w:before="0" w:beforeAutospacing="0" w:after="0" w:line="360" w:lineRule="auto"/>
        <w:ind w:firstLine="567"/>
        <w:jc w:val="both"/>
        <w:rPr>
          <w:rFonts w:ascii="Times New Roman" w:hAnsi="Times New Roman" w:cs="Times New Roman"/>
          <w:sz w:val="24"/>
          <w:szCs w:val="24"/>
          <w:lang w:val="es-ES"/>
        </w:rPr>
      </w:pPr>
      <w:r w:rsidRPr="00A47D57">
        <w:rPr>
          <w:rFonts w:ascii="Times New Roman" w:hAnsi="Times New Roman" w:cs="Times New Roman"/>
          <w:sz w:val="24"/>
          <w:szCs w:val="24"/>
          <w:lang w:val="es-ES"/>
        </w:rPr>
        <w:t xml:space="preserve">Con la idea de “discurso del desarrollo” nos referimos a su inscripción </w:t>
      </w:r>
      <w:r w:rsidR="00FF1C76" w:rsidRPr="00A47D57">
        <w:rPr>
          <w:rFonts w:ascii="Times New Roman" w:hAnsi="Times New Roman" w:cs="Times New Roman"/>
          <w:sz w:val="24"/>
          <w:szCs w:val="24"/>
          <w:lang w:val="es-ES"/>
        </w:rPr>
        <w:t>en el juego de lo</w:t>
      </w:r>
      <w:r w:rsidRPr="00A47D57">
        <w:rPr>
          <w:rFonts w:ascii="Times New Roman" w:hAnsi="Times New Roman" w:cs="Times New Roman"/>
          <w:sz w:val="24"/>
          <w:szCs w:val="24"/>
          <w:lang w:val="es-ES"/>
        </w:rPr>
        <w:t xml:space="preserve"> verdadero</w:t>
      </w:r>
      <w:r>
        <w:rPr>
          <w:rFonts w:ascii="Times New Roman" w:hAnsi="Times New Roman" w:cs="Times New Roman"/>
          <w:sz w:val="24"/>
          <w:szCs w:val="24"/>
          <w:lang w:val="es-ES"/>
        </w:rPr>
        <w:t xml:space="preserve"> y lo falso: éste constituiría</w:t>
      </w:r>
      <w:r w:rsidR="008F0474">
        <w:rPr>
          <w:rFonts w:ascii="Times New Roman" w:hAnsi="Times New Roman" w:cs="Times New Roman"/>
          <w:sz w:val="24"/>
          <w:szCs w:val="24"/>
          <w:lang w:val="es-ES"/>
        </w:rPr>
        <w:t xml:space="preserve"> la </w:t>
      </w:r>
      <w:r w:rsidR="00FF1C76" w:rsidRPr="00DC1C23">
        <w:rPr>
          <w:rFonts w:ascii="Times New Roman" w:hAnsi="Times New Roman" w:cs="Times New Roman"/>
          <w:sz w:val="24"/>
          <w:szCs w:val="24"/>
          <w:lang w:val="es-ES"/>
        </w:rPr>
        <w:t xml:space="preserve">solución para un nuevo problema, el Tercer Mundo. </w:t>
      </w:r>
      <w:bookmarkStart w:id="4" w:name="Footnote8"/>
      <w:bookmarkEnd w:id="4"/>
      <w:r w:rsidR="000065CC" w:rsidRPr="00DC1C23">
        <w:rPr>
          <w:rFonts w:ascii="Times New Roman" w:hAnsi="Times New Roman" w:cs="Times New Roman"/>
          <w:sz w:val="24"/>
          <w:szCs w:val="24"/>
          <w:lang w:val="es-ES"/>
        </w:rPr>
        <w:t>El andamiaje institucional de las AID fue parte de la emergencia de</w:t>
      </w:r>
      <w:r w:rsidR="000065CC" w:rsidRPr="00DC1C23">
        <w:rPr>
          <w:rFonts w:ascii="Times New Roman" w:hAnsi="Times New Roman" w:cs="Times New Roman"/>
          <w:lang w:val="es-ES"/>
        </w:rPr>
        <w:t xml:space="preserve"> </w:t>
      </w:r>
      <w:r w:rsidR="000065CC" w:rsidRPr="00DC1C23">
        <w:rPr>
          <w:rFonts w:ascii="Times New Roman" w:hAnsi="Times New Roman" w:cs="Times New Roman"/>
          <w:sz w:val="24"/>
          <w:szCs w:val="24"/>
          <w:lang w:val="es-ES"/>
        </w:rPr>
        <w:t xml:space="preserve">un campo de conocimientos especializados y de la profesionalización de la intervención sobre </w:t>
      </w:r>
      <w:r w:rsidR="008F0474">
        <w:rPr>
          <w:rFonts w:ascii="Times New Roman" w:hAnsi="Times New Roman" w:cs="Times New Roman"/>
          <w:sz w:val="24"/>
          <w:szCs w:val="24"/>
          <w:lang w:val="es-ES"/>
        </w:rPr>
        <w:t>los problemas del subdesarrollo:</w:t>
      </w:r>
      <w:r w:rsidR="000065CC" w:rsidRPr="00DC1C23">
        <w:rPr>
          <w:rFonts w:ascii="Times New Roman" w:hAnsi="Times New Roman" w:cs="Times New Roman"/>
          <w:sz w:val="24"/>
          <w:szCs w:val="24"/>
          <w:lang w:val="es-ES"/>
        </w:rPr>
        <w:t xml:space="preserve"> centros de estudios, agencias de </w:t>
      </w:r>
      <w:proofErr w:type="gramStart"/>
      <w:r w:rsidR="000065CC" w:rsidRPr="00DC1C23">
        <w:rPr>
          <w:rFonts w:ascii="Times New Roman" w:hAnsi="Times New Roman" w:cs="Times New Roman"/>
          <w:sz w:val="24"/>
          <w:szCs w:val="24"/>
          <w:lang w:val="es-ES"/>
        </w:rPr>
        <w:t>planificación nacionales y regionales</w:t>
      </w:r>
      <w:proofErr w:type="gramEnd"/>
      <w:r w:rsidR="000065CC" w:rsidRPr="00DC1C23">
        <w:rPr>
          <w:rFonts w:ascii="Times New Roman" w:hAnsi="Times New Roman" w:cs="Times New Roman"/>
          <w:sz w:val="24"/>
          <w:szCs w:val="24"/>
          <w:lang w:val="es-ES"/>
        </w:rPr>
        <w:t xml:space="preserve">, encuentros y cumbres internacionales, se añadieron a esta red. Así, se produjeron profundas transformaciones de las sociedades </w:t>
      </w:r>
      <w:r>
        <w:rPr>
          <w:rFonts w:ascii="Times New Roman" w:hAnsi="Times New Roman" w:cs="Times New Roman"/>
          <w:sz w:val="24"/>
          <w:szCs w:val="24"/>
          <w:lang w:val="es-ES"/>
        </w:rPr>
        <w:t xml:space="preserve">latinoamericanas </w:t>
      </w:r>
      <w:r w:rsidR="000065CC" w:rsidRPr="00DC1C23">
        <w:rPr>
          <w:rFonts w:ascii="Times New Roman" w:hAnsi="Times New Roman" w:cs="Times New Roman"/>
          <w:sz w:val="24"/>
          <w:szCs w:val="24"/>
          <w:lang w:val="es-ES"/>
        </w:rPr>
        <w:t xml:space="preserve">de acuerdo a los lineamientos de “conceptos capitalistas” (Escobar, 2005: 19) sobre el trabajo, el bienestar y la riqueza. </w:t>
      </w:r>
      <w:r w:rsidR="00FF1C76" w:rsidRPr="00DC1C23">
        <w:rPr>
          <w:rFonts w:ascii="Times New Roman" w:hAnsi="Times New Roman" w:cs="Times New Roman"/>
          <w:sz w:val="24"/>
          <w:szCs w:val="24"/>
          <w:lang w:val="es-ES"/>
        </w:rPr>
        <w:t xml:space="preserve">Claro que la delimitación de este campo de </w:t>
      </w:r>
      <w:proofErr w:type="spellStart"/>
      <w:r w:rsidR="00FF1C76" w:rsidRPr="00A47D57">
        <w:rPr>
          <w:rFonts w:ascii="Times New Roman" w:hAnsi="Times New Roman" w:cs="Times New Roman"/>
          <w:i/>
          <w:sz w:val="24"/>
          <w:szCs w:val="24"/>
          <w:lang w:val="es-ES"/>
        </w:rPr>
        <w:t>expertise</w:t>
      </w:r>
      <w:proofErr w:type="spellEnd"/>
      <w:r w:rsidR="00FF1C76" w:rsidRPr="00DC1C23">
        <w:rPr>
          <w:rFonts w:ascii="Times New Roman" w:hAnsi="Times New Roman" w:cs="Times New Roman"/>
          <w:sz w:val="24"/>
          <w:szCs w:val="24"/>
          <w:lang w:val="es-ES"/>
        </w:rPr>
        <w:t xml:space="preserve"> fungió de apertura a discusiones relativas a la programática del (sub)desarrollo, </w:t>
      </w:r>
      <w:r w:rsidR="008F0474">
        <w:rPr>
          <w:rFonts w:ascii="Times New Roman" w:hAnsi="Times New Roman" w:cs="Times New Roman"/>
          <w:sz w:val="24"/>
          <w:szCs w:val="24"/>
          <w:lang w:val="es-ES"/>
        </w:rPr>
        <w:t xml:space="preserve">en la que participaron –por ejemplo- </w:t>
      </w:r>
      <w:r w:rsidR="000065CC" w:rsidRPr="00DC1C23">
        <w:rPr>
          <w:rFonts w:ascii="Times New Roman" w:hAnsi="Times New Roman" w:cs="Times New Roman"/>
          <w:sz w:val="24"/>
          <w:szCs w:val="24"/>
          <w:lang w:val="es-ES"/>
        </w:rPr>
        <w:t xml:space="preserve">las teorías </w:t>
      </w:r>
      <w:proofErr w:type="spellStart"/>
      <w:r w:rsidR="008F0474">
        <w:rPr>
          <w:rFonts w:ascii="Times New Roman" w:hAnsi="Times New Roman" w:cs="Times New Roman"/>
          <w:sz w:val="24"/>
          <w:szCs w:val="24"/>
          <w:lang w:val="es-ES"/>
        </w:rPr>
        <w:t>dependentista</w:t>
      </w:r>
      <w:proofErr w:type="spellEnd"/>
      <w:r w:rsidR="000065CC" w:rsidRPr="00DC1C23">
        <w:rPr>
          <w:rFonts w:ascii="Times New Roman" w:hAnsi="Times New Roman" w:cs="Times New Roman"/>
          <w:sz w:val="24"/>
          <w:szCs w:val="24"/>
          <w:lang w:val="es-ES"/>
        </w:rPr>
        <w:t xml:space="preserve"> y el (neo</w:t>
      </w:r>
      <w:proofErr w:type="gramStart"/>
      <w:r w:rsidR="000065CC" w:rsidRPr="00DC1C23">
        <w:rPr>
          <w:rFonts w:ascii="Times New Roman" w:hAnsi="Times New Roman" w:cs="Times New Roman"/>
          <w:sz w:val="24"/>
          <w:szCs w:val="24"/>
          <w:lang w:val="es-ES"/>
        </w:rPr>
        <w:t>)estructuralismo</w:t>
      </w:r>
      <w:proofErr w:type="gramEnd"/>
      <w:r w:rsidR="000065CC" w:rsidRPr="00DC1C23">
        <w:rPr>
          <w:rFonts w:ascii="Times New Roman" w:hAnsi="Times New Roman" w:cs="Times New Roman"/>
          <w:sz w:val="24"/>
          <w:szCs w:val="24"/>
          <w:lang w:val="es-ES"/>
        </w:rPr>
        <w:t xml:space="preserve"> latinoamericano</w:t>
      </w:r>
      <w:r>
        <w:rPr>
          <w:rFonts w:ascii="Times New Roman" w:hAnsi="Times New Roman" w:cs="Times New Roman"/>
          <w:sz w:val="24"/>
          <w:szCs w:val="24"/>
          <w:lang w:val="es-ES"/>
        </w:rPr>
        <w:t>,</w:t>
      </w:r>
      <w:r w:rsidR="008F0474">
        <w:rPr>
          <w:rFonts w:ascii="Times New Roman" w:hAnsi="Times New Roman" w:cs="Times New Roman"/>
          <w:sz w:val="24"/>
          <w:szCs w:val="24"/>
          <w:lang w:val="es-ES"/>
        </w:rPr>
        <w:t xml:space="preserve"> anteponiendo las ideas de </w:t>
      </w:r>
      <w:r>
        <w:rPr>
          <w:rFonts w:ascii="Times New Roman" w:hAnsi="Times New Roman" w:cs="Times New Roman"/>
          <w:sz w:val="24"/>
          <w:szCs w:val="24"/>
          <w:lang w:val="es-ES"/>
        </w:rPr>
        <w:t>“</w:t>
      </w:r>
      <w:r w:rsidR="008F0474">
        <w:rPr>
          <w:rFonts w:ascii="Times New Roman" w:hAnsi="Times New Roman" w:cs="Times New Roman"/>
          <w:sz w:val="24"/>
          <w:szCs w:val="24"/>
          <w:lang w:val="es-ES"/>
        </w:rPr>
        <w:t>desarrollo periférico</w:t>
      </w:r>
      <w:r>
        <w:rPr>
          <w:rFonts w:ascii="Times New Roman" w:hAnsi="Times New Roman" w:cs="Times New Roman"/>
          <w:sz w:val="24"/>
          <w:szCs w:val="24"/>
          <w:lang w:val="es-ES"/>
        </w:rPr>
        <w:t>”</w:t>
      </w:r>
      <w:r w:rsidR="008F0474">
        <w:rPr>
          <w:rFonts w:ascii="Times New Roman" w:hAnsi="Times New Roman" w:cs="Times New Roman"/>
          <w:sz w:val="24"/>
          <w:szCs w:val="24"/>
          <w:lang w:val="es-ES"/>
        </w:rPr>
        <w:t xml:space="preserve"> y </w:t>
      </w:r>
      <w:r>
        <w:rPr>
          <w:rFonts w:ascii="Times New Roman" w:hAnsi="Times New Roman" w:cs="Times New Roman"/>
          <w:sz w:val="24"/>
          <w:szCs w:val="24"/>
          <w:lang w:val="es-ES"/>
        </w:rPr>
        <w:t>“</w:t>
      </w:r>
      <w:r w:rsidR="008F0474">
        <w:rPr>
          <w:rFonts w:ascii="Times New Roman" w:hAnsi="Times New Roman" w:cs="Times New Roman"/>
          <w:sz w:val="24"/>
          <w:szCs w:val="24"/>
          <w:lang w:val="es-ES"/>
        </w:rPr>
        <w:t>dependencia</w:t>
      </w:r>
      <w:r>
        <w:rPr>
          <w:rFonts w:ascii="Times New Roman" w:hAnsi="Times New Roman" w:cs="Times New Roman"/>
          <w:sz w:val="24"/>
          <w:szCs w:val="24"/>
          <w:lang w:val="es-ES"/>
        </w:rPr>
        <w:t>”</w:t>
      </w:r>
      <w:r w:rsidR="008F0474">
        <w:rPr>
          <w:rFonts w:ascii="Times New Roman" w:hAnsi="Times New Roman" w:cs="Times New Roman"/>
          <w:sz w:val="24"/>
          <w:szCs w:val="24"/>
          <w:lang w:val="es-ES"/>
        </w:rPr>
        <w:t xml:space="preserve"> para dar cuenta de las relaciones de subordinación –y no de complementariedad- entre los países del Sur y las potencias industrializadas</w:t>
      </w:r>
      <w:r w:rsidR="000065CC" w:rsidRPr="00DC1C23">
        <w:rPr>
          <w:rFonts w:ascii="Times New Roman" w:hAnsi="Times New Roman" w:cs="Times New Roman"/>
          <w:sz w:val="24"/>
          <w:szCs w:val="24"/>
          <w:lang w:val="es-ES"/>
        </w:rPr>
        <w:t>.</w:t>
      </w:r>
      <w:r w:rsidR="00FF1C76" w:rsidRPr="00DC1C23">
        <w:rPr>
          <w:rStyle w:val="Refdenotaalpie"/>
          <w:rFonts w:ascii="Times New Roman" w:hAnsi="Times New Roman" w:cs="Times New Roman"/>
          <w:sz w:val="24"/>
          <w:szCs w:val="24"/>
          <w:lang w:val="es-ES"/>
        </w:rPr>
        <w:footnoteReference w:id="4"/>
      </w:r>
      <w:r w:rsidR="00294EE4">
        <w:rPr>
          <w:rFonts w:ascii="Times New Roman" w:hAnsi="Times New Roman" w:cs="Times New Roman"/>
          <w:sz w:val="24"/>
          <w:szCs w:val="24"/>
          <w:lang w:val="es-ES"/>
        </w:rPr>
        <w:t xml:space="preserve"> </w:t>
      </w:r>
    </w:p>
    <w:p w:rsidR="00636571" w:rsidRDefault="00A96E4E" w:rsidP="007A6BCA">
      <w:pPr>
        <w:pStyle w:val="western"/>
        <w:spacing w:before="0" w:beforeAutospacing="0" w:after="0" w:line="360" w:lineRule="auto"/>
        <w:ind w:firstLine="567"/>
        <w:jc w:val="both"/>
        <w:rPr>
          <w:rFonts w:ascii="Times New Roman" w:hAnsi="Times New Roman" w:cs="Times New Roman"/>
          <w:sz w:val="24"/>
          <w:szCs w:val="24"/>
          <w:lang w:val="es-ES"/>
        </w:rPr>
      </w:pPr>
      <w:r w:rsidRPr="00DC1C23">
        <w:rPr>
          <w:rFonts w:ascii="Times New Roman" w:hAnsi="Times New Roman" w:cs="Times New Roman"/>
          <w:sz w:val="24"/>
          <w:szCs w:val="24"/>
          <w:lang w:val="es-ES"/>
        </w:rPr>
        <w:t xml:space="preserve">A partir de la </w:t>
      </w:r>
      <w:r w:rsidR="000065CC" w:rsidRPr="00DC1C23">
        <w:rPr>
          <w:rFonts w:ascii="Times New Roman" w:hAnsi="Times New Roman" w:cs="Times New Roman"/>
          <w:sz w:val="24"/>
          <w:szCs w:val="24"/>
          <w:lang w:val="es-ES"/>
        </w:rPr>
        <w:t xml:space="preserve">década de 1970 </w:t>
      </w:r>
      <w:r w:rsidRPr="00DC1C23">
        <w:rPr>
          <w:rFonts w:ascii="Times New Roman" w:hAnsi="Times New Roman" w:cs="Times New Roman"/>
          <w:sz w:val="24"/>
          <w:szCs w:val="24"/>
          <w:lang w:val="es-ES"/>
        </w:rPr>
        <w:t>se produjo una reformulación relevante de la programática de las AID, a partir de los balances negativos del ciclo desarroll</w:t>
      </w:r>
      <w:r w:rsidR="008F0474">
        <w:rPr>
          <w:rFonts w:ascii="Times New Roman" w:hAnsi="Times New Roman" w:cs="Times New Roman"/>
          <w:sz w:val="24"/>
          <w:szCs w:val="24"/>
          <w:lang w:val="es-ES"/>
        </w:rPr>
        <w:t>ista</w:t>
      </w:r>
      <w:r w:rsidR="00A47D57">
        <w:rPr>
          <w:rFonts w:ascii="Times New Roman" w:hAnsi="Times New Roman" w:cs="Times New Roman"/>
          <w:sz w:val="24"/>
          <w:szCs w:val="24"/>
          <w:lang w:val="es-ES"/>
        </w:rPr>
        <w:t>, del cuestionamiento de</w:t>
      </w:r>
      <w:r w:rsidRPr="00DC1C23">
        <w:rPr>
          <w:rFonts w:ascii="Times New Roman" w:hAnsi="Times New Roman" w:cs="Times New Roman"/>
          <w:sz w:val="24"/>
          <w:szCs w:val="24"/>
          <w:lang w:val="es-ES"/>
        </w:rPr>
        <w:t xml:space="preserve"> sus tesis subyacentes y </w:t>
      </w:r>
      <w:r w:rsidR="00A47D57">
        <w:rPr>
          <w:rFonts w:ascii="Times New Roman" w:hAnsi="Times New Roman" w:cs="Times New Roman"/>
          <w:sz w:val="24"/>
          <w:szCs w:val="24"/>
          <w:lang w:val="es-ES"/>
        </w:rPr>
        <w:t xml:space="preserve">de </w:t>
      </w:r>
      <w:r w:rsidRPr="00DC1C23">
        <w:rPr>
          <w:rFonts w:ascii="Times New Roman" w:hAnsi="Times New Roman" w:cs="Times New Roman"/>
          <w:sz w:val="24"/>
          <w:szCs w:val="24"/>
          <w:lang w:val="es-ES"/>
        </w:rPr>
        <w:t>una renovada conflictividad política en el Sur global, que se agregaba al eje de conflicto Este-Oeste. En t</w:t>
      </w:r>
      <w:r w:rsidR="000065CC" w:rsidRPr="00DC1C23">
        <w:rPr>
          <w:rFonts w:ascii="Times New Roman" w:hAnsi="Times New Roman" w:cs="Times New Roman"/>
          <w:sz w:val="24"/>
          <w:szCs w:val="24"/>
          <w:lang w:val="es-ES"/>
        </w:rPr>
        <w:t>érminos generales es posible señalar un desplazamiento progresivo de las problematizaciones sobre la cuestión social hacia el problema de la pobreza</w:t>
      </w:r>
      <w:r w:rsidR="00AB52B7">
        <w:rPr>
          <w:rFonts w:ascii="Times New Roman" w:hAnsi="Times New Roman" w:cs="Times New Roman"/>
          <w:sz w:val="24"/>
          <w:szCs w:val="24"/>
          <w:lang w:val="es-ES"/>
        </w:rPr>
        <w:t xml:space="preserve">, desanclándose progresivamente de </w:t>
      </w:r>
      <w:r w:rsidR="000065CC" w:rsidRPr="00DC1C23">
        <w:rPr>
          <w:rFonts w:ascii="Times New Roman" w:hAnsi="Times New Roman" w:cs="Times New Roman"/>
          <w:sz w:val="24"/>
          <w:szCs w:val="24"/>
          <w:lang w:val="es-ES"/>
        </w:rPr>
        <w:t>los problemas de empleo y de las características de los modelos de desarrollo</w:t>
      </w:r>
      <w:r w:rsidR="0095567E">
        <w:rPr>
          <w:rFonts w:ascii="Times New Roman" w:hAnsi="Times New Roman" w:cs="Times New Roman"/>
          <w:sz w:val="24"/>
          <w:szCs w:val="24"/>
          <w:lang w:val="es-ES"/>
        </w:rPr>
        <w:t xml:space="preserve"> (</w:t>
      </w:r>
      <w:proofErr w:type="spellStart"/>
      <w:r w:rsidR="0095567E">
        <w:rPr>
          <w:rFonts w:ascii="Times New Roman" w:hAnsi="Times New Roman" w:cs="Times New Roman"/>
          <w:sz w:val="24"/>
          <w:szCs w:val="24"/>
          <w:lang w:val="es-ES"/>
        </w:rPr>
        <w:t>Grondona</w:t>
      </w:r>
      <w:proofErr w:type="spellEnd"/>
      <w:r w:rsidR="0095567E">
        <w:rPr>
          <w:rFonts w:ascii="Times New Roman" w:hAnsi="Times New Roman" w:cs="Times New Roman"/>
          <w:sz w:val="24"/>
          <w:szCs w:val="24"/>
          <w:lang w:val="es-ES"/>
        </w:rPr>
        <w:t>, 2014</w:t>
      </w:r>
      <w:r w:rsidR="008F0474">
        <w:rPr>
          <w:rFonts w:ascii="Times New Roman" w:hAnsi="Times New Roman" w:cs="Times New Roman"/>
          <w:sz w:val="24"/>
          <w:szCs w:val="24"/>
          <w:lang w:val="es-ES"/>
        </w:rPr>
        <w:t xml:space="preserve">; </w:t>
      </w:r>
      <w:proofErr w:type="spellStart"/>
      <w:r w:rsidR="008F0474">
        <w:rPr>
          <w:rFonts w:ascii="Times New Roman" w:hAnsi="Times New Roman" w:cs="Times New Roman"/>
          <w:sz w:val="24"/>
          <w:szCs w:val="24"/>
          <w:lang w:val="es-ES"/>
        </w:rPr>
        <w:t>Lijterman</w:t>
      </w:r>
      <w:proofErr w:type="spellEnd"/>
      <w:r w:rsidR="008F0474">
        <w:rPr>
          <w:rFonts w:ascii="Times New Roman" w:hAnsi="Times New Roman" w:cs="Times New Roman"/>
          <w:sz w:val="24"/>
          <w:szCs w:val="24"/>
          <w:lang w:val="es-ES"/>
        </w:rPr>
        <w:t>, 2017)</w:t>
      </w:r>
      <w:r w:rsidR="000065CC" w:rsidRPr="00DC1C23">
        <w:rPr>
          <w:rFonts w:ascii="Times New Roman" w:hAnsi="Times New Roman" w:cs="Times New Roman"/>
          <w:sz w:val="24"/>
          <w:szCs w:val="24"/>
          <w:lang w:val="es-ES"/>
        </w:rPr>
        <w:t xml:space="preserve">. </w:t>
      </w:r>
      <w:r w:rsidR="00636571">
        <w:rPr>
          <w:rFonts w:ascii="Times New Roman" w:hAnsi="Times New Roman" w:cs="Times New Roman"/>
          <w:sz w:val="24"/>
          <w:szCs w:val="24"/>
          <w:lang w:val="es-ES"/>
        </w:rPr>
        <w:t xml:space="preserve">La pobreza, a su vez, delimitaba un eje común entre estos países y por ello se tornaba relevante como potencial de conflicto (Corbalán, 2002). Los diagnósticos señalaban límites naturales y demográficos al crecimiento, por lo que la atención debía centrarse en los medios para incrementar el PBI: la apertura económica y la reducción del déficit. </w:t>
      </w:r>
    </w:p>
    <w:p w:rsidR="00636571" w:rsidRDefault="00AB52B7" w:rsidP="00636571">
      <w:pPr>
        <w:pStyle w:val="western"/>
        <w:spacing w:before="0" w:beforeAutospacing="0" w:after="0" w:line="360" w:lineRule="auto"/>
        <w:ind w:firstLine="567"/>
        <w:jc w:val="both"/>
        <w:rPr>
          <w:rFonts w:ascii="Times New Roman" w:hAnsi="Times New Roman" w:cs="Times New Roman"/>
          <w:lang w:val="es-ES"/>
        </w:rPr>
      </w:pPr>
      <w:r>
        <w:rPr>
          <w:rFonts w:ascii="Times New Roman" w:hAnsi="Times New Roman" w:cs="Times New Roman"/>
          <w:sz w:val="24"/>
          <w:szCs w:val="24"/>
          <w:lang w:val="es-ES"/>
        </w:rPr>
        <w:t xml:space="preserve">La crisis en curso fue leída en clave de un evidente “problema fiscal”, que señalaba </w:t>
      </w:r>
      <w:r w:rsidR="000065CC" w:rsidRPr="00DC1C23">
        <w:rPr>
          <w:rFonts w:ascii="Times New Roman" w:hAnsi="Times New Roman" w:cs="Times New Roman"/>
          <w:sz w:val="24"/>
          <w:szCs w:val="24"/>
          <w:lang w:val="es-ES"/>
        </w:rPr>
        <w:t>al Estado</w:t>
      </w:r>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bienestarista</w:t>
      </w:r>
      <w:proofErr w:type="spellEnd"/>
      <w:r w:rsidR="000065CC" w:rsidRPr="00DC1C23">
        <w:rPr>
          <w:rFonts w:ascii="Times New Roman" w:hAnsi="Times New Roman" w:cs="Times New Roman"/>
          <w:sz w:val="24"/>
          <w:szCs w:val="24"/>
          <w:lang w:val="es-ES"/>
        </w:rPr>
        <w:t xml:space="preserve"> como</w:t>
      </w:r>
      <w:r w:rsidR="000065CC" w:rsidRPr="00DC1C23">
        <w:rPr>
          <w:rFonts w:ascii="Times New Roman" w:hAnsi="Times New Roman" w:cs="Times New Roman"/>
          <w:lang w:val="es-ES"/>
        </w:rPr>
        <w:t xml:space="preserve"> </w:t>
      </w:r>
      <w:r w:rsidR="000065CC" w:rsidRPr="00DC1C23">
        <w:rPr>
          <w:rFonts w:ascii="Times New Roman" w:hAnsi="Times New Roman" w:cs="Times New Roman"/>
          <w:sz w:val="24"/>
          <w:szCs w:val="24"/>
          <w:lang w:val="es-ES"/>
        </w:rPr>
        <w:t>uno de sus principales responsables</w:t>
      </w:r>
      <w:r w:rsidR="00636571">
        <w:rPr>
          <w:rFonts w:ascii="Times New Roman" w:hAnsi="Times New Roman" w:cs="Times New Roman"/>
          <w:sz w:val="24"/>
          <w:szCs w:val="24"/>
          <w:lang w:val="es-ES"/>
        </w:rPr>
        <w:t>, por el incremento del gasto público y por la carga financiera del modelo de sustitución de importaciones</w:t>
      </w:r>
      <w:r w:rsidR="000065CC" w:rsidRPr="00DC1C23">
        <w:rPr>
          <w:rFonts w:ascii="Times New Roman" w:hAnsi="Times New Roman" w:cs="Times New Roman"/>
          <w:sz w:val="24"/>
          <w:szCs w:val="24"/>
          <w:lang w:val="es-ES"/>
        </w:rPr>
        <w:t xml:space="preserve"> </w:t>
      </w:r>
      <w:r>
        <w:rPr>
          <w:rFonts w:ascii="Times New Roman" w:hAnsi="Times New Roman" w:cs="Times New Roman"/>
          <w:sz w:val="24"/>
          <w:szCs w:val="24"/>
          <w:lang w:val="es-ES"/>
        </w:rPr>
        <w:t>(</w:t>
      </w:r>
      <w:proofErr w:type="spellStart"/>
      <w:r>
        <w:rPr>
          <w:rFonts w:ascii="Times New Roman" w:hAnsi="Times New Roman" w:cs="Times New Roman"/>
          <w:sz w:val="24"/>
          <w:szCs w:val="24"/>
          <w:lang w:val="es-ES"/>
        </w:rPr>
        <w:t>Grassi</w:t>
      </w:r>
      <w:proofErr w:type="spellEnd"/>
      <w:r>
        <w:rPr>
          <w:rFonts w:ascii="Times New Roman" w:hAnsi="Times New Roman" w:cs="Times New Roman"/>
          <w:sz w:val="24"/>
          <w:szCs w:val="24"/>
          <w:lang w:val="es-ES"/>
        </w:rPr>
        <w:t>, 2003)</w:t>
      </w:r>
      <w:r w:rsidR="000065CC" w:rsidRPr="00DC1C23">
        <w:rPr>
          <w:rFonts w:ascii="Times New Roman" w:hAnsi="Times New Roman" w:cs="Times New Roman"/>
          <w:sz w:val="24"/>
          <w:szCs w:val="24"/>
          <w:lang w:val="es-ES"/>
        </w:rPr>
        <w:t>. El</w:t>
      </w:r>
      <w:r w:rsidR="000065CC" w:rsidRPr="00DC1C23">
        <w:rPr>
          <w:rFonts w:ascii="Times New Roman" w:hAnsi="Times New Roman" w:cs="Times New Roman"/>
          <w:lang w:val="es-ES"/>
        </w:rPr>
        <w:t xml:space="preserve"> </w:t>
      </w:r>
      <w:r w:rsidR="000065CC" w:rsidRPr="00DC1C23">
        <w:rPr>
          <w:rFonts w:ascii="Times New Roman" w:hAnsi="Times New Roman" w:cs="Times New Roman"/>
          <w:sz w:val="24"/>
          <w:szCs w:val="24"/>
          <w:lang w:val="es-ES"/>
        </w:rPr>
        <w:t>Consenso de Washington articuló</w:t>
      </w:r>
      <w:r>
        <w:rPr>
          <w:rFonts w:ascii="Times New Roman" w:hAnsi="Times New Roman" w:cs="Times New Roman"/>
          <w:sz w:val="24"/>
          <w:szCs w:val="24"/>
          <w:lang w:val="es-ES"/>
        </w:rPr>
        <w:t>, ya en los años noventa,</w:t>
      </w:r>
      <w:r w:rsidR="000065CC" w:rsidRPr="00DC1C23">
        <w:rPr>
          <w:rFonts w:ascii="Times New Roman" w:hAnsi="Times New Roman" w:cs="Times New Roman"/>
          <w:sz w:val="24"/>
          <w:szCs w:val="24"/>
          <w:lang w:val="es-ES"/>
        </w:rPr>
        <w:t xml:space="preserve"> en una programática común las recomendaciones sobre la estabilidad macroeconómica, la liberalización del comercio y del </w:t>
      </w:r>
      <w:r w:rsidR="000065CC" w:rsidRPr="00DC1C23">
        <w:rPr>
          <w:rFonts w:ascii="Times New Roman" w:hAnsi="Times New Roman" w:cs="Times New Roman"/>
          <w:sz w:val="24"/>
          <w:szCs w:val="24"/>
          <w:lang w:val="es-ES"/>
        </w:rPr>
        <w:lastRenderedPageBreak/>
        <w:t>sector financiero,</w:t>
      </w:r>
      <w:r w:rsidR="000065CC" w:rsidRPr="00DC1C23">
        <w:rPr>
          <w:rFonts w:ascii="Times New Roman" w:hAnsi="Times New Roman" w:cs="Times New Roman"/>
          <w:lang w:val="es-ES"/>
        </w:rPr>
        <w:t xml:space="preserve"> </w:t>
      </w:r>
      <w:r w:rsidR="000065CC" w:rsidRPr="00DC1C23">
        <w:rPr>
          <w:rFonts w:ascii="Times New Roman" w:hAnsi="Times New Roman" w:cs="Times New Roman"/>
          <w:sz w:val="24"/>
          <w:szCs w:val="24"/>
          <w:lang w:val="es-ES"/>
        </w:rPr>
        <w:t>y la reforma del papel del Estado.</w:t>
      </w:r>
      <w:r w:rsidR="00636571">
        <w:rPr>
          <w:rFonts w:ascii="Times New Roman" w:hAnsi="Times New Roman" w:cs="Times New Roman"/>
          <w:lang w:val="es-ES"/>
        </w:rPr>
        <w:t xml:space="preserve"> </w:t>
      </w:r>
      <w:r w:rsidR="000065CC" w:rsidRPr="00DC1C23">
        <w:rPr>
          <w:rFonts w:ascii="Times New Roman" w:hAnsi="Times New Roman" w:cs="Times New Roman"/>
          <w:sz w:val="24"/>
          <w:szCs w:val="24"/>
          <w:lang w:val="es-ES"/>
        </w:rPr>
        <w:t>La po</w:t>
      </w:r>
      <w:r>
        <w:rPr>
          <w:rFonts w:ascii="Times New Roman" w:hAnsi="Times New Roman" w:cs="Times New Roman"/>
          <w:sz w:val="24"/>
          <w:szCs w:val="24"/>
          <w:lang w:val="es-ES"/>
        </w:rPr>
        <w:t xml:space="preserve">breza </w:t>
      </w:r>
      <w:r w:rsidR="000065CC" w:rsidRPr="00DC1C23">
        <w:rPr>
          <w:rFonts w:ascii="Times New Roman" w:hAnsi="Times New Roman" w:cs="Times New Roman"/>
          <w:sz w:val="24"/>
          <w:szCs w:val="24"/>
          <w:lang w:val="es-ES"/>
        </w:rPr>
        <w:t>pasó a codificarse como un costo social previsible de</w:t>
      </w:r>
      <w:r w:rsidR="00541353">
        <w:rPr>
          <w:rFonts w:ascii="Times New Roman" w:hAnsi="Times New Roman" w:cs="Times New Roman"/>
          <w:sz w:val="24"/>
          <w:szCs w:val="24"/>
          <w:lang w:val="es-ES"/>
        </w:rPr>
        <w:t xml:space="preserve">l –necesario- </w:t>
      </w:r>
      <w:r w:rsidR="000065CC" w:rsidRPr="00DC1C23">
        <w:rPr>
          <w:rFonts w:ascii="Times New Roman" w:hAnsi="Times New Roman" w:cs="Times New Roman"/>
          <w:sz w:val="24"/>
          <w:szCs w:val="24"/>
          <w:lang w:val="es-ES"/>
        </w:rPr>
        <w:t>ajuste</w:t>
      </w:r>
      <w:r>
        <w:rPr>
          <w:rFonts w:ascii="Times New Roman" w:hAnsi="Times New Roman" w:cs="Times New Roman"/>
          <w:sz w:val="24"/>
          <w:szCs w:val="24"/>
          <w:lang w:val="es-ES"/>
        </w:rPr>
        <w:t xml:space="preserve"> estructural</w:t>
      </w:r>
      <w:r w:rsidR="000065CC" w:rsidRPr="00DC1C23">
        <w:rPr>
          <w:rFonts w:ascii="Times New Roman" w:hAnsi="Times New Roman" w:cs="Times New Roman"/>
          <w:sz w:val="24"/>
          <w:szCs w:val="24"/>
          <w:lang w:val="es-ES"/>
        </w:rPr>
        <w:t>, por lo cual se sugerían medidas compensatorias</w:t>
      </w:r>
      <w:r w:rsidR="000065CC" w:rsidRPr="00DC1C23">
        <w:rPr>
          <w:rFonts w:ascii="Times New Roman" w:hAnsi="Times New Roman" w:cs="Times New Roman"/>
          <w:lang w:val="es-ES"/>
        </w:rPr>
        <w:t xml:space="preserve"> </w:t>
      </w:r>
      <w:r w:rsidR="00541353">
        <w:rPr>
          <w:rFonts w:ascii="Times New Roman" w:hAnsi="Times New Roman" w:cs="Times New Roman"/>
          <w:sz w:val="24"/>
          <w:szCs w:val="24"/>
          <w:lang w:val="es-ES"/>
        </w:rPr>
        <w:t>dirigidas a</w:t>
      </w:r>
      <w:r w:rsidR="000065CC" w:rsidRPr="00DC1C23">
        <w:rPr>
          <w:rFonts w:ascii="Times New Roman" w:hAnsi="Times New Roman" w:cs="Times New Roman"/>
          <w:sz w:val="24"/>
          <w:szCs w:val="24"/>
          <w:lang w:val="es-ES"/>
        </w:rPr>
        <w:t xml:space="preserve"> los “perdedores transitorios”</w:t>
      </w:r>
      <w:r w:rsidR="00541353">
        <w:rPr>
          <w:rFonts w:ascii="Times New Roman" w:hAnsi="Times New Roman" w:cs="Times New Roman"/>
          <w:sz w:val="24"/>
          <w:szCs w:val="24"/>
          <w:lang w:val="es-ES"/>
        </w:rPr>
        <w:t xml:space="preserve"> (</w:t>
      </w:r>
      <w:proofErr w:type="spellStart"/>
      <w:r w:rsidR="00541353">
        <w:rPr>
          <w:rFonts w:ascii="Times New Roman" w:hAnsi="Times New Roman" w:cs="Times New Roman"/>
          <w:sz w:val="24"/>
          <w:szCs w:val="24"/>
          <w:lang w:val="es-ES"/>
        </w:rPr>
        <w:t>Grassi</w:t>
      </w:r>
      <w:proofErr w:type="spellEnd"/>
      <w:r w:rsidR="00541353">
        <w:rPr>
          <w:rFonts w:ascii="Times New Roman" w:hAnsi="Times New Roman" w:cs="Times New Roman"/>
          <w:sz w:val="24"/>
          <w:szCs w:val="24"/>
          <w:lang w:val="es-ES"/>
        </w:rPr>
        <w:t>, 2003</w:t>
      </w:r>
      <w:r w:rsidR="000065CC" w:rsidRPr="00DC1C23">
        <w:rPr>
          <w:rFonts w:ascii="Times New Roman" w:hAnsi="Times New Roman" w:cs="Times New Roman"/>
          <w:sz w:val="24"/>
          <w:szCs w:val="24"/>
          <w:lang w:val="es-ES"/>
        </w:rPr>
        <w:t>).</w:t>
      </w:r>
      <w:r w:rsidR="000065CC" w:rsidRPr="00DC1C23">
        <w:rPr>
          <w:rFonts w:ascii="Times New Roman" w:hAnsi="Times New Roman" w:cs="Times New Roman"/>
          <w:lang w:val="es-ES"/>
        </w:rPr>
        <w:t xml:space="preserve"> </w:t>
      </w:r>
    </w:p>
    <w:p w:rsidR="00EC7CA3" w:rsidRPr="00CB4429" w:rsidRDefault="000065CC" w:rsidP="00636571">
      <w:pPr>
        <w:pStyle w:val="western"/>
        <w:spacing w:before="0" w:beforeAutospacing="0" w:after="0" w:line="360" w:lineRule="auto"/>
        <w:ind w:firstLine="567"/>
        <w:jc w:val="both"/>
        <w:rPr>
          <w:rFonts w:ascii="Times New Roman" w:hAnsi="Times New Roman" w:cs="Times New Roman"/>
          <w:lang w:val="es-ES"/>
        </w:rPr>
      </w:pPr>
      <w:r w:rsidRPr="00DC1C23">
        <w:rPr>
          <w:rFonts w:ascii="Times New Roman" w:hAnsi="Times New Roman" w:cs="Times New Roman"/>
          <w:sz w:val="24"/>
          <w:szCs w:val="24"/>
          <w:lang w:val="es-ES"/>
        </w:rPr>
        <w:t>La intervención sobre la pobreza se disociaba del diagnóstico sobre las causas del empobrecimiento de la población, desanclándose asimismo de la cuestión del trabajo que había orientado las intervenciones sociales</w:t>
      </w:r>
      <w:r w:rsidR="00AB52B7">
        <w:rPr>
          <w:rFonts w:ascii="Times New Roman" w:hAnsi="Times New Roman" w:cs="Times New Roman"/>
          <w:sz w:val="24"/>
          <w:szCs w:val="24"/>
          <w:lang w:val="es-ES"/>
        </w:rPr>
        <w:t xml:space="preserve"> del ciclo previo</w:t>
      </w:r>
      <w:r w:rsidRPr="00DC1C23">
        <w:rPr>
          <w:rFonts w:ascii="Times New Roman" w:hAnsi="Times New Roman" w:cs="Times New Roman"/>
          <w:sz w:val="24"/>
          <w:szCs w:val="24"/>
          <w:lang w:val="es-ES"/>
        </w:rPr>
        <w:t xml:space="preserve"> (</w:t>
      </w:r>
      <w:proofErr w:type="spellStart"/>
      <w:r w:rsidRPr="00DC1C23">
        <w:rPr>
          <w:rFonts w:ascii="Times New Roman" w:hAnsi="Times New Roman" w:cs="Times New Roman"/>
          <w:sz w:val="24"/>
          <w:szCs w:val="24"/>
          <w:lang w:val="es-ES"/>
        </w:rPr>
        <w:t>Merklen</w:t>
      </w:r>
      <w:proofErr w:type="spellEnd"/>
      <w:r w:rsidRPr="00DC1C23">
        <w:rPr>
          <w:rFonts w:ascii="Times New Roman" w:hAnsi="Times New Roman" w:cs="Times New Roman"/>
          <w:sz w:val="24"/>
          <w:szCs w:val="24"/>
          <w:lang w:val="es-ES"/>
        </w:rPr>
        <w:t>, 2010). En este orden, proliferaron técnicas estadísticas cuya finalidad era medir la magnitud del “costo social” del ajuste operado, determinando quiénes eran y cómo vivían los pobres. Las controversias que se desplegaban respecto de la virtud de cada una de estas técnicas (la línea de pobreza, la medición de las necesidades básicas insatisfechas, el indicador de desarrollo humano)</w:t>
      </w:r>
      <w:r w:rsidR="00AB52B7">
        <w:rPr>
          <w:rFonts w:ascii="Times New Roman" w:hAnsi="Times New Roman" w:cs="Times New Roman"/>
          <w:sz w:val="24"/>
          <w:szCs w:val="24"/>
          <w:lang w:val="es-ES"/>
        </w:rPr>
        <w:t xml:space="preserve"> marcaban</w:t>
      </w:r>
      <w:r w:rsidRPr="00DC1C23">
        <w:rPr>
          <w:rFonts w:ascii="Times New Roman" w:hAnsi="Times New Roman" w:cs="Times New Roman"/>
          <w:sz w:val="24"/>
          <w:szCs w:val="24"/>
          <w:lang w:val="es-ES"/>
        </w:rPr>
        <w:t xml:space="preserve"> un desplazamiento en el sujeto/objeto de las intervenciones en el campo social. Según </w:t>
      </w:r>
      <w:proofErr w:type="spellStart"/>
      <w:r w:rsidRPr="00DC1C23">
        <w:rPr>
          <w:rFonts w:ascii="Times New Roman" w:hAnsi="Times New Roman" w:cs="Times New Roman"/>
          <w:sz w:val="24"/>
          <w:szCs w:val="24"/>
          <w:lang w:val="es-ES"/>
        </w:rPr>
        <w:t>Merklen</w:t>
      </w:r>
      <w:proofErr w:type="spellEnd"/>
      <w:r w:rsidRPr="00DC1C23">
        <w:rPr>
          <w:rFonts w:ascii="Times New Roman" w:hAnsi="Times New Roman" w:cs="Times New Roman"/>
          <w:sz w:val="24"/>
          <w:szCs w:val="24"/>
          <w:lang w:val="es-ES"/>
        </w:rPr>
        <w:t xml:space="preserve">, los grupos a los cuales se dirigía la política social eran los mismos, pero se alteraban las categorías bajo las cuales eran nominados –del “trabajador” al “pobre”- con consecuencias en la modalidad de tratamiento. </w:t>
      </w:r>
      <w:r w:rsidR="00AB52B7" w:rsidRPr="00CB4429">
        <w:rPr>
          <w:rFonts w:ascii="Times New Roman" w:hAnsi="Times New Roman" w:cs="Times New Roman"/>
          <w:sz w:val="24"/>
          <w:szCs w:val="24"/>
          <w:lang w:val="es-ES"/>
        </w:rPr>
        <w:t>De un saber centrado en causalidades estructurales se viraba hacia uno de impronta mayormente descriptiva (</w:t>
      </w:r>
      <w:proofErr w:type="spellStart"/>
      <w:r w:rsidR="00AB52B7" w:rsidRPr="00CB4429">
        <w:rPr>
          <w:rFonts w:ascii="Times New Roman" w:hAnsi="Times New Roman" w:cs="Times New Roman"/>
          <w:sz w:val="24"/>
          <w:szCs w:val="24"/>
          <w:lang w:val="es-ES"/>
        </w:rPr>
        <w:t>Grondona</w:t>
      </w:r>
      <w:proofErr w:type="spellEnd"/>
      <w:r w:rsidR="00AB52B7" w:rsidRPr="00CB4429">
        <w:rPr>
          <w:rFonts w:ascii="Times New Roman" w:hAnsi="Times New Roman" w:cs="Times New Roman"/>
          <w:sz w:val="24"/>
          <w:szCs w:val="24"/>
          <w:lang w:val="es-ES"/>
        </w:rPr>
        <w:t>, 2014)</w:t>
      </w:r>
      <w:r w:rsidR="008843A4" w:rsidRPr="00CB4429">
        <w:rPr>
          <w:rFonts w:ascii="Times New Roman" w:hAnsi="Times New Roman" w:cs="Times New Roman"/>
          <w:sz w:val="24"/>
          <w:szCs w:val="24"/>
          <w:lang w:val="es-ES"/>
        </w:rPr>
        <w:t>.</w:t>
      </w:r>
    </w:p>
    <w:p w:rsidR="00A96E4E" w:rsidRDefault="006F2DBE" w:rsidP="007A6BCA">
      <w:pPr>
        <w:pStyle w:val="western"/>
        <w:spacing w:before="0" w:beforeAutospacing="0" w:after="0" w:line="360" w:lineRule="auto"/>
        <w:ind w:firstLine="567"/>
        <w:jc w:val="both"/>
        <w:rPr>
          <w:rFonts w:ascii="Times New Roman" w:hAnsi="Times New Roman" w:cs="Times New Roman"/>
          <w:sz w:val="24"/>
          <w:szCs w:val="24"/>
          <w:lang w:val="es-ES"/>
        </w:rPr>
      </w:pPr>
      <w:r w:rsidRPr="00CB4429">
        <w:rPr>
          <w:rFonts w:ascii="Times New Roman" w:hAnsi="Times New Roman" w:cs="Times New Roman"/>
          <w:sz w:val="24"/>
          <w:szCs w:val="24"/>
          <w:lang w:val="es-ES"/>
        </w:rPr>
        <w:t>En dichas décadas se afianzó la participació</w:t>
      </w:r>
      <w:r w:rsidRPr="00DC1C23">
        <w:rPr>
          <w:rFonts w:ascii="Times New Roman" w:hAnsi="Times New Roman" w:cs="Times New Roman"/>
          <w:sz w:val="24"/>
          <w:szCs w:val="24"/>
          <w:lang w:val="es-ES"/>
        </w:rPr>
        <w:t xml:space="preserve">n de las AID en las problematizaciones sobre el crecimiento económico, el trabajo y la pobreza en la región. Ello no puede explicarse únicamente </w:t>
      </w:r>
      <w:r w:rsidR="00A96E4E" w:rsidRPr="00DC1C23">
        <w:rPr>
          <w:rFonts w:ascii="Times New Roman" w:hAnsi="Times New Roman" w:cs="Times New Roman"/>
          <w:sz w:val="24"/>
          <w:szCs w:val="24"/>
          <w:lang w:val="es-ES"/>
        </w:rPr>
        <w:t xml:space="preserve">a partir de los condicionamientos de los créditos otorgados por éstas, aunque </w:t>
      </w:r>
      <w:r w:rsidRPr="00DC1C23">
        <w:rPr>
          <w:rFonts w:ascii="Times New Roman" w:hAnsi="Times New Roman" w:cs="Times New Roman"/>
          <w:sz w:val="24"/>
          <w:szCs w:val="24"/>
          <w:lang w:val="es-ES"/>
        </w:rPr>
        <w:t>ello ejerció un</w:t>
      </w:r>
      <w:r w:rsidR="00A96E4E" w:rsidRPr="00DC1C23">
        <w:rPr>
          <w:rFonts w:ascii="Times New Roman" w:hAnsi="Times New Roman" w:cs="Times New Roman"/>
          <w:sz w:val="24"/>
          <w:szCs w:val="24"/>
          <w:lang w:val="es-ES"/>
        </w:rPr>
        <w:t xml:space="preserve"> </w:t>
      </w:r>
      <w:proofErr w:type="spellStart"/>
      <w:r w:rsidR="00A96E4E" w:rsidRPr="00DC1C23">
        <w:rPr>
          <w:rFonts w:ascii="Times New Roman" w:hAnsi="Times New Roman" w:cs="Times New Roman"/>
          <w:sz w:val="24"/>
          <w:szCs w:val="24"/>
          <w:lang w:val="es-ES"/>
        </w:rPr>
        <w:t>disciplinamiento</w:t>
      </w:r>
      <w:proofErr w:type="spellEnd"/>
      <w:r w:rsidR="00A96E4E" w:rsidRPr="00DC1C23">
        <w:rPr>
          <w:rFonts w:ascii="Times New Roman" w:hAnsi="Times New Roman" w:cs="Times New Roman"/>
          <w:sz w:val="24"/>
          <w:szCs w:val="24"/>
          <w:lang w:val="es-ES"/>
        </w:rPr>
        <w:t xml:space="preserve"> político notable. </w:t>
      </w:r>
      <w:r w:rsidR="008843A4">
        <w:rPr>
          <w:rFonts w:ascii="Times New Roman" w:hAnsi="Times New Roman" w:cs="Times New Roman"/>
          <w:sz w:val="24"/>
          <w:szCs w:val="24"/>
          <w:lang w:val="es-ES"/>
        </w:rPr>
        <w:t xml:space="preserve">Fundamentalmente, </w:t>
      </w:r>
      <w:r w:rsidR="0080795B">
        <w:rPr>
          <w:rFonts w:ascii="Times New Roman" w:hAnsi="Times New Roman" w:cs="Times New Roman"/>
          <w:sz w:val="24"/>
          <w:szCs w:val="24"/>
          <w:lang w:val="es-ES"/>
        </w:rPr>
        <w:t>su</w:t>
      </w:r>
      <w:r w:rsidR="008843A4">
        <w:rPr>
          <w:rFonts w:ascii="Times New Roman" w:hAnsi="Times New Roman" w:cs="Times New Roman"/>
          <w:sz w:val="24"/>
          <w:szCs w:val="24"/>
          <w:lang w:val="es-ES"/>
        </w:rPr>
        <w:t xml:space="preserve"> rol supervisor se fundamentó en la legitimidad de su </w:t>
      </w:r>
      <w:proofErr w:type="spellStart"/>
      <w:r w:rsidR="0080795B" w:rsidRPr="0080795B">
        <w:rPr>
          <w:rFonts w:ascii="Times New Roman" w:hAnsi="Times New Roman" w:cs="Times New Roman"/>
          <w:i/>
          <w:sz w:val="24"/>
          <w:szCs w:val="24"/>
          <w:lang w:val="es-ES"/>
        </w:rPr>
        <w:t>expertise</w:t>
      </w:r>
      <w:proofErr w:type="spellEnd"/>
      <w:r w:rsidR="00A96E4E" w:rsidRPr="00DC1C23">
        <w:rPr>
          <w:rFonts w:ascii="Times New Roman" w:hAnsi="Times New Roman" w:cs="Times New Roman"/>
          <w:sz w:val="24"/>
          <w:szCs w:val="24"/>
          <w:lang w:val="es-ES"/>
        </w:rPr>
        <w:t xml:space="preserve"> (</w:t>
      </w:r>
      <w:proofErr w:type="spellStart"/>
      <w:r w:rsidR="00A96E4E" w:rsidRPr="00DC1C23">
        <w:rPr>
          <w:rFonts w:ascii="Times New Roman" w:hAnsi="Times New Roman" w:cs="Times New Roman"/>
          <w:sz w:val="24"/>
          <w:szCs w:val="24"/>
          <w:lang w:val="es-ES"/>
        </w:rPr>
        <w:t>Golbert</w:t>
      </w:r>
      <w:proofErr w:type="spellEnd"/>
      <w:r w:rsidR="00A96E4E" w:rsidRPr="00DC1C23">
        <w:rPr>
          <w:rFonts w:ascii="Times New Roman" w:hAnsi="Times New Roman" w:cs="Times New Roman"/>
          <w:sz w:val="24"/>
          <w:szCs w:val="24"/>
          <w:lang w:val="es-ES"/>
        </w:rPr>
        <w:t xml:space="preserve"> y </w:t>
      </w:r>
      <w:proofErr w:type="spellStart"/>
      <w:r w:rsidR="00A96E4E" w:rsidRPr="00DC1C23">
        <w:rPr>
          <w:rFonts w:ascii="Times New Roman" w:hAnsi="Times New Roman" w:cs="Times New Roman"/>
          <w:sz w:val="24"/>
          <w:szCs w:val="24"/>
          <w:lang w:val="es-ES"/>
        </w:rPr>
        <w:t>Kessler</w:t>
      </w:r>
      <w:proofErr w:type="spellEnd"/>
      <w:r w:rsidR="00A96E4E" w:rsidRPr="00DC1C23">
        <w:rPr>
          <w:rFonts w:ascii="Times New Roman" w:hAnsi="Times New Roman" w:cs="Times New Roman"/>
          <w:sz w:val="24"/>
          <w:szCs w:val="24"/>
          <w:lang w:val="es-ES"/>
        </w:rPr>
        <w:t xml:space="preserve">, 1996; Corbalán, 2002; </w:t>
      </w:r>
      <w:proofErr w:type="spellStart"/>
      <w:r w:rsidR="00A96E4E" w:rsidRPr="00DC1C23">
        <w:rPr>
          <w:rFonts w:ascii="Times New Roman" w:hAnsi="Times New Roman" w:cs="Times New Roman"/>
          <w:sz w:val="24"/>
          <w:szCs w:val="24"/>
          <w:lang w:val="es-ES"/>
        </w:rPr>
        <w:t>Grassi</w:t>
      </w:r>
      <w:proofErr w:type="spellEnd"/>
      <w:r w:rsidR="00A96E4E" w:rsidRPr="00DC1C23">
        <w:rPr>
          <w:rFonts w:ascii="Times New Roman" w:hAnsi="Times New Roman" w:cs="Times New Roman"/>
          <w:sz w:val="24"/>
          <w:szCs w:val="24"/>
          <w:lang w:val="es-ES"/>
        </w:rPr>
        <w:t xml:space="preserve">, 2003; Murillo, 2005; </w:t>
      </w:r>
      <w:proofErr w:type="spellStart"/>
      <w:r w:rsidR="00A96E4E" w:rsidRPr="00DC1C23">
        <w:rPr>
          <w:rFonts w:ascii="Times New Roman" w:hAnsi="Times New Roman" w:cs="Times New Roman"/>
          <w:sz w:val="24"/>
          <w:szCs w:val="24"/>
          <w:lang w:val="es-ES"/>
        </w:rPr>
        <w:t>Orlansky</w:t>
      </w:r>
      <w:proofErr w:type="spellEnd"/>
      <w:r w:rsidR="00A96E4E" w:rsidRPr="00DC1C23">
        <w:rPr>
          <w:rFonts w:ascii="Times New Roman" w:hAnsi="Times New Roman" w:cs="Times New Roman"/>
          <w:sz w:val="24"/>
          <w:szCs w:val="24"/>
          <w:lang w:val="es-ES"/>
        </w:rPr>
        <w:t>, 2006).</w:t>
      </w:r>
      <w:r w:rsidRPr="00DC1C23">
        <w:rPr>
          <w:rFonts w:ascii="Times New Roman" w:hAnsi="Times New Roman" w:cs="Times New Roman"/>
          <w:sz w:val="24"/>
          <w:szCs w:val="24"/>
          <w:lang w:val="es-ES"/>
        </w:rPr>
        <w:t xml:space="preserve"> </w:t>
      </w:r>
      <w:r w:rsidR="008843A4">
        <w:rPr>
          <w:rFonts w:ascii="Times New Roman" w:hAnsi="Times New Roman" w:cs="Times New Roman"/>
          <w:sz w:val="24"/>
          <w:szCs w:val="24"/>
          <w:lang w:val="es-ES"/>
        </w:rPr>
        <w:t xml:space="preserve">Estas agencias se encontraban en </w:t>
      </w:r>
      <w:r w:rsidR="00A96E4E" w:rsidRPr="00DC1C23">
        <w:rPr>
          <w:rFonts w:ascii="Times New Roman" w:hAnsi="Times New Roman" w:cs="Times New Roman"/>
          <w:sz w:val="24"/>
          <w:szCs w:val="24"/>
          <w:lang w:val="es-ES"/>
        </w:rPr>
        <w:t xml:space="preserve">condiciones privilegiadas para realizar investigaciones sistemáticas y comparativas sobre la pobreza, el empleo y las finanzas, </w:t>
      </w:r>
      <w:r w:rsidR="0080795B">
        <w:rPr>
          <w:rFonts w:ascii="Times New Roman" w:hAnsi="Times New Roman" w:cs="Times New Roman"/>
          <w:sz w:val="24"/>
          <w:szCs w:val="24"/>
          <w:lang w:val="es-ES"/>
        </w:rPr>
        <w:t>y eran</w:t>
      </w:r>
      <w:r w:rsidR="00A96E4E" w:rsidRPr="00DC1C23">
        <w:rPr>
          <w:rFonts w:ascii="Times New Roman" w:hAnsi="Times New Roman" w:cs="Times New Roman"/>
          <w:sz w:val="24"/>
          <w:szCs w:val="24"/>
          <w:lang w:val="es-ES"/>
        </w:rPr>
        <w:t xml:space="preserve"> respaldadas por especialistas con prestigio y tomadas por los medios masivos de comunicación como las fuentes más confiables de información en detrimento de otras producidas nacionalmente. </w:t>
      </w:r>
      <w:r w:rsidR="008843A4">
        <w:rPr>
          <w:rFonts w:ascii="Times New Roman" w:hAnsi="Times New Roman" w:cs="Times New Roman"/>
          <w:sz w:val="24"/>
          <w:szCs w:val="24"/>
          <w:lang w:val="es-ES"/>
        </w:rPr>
        <w:t>Así es que, a partir de 1996, el BM se autodenominaría “Banco del Conocimiento” (Murillo, 2005).</w:t>
      </w:r>
    </w:p>
    <w:p w:rsidR="007E338C" w:rsidRDefault="00DC7E1E" w:rsidP="007A6BCA">
      <w:pPr>
        <w:pStyle w:val="western"/>
        <w:spacing w:before="0" w:beforeAutospacing="0" w:after="0" w:line="360" w:lineRule="auto"/>
        <w:ind w:firstLine="567"/>
        <w:jc w:val="both"/>
        <w:rPr>
          <w:rFonts w:ascii="Times New Roman" w:hAnsi="Times New Roman" w:cs="Times New Roman"/>
          <w:sz w:val="24"/>
          <w:szCs w:val="24"/>
        </w:rPr>
      </w:pPr>
      <w:r w:rsidRPr="00DC1C23">
        <w:rPr>
          <w:rFonts w:ascii="Times New Roman" w:hAnsi="Times New Roman" w:cs="Times New Roman"/>
          <w:sz w:val="24"/>
          <w:szCs w:val="24"/>
        </w:rPr>
        <w:t xml:space="preserve">A continuación, haremos una breve referencia a las reformulaciones </w:t>
      </w:r>
      <w:r w:rsidR="008F32F9">
        <w:rPr>
          <w:rFonts w:ascii="Times New Roman" w:hAnsi="Times New Roman" w:cs="Times New Roman"/>
          <w:sz w:val="24"/>
          <w:szCs w:val="24"/>
        </w:rPr>
        <w:t xml:space="preserve">que comenzaron a producirse desde fines de la década de 1990 </w:t>
      </w:r>
      <w:r w:rsidRPr="00DC1C23">
        <w:rPr>
          <w:rFonts w:ascii="Times New Roman" w:hAnsi="Times New Roman" w:cs="Times New Roman"/>
          <w:sz w:val="24"/>
          <w:szCs w:val="24"/>
        </w:rPr>
        <w:t>en la</w:t>
      </w:r>
      <w:r w:rsidR="008F32F9">
        <w:rPr>
          <w:rFonts w:ascii="Times New Roman" w:hAnsi="Times New Roman" w:cs="Times New Roman"/>
          <w:sz w:val="24"/>
          <w:szCs w:val="24"/>
        </w:rPr>
        <w:t>s</w:t>
      </w:r>
      <w:r w:rsidRPr="00DC1C23">
        <w:rPr>
          <w:rFonts w:ascii="Times New Roman" w:hAnsi="Times New Roman" w:cs="Times New Roman"/>
          <w:sz w:val="24"/>
          <w:szCs w:val="24"/>
        </w:rPr>
        <w:t xml:space="preserve"> programática</w:t>
      </w:r>
      <w:r w:rsidR="008F32F9">
        <w:rPr>
          <w:rFonts w:ascii="Times New Roman" w:hAnsi="Times New Roman" w:cs="Times New Roman"/>
          <w:sz w:val="24"/>
          <w:szCs w:val="24"/>
        </w:rPr>
        <w:t>s de las AID. Ellas constituyen un resultado y un medio por el cual se reconfiguran los saberes expertos: ellos producirán nuevas formas de conocimiento de acuerdo a los nuevos problemas delimitados.</w:t>
      </w:r>
    </w:p>
    <w:p w:rsidR="008F32F9" w:rsidRPr="00DC1C23" w:rsidRDefault="008F32F9" w:rsidP="007A6BCA">
      <w:pPr>
        <w:pStyle w:val="western"/>
        <w:spacing w:before="0" w:beforeAutospacing="0" w:after="0" w:line="360" w:lineRule="auto"/>
        <w:ind w:firstLine="567"/>
        <w:jc w:val="both"/>
        <w:rPr>
          <w:rFonts w:ascii="Times New Roman" w:hAnsi="Times New Roman" w:cs="Times New Roman"/>
          <w:sz w:val="24"/>
          <w:szCs w:val="24"/>
        </w:rPr>
      </w:pPr>
    </w:p>
    <w:p w:rsidR="00CD6790" w:rsidRPr="008F32F9" w:rsidRDefault="00CD6790" w:rsidP="008F32F9">
      <w:pPr>
        <w:pStyle w:val="western"/>
        <w:numPr>
          <w:ilvl w:val="0"/>
          <w:numId w:val="9"/>
        </w:numPr>
        <w:spacing w:before="0" w:beforeAutospacing="0" w:after="0" w:line="360" w:lineRule="auto"/>
        <w:jc w:val="both"/>
        <w:rPr>
          <w:rFonts w:ascii="Times New Roman" w:hAnsi="Times New Roman" w:cs="Times New Roman"/>
          <w:b/>
          <w:smallCaps/>
          <w:sz w:val="24"/>
          <w:szCs w:val="24"/>
        </w:rPr>
      </w:pPr>
      <w:r w:rsidRPr="008F32F9">
        <w:rPr>
          <w:rFonts w:ascii="Times New Roman" w:hAnsi="Times New Roman" w:cs="Times New Roman"/>
          <w:b/>
          <w:smallCaps/>
          <w:sz w:val="24"/>
          <w:szCs w:val="24"/>
        </w:rPr>
        <w:t>La emergencia de una nueva programática en los ocasos del siglo XX. Reconfiguraciones sobre lo social</w:t>
      </w:r>
    </w:p>
    <w:p w:rsidR="00C660D6" w:rsidRDefault="00C660D6" w:rsidP="007A6BCA">
      <w:pPr>
        <w:pStyle w:val="western"/>
        <w:spacing w:before="0" w:beforeAutospacing="0" w:after="0" w:line="420" w:lineRule="atLeast"/>
        <w:ind w:firstLine="567"/>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A continuación</w:t>
      </w:r>
      <w:r w:rsidR="00CB4429">
        <w:rPr>
          <w:rFonts w:ascii="Times New Roman" w:hAnsi="Times New Roman" w:cs="Times New Roman"/>
          <w:sz w:val="24"/>
          <w:szCs w:val="24"/>
          <w:lang w:val="es-ES"/>
        </w:rPr>
        <w:t>,</w:t>
      </w:r>
      <w:r>
        <w:rPr>
          <w:rFonts w:ascii="Times New Roman" w:hAnsi="Times New Roman" w:cs="Times New Roman"/>
          <w:sz w:val="24"/>
          <w:szCs w:val="24"/>
          <w:lang w:val="es-ES"/>
        </w:rPr>
        <w:t xml:space="preserve"> analizamos de forma sucinta las reformulaciones que consideramos principales en la programática de las AID,</w:t>
      </w:r>
      <w:r w:rsidR="00CB4429">
        <w:rPr>
          <w:rFonts w:ascii="Times New Roman" w:hAnsi="Times New Roman" w:cs="Times New Roman"/>
          <w:sz w:val="24"/>
          <w:szCs w:val="24"/>
          <w:lang w:val="es-ES"/>
        </w:rPr>
        <w:t xml:space="preserve"> en cuanto a los problemas definidos,</w:t>
      </w:r>
      <w:r>
        <w:rPr>
          <w:rFonts w:ascii="Times New Roman" w:hAnsi="Times New Roman" w:cs="Times New Roman"/>
          <w:sz w:val="24"/>
          <w:szCs w:val="24"/>
          <w:lang w:val="es-ES"/>
        </w:rPr>
        <w:t xml:space="preserve"> las transformaciones postuladas, los dispositivos promovidos, y las poblaciones responsables/afectadas. El </w:t>
      </w:r>
      <w:r w:rsidRPr="00C660D6">
        <w:rPr>
          <w:rFonts w:ascii="Times New Roman" w:hAnsi="Times New Roman" w:cs="Times New Roman"/>
          <w:i/>
          <w:sz w:val="24"/>
          <w:szCs w:val="24"/>
          <w:lang w:val="es-ES"/>
        </w:rPr>
        <w:t>corpus</w:t>
      </w:r>
      <w:r>
        <w:rPr>
          <w:rFonts w:ascii="Times New Roman" w:hAnsi="Times New Roman" w:cs="Times New Roman"/>
          <w:sz w:val="24"/>
          <w:szCs w:val="24"/>
          <w:lang w:val="es-ES"/>
        </w:rPr>
        <w:t xml:space="preserve"> en el que nos basamos se conformó por </w:t>
      </w:r>
      <w:r w:rsidR="005746B1">
        <w:rPr>
          <w:rFonts w:ascii="Times New Roman" w:hAnsi="Times New Roman" w:cs="Times New Roman"/>
          <w:sz w:val="24"/>
          <w:szCs w:val="24"/>
          <w:lang w:val="es-ES"/>
        </w:rPr>
        <w:t>alrededor de cien documentos</w:t>
      </w:r>
      <w:r w:rsidR="00CB4429">
        <w:rPr>
          <w:rFonts w:ascii="Times New Roman" w:hAnsi="Times New Roman" w:cs="Times New Roman"/>
          <w:sz w:val="24"/>
          <w:szCs w:val="24"/>
          <w:lang w:val="es-ES"/>
        </w:rPr>
        <w:t>, producidos entre 1995 y 2015.</w:t>
      </w:r>
      <w:r w:rsidR="00CB4429">
        <w:rPr>
          <w:rStyle w:val="Refdenotaalpie"/>
          <w:rFonts w:ascii="Times New Roman" w:hAnsi="Times New Roman" w:cs="Times New Roman"/>
          <w:sz w:val="24"/>
          <w:szCs w:val="24"/>
          <w:lang w:val="es-ES"/>
        </w:rPr>
        <w:footnoteReference w:id="5"/>
      </w:r>
    </w:p>
    <w:p w:rsidR="00CB4429" w:rsidRDefault="00CB4429" w:rsidP="007A6BCA">
      <w:pPr>
        <w:pStyle w:val="western"/>
        <w:spacing w:before="0" w:beforeAutospacing="0" w:after="0" w:line="420" w:lineRule="atLeast"/>
        <w:ind w:firstLine="567"/>
        <w:jc w:val="both"/>
        <w:rPr>
          <w:rFonts w:ascii="Times New Roman" w:hAnsi="Times New Roman" w:cs="Times New Roman"/>
          <w:sz w:val="24"/>
          <w:szCs w:val="24"/>
          <w:lang w:val="es-ES"/>
        </w:rPr>
      </w:pPr>
    </w:p>
    <w:p w:rsidR="005746B1" w:rsidRPr="00CB4429" w:rsidRDefault="005746B1" w:rsidP="007A6BCA">
      <w:pPr>
        <w:pStyle w:val="western"/>
        <w:spacing w:before="0" w:beforeAutospacing="0" w:after="0" w:line="420" w:lineRule="atLeast"/>
        <w:ind w:firstLine="567"/>
        <w:jc w:val="both"/>
        <w:rPr>
          <w:rFonts w:ascii="Times New Roman" w:hAnsi="Times New Roman" w:cs="Times New Roman"/>
          <w:b/>
          <w:i/>
          <w:sz w:val="24"/>
          <w:szCs w:val="24"/>
          <w:lang w:val="es-ES"/>
        </w:rPr>
      </w:pPr>
      <w:proofErr w:type="gramStart"/>
      <w:r w:rsidRPr="00CB4429">
        <w:rPr>
          <w:rFonts w:ascii="Times New Roman" w:hAnsi="Times New Roman" w:cs="Times New Roman"/>
          <w:b/>
          <w:i/>
          <w:sz w:val="24"/>
          <w:szCs w:val="24"/>
          <w:lang w:val="es-ES"/>
        </w:rPr>
        <w:t>4.a</w:t>
      </w:r>
      <w:proofErr w:type="gramEnd"/>
      <w:r w:rsidRPr="00CB4429">
        <w:rPr>
          <w:rFonts w:ascii="Times New Roman" w:hAnsi="Times New Roman" w:cs="Times New Roman"/>
          <w:b/>
          <w:i/>
          <w:sz w:val="24"/>
          <w:szCs w:val="24"/>
          <w:lang w:val="es-ES"/>
        </w:rPr>
        <w:t xml:space="preserve">. Humanizar la economía. Diagnósticos sobre la crisis social. </w:t>
      </w:r>
    </w:p>
    <w:p w:rsidR="005F3904" w:rsidRDefault="001F6684" w:rsidP="007A6BCA">
      <w:pPr>
        <w:pStyle w:val="western"/>
        <w:spacing w:before="0" w:beforeAutospacing="0" w:after="0" w:line="420" w:lineRule="atLeast"/>
        <w:ind w:firstLine="567"/>
        <w:jc w:val="both"/>
        <w:rPr>
          <w:rFonts w:ascii="Times New Roman" w:hAnsi="Times New Roman" w:cs="Times New Roman"/>
          <w:sz w:val="24"/>
          <w:szCs w:val="24"/>
        </w:rPr>
      </w:pPr>
      <w:r>
        <w:rPr>
          <w:rFonts w:ascii="Times New Roman" w:hAnsi="Times New Roman" w:cs="Times New Roman"/>
          <w:sz w:val="24"/>
          <w:szCs w:val="24"/>
          <w:lang w:val="es-ES"/>
        </w:rPr>
        <w:t xml:space="preserve">La </w:t>
      </w:r>
      <w:r w:rsidR="00982E2E" w:rsidRPr="00DC1C23">
        <w:rPr>
          <w:rFonts w:ascii="Times New Roman" w:hAnsi="Times New Roman" w:cs="Times New Roman"/>
          <w:sz w:val="24"/>
          <w:szCs w:val="24"/>
          <w:lang w:val="es-ES"/>
        </w:rPr>
        <w:t>crisis económica, política y social</w:t>
      </w:r>
      <w:r>
        <w:rPr>
          <w:rFonts w:ascii="Times New Roman" w:hAnsi="Times New Roman" w:cs="Times New Roman"/>
          <w:sz w:val="24"/>
          <w:szCs w:val="24"/>
          <w:lang w:val="es-ES"/>
        </w:rPr>
        <w:t xml:space="preserve"> con la</w:t>
      </w:r>
      <w:r w:rsidR="00982E2E" w:rsidRPr="00DC1C23">
        <w:rPr>
          <w:rFonts w:ascii="Times New Roman" w:hAnsi="Times New Roman" w:cs="Times New Roman"/>
          <w:sz w:val="24"/>
          <w:szCs w:val="24"/>
          <w:lang w:val="es-ES"/>
        </w:rPr>
        <w:t xml:space="preserve"> que concluyó el siglo XX en la región latinoamericana conmov</w:t>
      </w:r>
      <w:r w:rsidR="00C660D6">
        <w:rPr>
          <w:rFonts w:ascii="Times New Roman" w:hAnsi="Times New Roman" w:cs="Times New Roman"/>
          <w:sz w:val="24"/>
          <w:szCs w:val="24"/>
          <w:lang w:val="es-ES"/>
        </w:rPr>
        <w:t>i</w:t>
      </w:r>
      <w:r>
        <w:rPr>
          <w:rFonts w:ascii="Times New Roman" w:hAnsi="Times New Roman" w:cs="Times New Roman"/>
          <w:sz w:val="24"/>
          <w:szCs w:val="24"/>
          <w:lang w:val="es-ES"/>
        </w:rPr>
        <w:t>ó</w:t>
      </w:r>
      <w:r w:rsidR="00982E2E" w:rsidRPr="00DC1C23">
        <w:rPr>
          <w:rFonts w:ascii="Times New Roman" w:hAnsi="Times New Roman" w:cs="Times New Roman"/>
          <w:sz w:val="24"/>
          <w:szCs w:val="24"/>
          <w:lang w:val="es-ES"/>
        </w:rPr>
        <w:t xml:space="preserve"> el presupuesto “éxito” de la agenda de </w:t>
      </w:r>
      <w:r>
        <w:rPr>
          <w:rFonts w:ascii="Times New Roman" w:hAnsi="Times New Roman" w:cs="Times New Roman"/>
          <w:sz w:val="24"/>
          <w:szCs w:val="24"/>
          <w:lang w:val="es-ES"/>
        </w:rPr>
        <w:t>reformas, que los bancos internacionales afirmaban complacidos</w:t>
      </w:r>
      <w:r w:rsidR="00982E2E" w:rsidRPr="00DC1C23">
        <w:rPr>
          <w:rFonts w:ascii="Times New Roman" w:hAnsi="Times New Roman" w:cs="Times New Roman"/>
          <w:sz w:val="24"/>
          <w:szCs w:val="24"/>
          <w:lang w:val="es-ES"/>
        </w:rPr>
        <w:t xml:space="preserve">. </w:t>
      </w:r>
      <w:r w:rsidR="00982E2E" w:rsidRPr="00DC1C23">
        <w:rPr>
          <w:rFonts w:ascii="Times New Roman" w:hAnsi="Times New Roman" w:cs="Times New Roman"/>
          <w:sz w:val="24"/>
          <w:szCs w:val="24"/>
        </w:rPr>
        <w:t>E</w:t>
      </w:r>
      <w:r w:rsidR="00014F0A" w:rsidRPr="00DC1C23">
        <w:rPr>
          <w:rFonts w:ascii="Times New Roman" w:hAnsi="Times New Roman" w:cs="Times New Roman"/>
          <w:sz w:val="24"/>
          <w:szCs w:val="24"/>
        </w:rPr>
        <w:t xml:space="preserve">l ascenso de críticas </w:t>
      </w:r>
      <w:r>
        <w:rPr>
          <w:rFonts w:ascii="Times New Roman" w:hAnsi="Times New Roman" w:cs="Times New Roman"/>
          <w:sz w:val="24"/>
          <w:szCs w:val="24"/>
        </w:rPr>
        <w:t xml:space="preserve">hacia las mismas </w:t>
      </w:r>
      <w:r w:rsidR="00982E2E" w:rsidRPr="00DC1C23">
        <w:rPr>
          <w:rFonts w:ascii="Times New Roman" w:hAnsi="Times New Roman" w:cs="Times New Roman"/>
          <w:sz w:val="24"/>
          <w:szCs w:val="24"/>
        </w:rPr>
        <w:t xml:space="preserve">movilizó una serie de reformulaciones por parte de </w:t>
      </w:r>
      <w:r w:rsidR="00C660D6">
        <w:rPr>
          <w:rFonts w:ascii="Times New Roman" w:hAnsi="Times New Roman" w:cs="Times New Roman"/>
          <w:sz w:val="24"/>
          <w:szCs w:val="24"/>
        </w:rPr>
        <w:t>dichos organismos</w:t>
      </w:r>
      <w:r w:rsidR="00857300" w:rsidRPr="00DC1C23">
        <w:rPr>
          <w:rFonts w:ascii="Times New Roman" w:hAnsi="Times New Roman" w:cs="Times New Roman"/>
          <w:sz w:val="24"/>
          <w:szCs w:val="24"/>
        </w:rPr>
        <w:t>,</w:t>
      </w:r>
      <w:r w:rsidR="00982E2E" w:rsidRPr="00DC1C23">
        <w:rPr>
          <w:rFonts w:ascii="Times New Roman" w:hAnsi="Times New Roman" w:cs="Times New Roman"/>
          <w:sz w:val="24"/>
          <w:szCs w:val="24"/>
        </w:rPr>
        <w:t xml:space="preserve"> con alcances en todo el sistema multilateral. </w:t>
      </w:r>
      <w:r>
        <w:rPr>
          <w:rFonts w:ascii="Times New Roman" w:hAnsi="Times New Roman" w:cs="Times New Roman"/>
          <w:sz w:val="24"/>
          <w:szCs w:val="24"/>
        </w:rPr>
        <w:t xml:space="preserve">De este modo, distintos estudiosos del campo de la política social señalan que desde mediados de la década de 1990 se impulsó una nueva ola de reformas, conocidas como Pos- Consenso de </w:t>
      </w:r>
      <w:r w:rsidRPr="001F6684">
        <w:rPr>
          <w:rFonts w:ascii="Times New Roman" w:hAnsi="Times New Roman" w:cs="Times New Roman"/>
          <w:sz w:val="24"/>
          <w:szCs w:val="24"/>
        </w:rPr>
        <w:t xml:space="preserve">Washington (González et al., 2003; </w:t>
      </w:r>
      <w:proofErr w:type="spellStart"/>
      <w:r w:rsidRPr="001F6684">
        <w:rPr>
          <w:rFonts w:ascii="Times New Roman" w:hAnsi="Times New Roman" w:cs="Times New Roman"/>
          <w:sz w:val="24"/>
          <w:szCs w:val="24"/>
        </w:rPr>
        <w:t>Molyneux</w:t>
      </w:r>
      <w:proofErr w:type="spellEnd"/>
      <w:r w:rsidRPr="001F6684">
        <w:rPr>
          <w:rFonts w:ascii="Times New Roman" w:hAnsi="Times New Roman" w:cs="Times New Roman"/>
          <w:sz w:val="24"/>
          <w:szCs w:val="24"/>
        </w:rPr>
        <w:t xml:space="preserve">, 2006). </w:t>
      </w:r>
    </w:p>
    <w:p w:rsidR="005F3904" w:rsidRDefault="001F6684" w:rsidP="005F3904">
      <w:pPr>
        <w:pStyle w:val="western"/>
        <w:spacing w:before="0" w:beforeAutospacing="0" w:after="0" w:line="420" w:lineRule="atLeast"/>
        <w:ind w:firstLine="567"/>
        <w:jc w:val="both"/>
        <w:rPr>
          <w:rFonts w:ascii="Times New Roman" w:hAnsi="Times New Roman" w:cs="Times New Roman"/>
          <w:sz w:val="24"/>
          <w:szCs w:val="24"/>
          <w:lang w:val="es-ES"/>
        </w:rPr>
      </w:pPr>
      <w:r w:rsidRPr="001F6684">
        <w:rPr>
          <w:rFonts w:ascii="Times New Roman" w:hAnsi="Times New Roman" w:cs="Times New Roman"/>
          <w:sz w:val="24"/>
          <w:szCs w:val="24"/>
        </w:rPr>
        <w:t xml:space="preserve">En los documentos de nuestro </w:t>
      </w:r>
      <w:r w:rsidRPr="001F6684">
        <w:rPr>
          <w:rFonts w:ascii="Times New Roman" w:hAnsi="Times New Roman" w:cs="Times New Roman"/>
          <w:i/>
          <w:sz w:val="24"/>
          <w:szCs w:val="24"/>
        </w:rPr>
        <w:t>corpus</w:t>
      </w:r>
      <w:r w:rsidRPr="001F6684">
        <w:rPr>
          <w:rFonts w:ascii="Times New Roman" w:hAnsi="Times New Roman" w:cs="Times New Roman"/>
          <w:sz w:val="24"/>
          <w:szCs w:val="24"/>
        </w:rPr>
        <w:t xml:space="preserve"> hallamos una serie de formulaciones con las que se hacía referencia a las nuevas programáticas: “reformas</w:t>
      </w:r>
      <w:r>
        <w:rPr>
          <w:rFonts w:ascii="Times New Roman" w:hAnsi="Times New Roman" w:cs="Times New Roman"/>
          <w:sz w:val="24"/>
          <w:szCs w:val="24"/>
        </w:rPr>
        <w:t xml:space="preserve"> de segunda generación” y “reforma institucional”, para el caso del</w:t>
      </w:r>
      <w:r w:rsidR="00857300" w:rsidRPr="00DC1C23">
        <w:rPr>
          <w:rFonts w:ascii="Times New Roman" w:hAnsi="Times New Roman" w:cs="Times New Roman"/>
          <w:sz w:val="24"/>
          <w:szCs w:val="24"/>
          <w:lang w:val="es-ES"/>
        </w:rPr>
        <w:t xml:space="preserve"> BM y el BID</w:t>
      </w:r>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Burki</w:t>
      </w:r>
      <w:proofErr w:type="spellEnd"/>
      <w:r>
        <w:rPr>
          <w:rFonts w:ascii="Times New Roman" w:hAnsi="Times New Roman" w:cs="Times New Roman"/>
          <w:sz w:val="24"/>
          <w:szCs w:val="24"/>
          <w:lang w:val="es-ES"/>
        </w:rPr>
        <w:t xml:space="preserve"> y Perry, 1998a, 1998b)</w:t>
      </w:r>
      <w:proofErr w:type="gramStart"/>
      <w:r>
        <w:rPr>
          <w:rFonts w:ascii="Times New Roman" w:hAnsi="Times New Roman" w:cs="Times New Roman"/>
          <w:sz w:val="24"/>
          <w:szCs w:val="24"/>
          <w:lang w:val="es-ES"/>
        </w:rPr>
        <w:t>;</w:t>
      </w:r>
      <w:r w:rsidR="00857300" w:rsidRPr="00DC1C23">
        <w:rPr>
          <w:rFonts w:ascii="Times New Roman" w:hAnsi="Times New Roman" w:cs="Times New Roman"/>
          <w:sz w:val="24"/>
          <w:szCs w:val="24"/>
          <w:lang w:val="es-ES"/>
        </w:rPr>
        <w:t>“</w:t>
      </w:r>
      <w:proofErr w:type="gramEnd"/>
      <w:r w:rsidR="00857300" w:rsidRPr="00DC1C23">
        <w:rPr>
          <w:rFonts w:ascii="Times New Roman" w:hAnsi="Times New Roman" w:cs="Times New Roman"/>
          <w:sz w:val="24"/>
          <w:szCs w:val="24"/>
          <w:lang w:val="es-ES"/>
        </w:rPr>
        <w:t>transformación productiva con equidad”</w:t>
      </w:r>
      <w:r>
        <w:rPr>
          <w:rFonts w:ascii="Times New Roman" w:hAnsi="Times New Roman" w:cs="Times New Roman"/>
          <w:sz w:val="24"/>
          <w:szCs w:val="24"/>
          <w:lang w:val="es-ES"/>
        </w:rPr>
        <w:t xml:space="preserve"> para la CEPAL (2002, 2004, 2006); y el programa </w:t>
      </w:r>
      <w:r w:rsidR="00857300" w:rsidRPr="00DC1C23">
        <w:rPr>
          <w:rFonts w:ascii="Times New Roman" w:hAnsi="Times New Roman" w:cs="Times New Roman"/>
          <w:sz w:val="24"/>
          <w:szCs w:val="24"/>
          <w:lang w:val="es-ES"/>
        </w:rPr>
        <w:t>del “Trabajo Decente</w:t>
      </w:r>
      <w:r>
        <w:rPr>
          <w:rFonts w:ascii="Times New Roman" w:hAnsi="Times New Roman" w:cs="Times New Roman"/>
          <w:sz w:val="24"/>
          <w:szCs w:val="24"/>
          <w:lang w:val="es-ES"/>
        </w:rPr>
        <w:t xml:space="preserve">” para la OIT (1999, 2001, 2007). </w:t>
      </w:r>
      <w:r w:rsidR="005F3904">
        <w:rPr>
          <w:rFonts w:ascii="Times New Roman" w:hAnsi="Times New Roman" w:cs="Times New Roman"/>
          <w:sz w:val="24"/>
          <w:szCs w:val="24"/>
          <w:lang w:val="es-ES"/>
        </w:rPr>
        <w:t xml:space="preserve">Con sus diferentes énfasis y aún bajo ciertas discusiones establecidas entre dichos programas, todos coincidieron en la </w:t>
      </w:r>
      <w:r w:rsidR="00857300" w:rsidRPr="00DC1C23">
        <w:rPr>
          <w:rFonts w:ascii="Times New Roman" w:hAnsi="Times New Roman" w:cs="Times New Roman"/>
          <w:sz w:val="24"/>
          <w:szCs w:val="24"/>
          <w:lang w:val="es-ES"/>
        </w:rPr>
        <w:t xml:space="preserve">necesidad de que el desarrollo económico se tradujera en resultados positivos a nivel social: </w:t>
      </w:r>
      <w:r w:rsidR="005746B1">
        <w:rPr>
          <w:rFonts w:ascii="Times New Roman" w:hAnsi="Times New Roman" w:cs="Times New Roman"/>
          <w:sz w:val="24"/>
          <w:szCs w:val="24"/>
          <w:lang w:val="es-ES"/>
        </w:rPr>
        <w:t>“</w:t>
      </w:r>
      <w:r w:rsidR="00857300" w:rsidRPr="00DC1C23">
        <w:rPr>
          <w:rFonts w:ascii="Times New Roman" w:hAnsi="Times New Roman" w:cs="Times New Roman"/>
          <w:sz w:val="24"/>
          <w:szCs w:val="24"/>
          <w:lang w:val="es-ES"/>
        </w:rPr>
        <w:t>desarrollo inclusivo</w:t>
      </w:r>
      <w:r w:rsidR="005746B1">
        <w:rPr>
          <w:rFonts w:ascii="Times New Roman" w:hAnsi="Times New Roman" w:cs="Times New Roman"/>
          <w:sz w:val="24"/>
          <w:szCs w:val="24"/>
          <w:lang w:val="es-ES"/>
        </w:rPr>
        <w:t>”</w:t>
      </w:r>
      <w:r w:rsidR="00857300" w:rsidRPr="00DC1C23">
        <w:rPr>
          <w:rFonts w:ascii="Times New Roman" w:hAnsi="Times New Roman" w:cs="Times New Roman"/>
          <w:sz w:val="24"/>
          <w:szCs w:val="24"/>
          <w:lang w:val="es-ES"/>
        </w:rPr>
        <w:t xml:space="preserve">, </w:t>
      </w:r>
      <w:r w:rsidR="005746B1">
        <w:rPr>
          <w:rFonts w:ascii="Times New Roman" w:hAnsi="Times New Roman" w:cs="Times New Roman"/>
          <w:sz w:val="24"/>
          <w:szCs w:val="24"/>
          <w:lang w:val="es-ES"/>
        </w:rPr>
        <w:t>“</w:t>
      </w:r>
      <w:r w:rsidR="00857300" w:rsidRPr="00DC1C23">
        <w:rPr>
          <w:rFonts w:ascii="Times New Roman" w:hAnsi="Times New Roman" w:cs="Times New Roman"/>
          <w:sz w:val="24"/>
          <w:szCs w:val="24"/>
          <w:lang w:val="es-ES"/>
        </w:rPr>
        <w:t>crecimiento de amplia base</w:t>
      </w:r>
      <w:r w:rsidR="005746B1">
        <w:rPr>
          <w:rFonts w:ascii="Times New Roman" w:hAnsi="Times New Roman" w:cs="Times New Roman"/>
          <w:sz w:val="24"/>
          <w:szCs w:val="24"/>
          <w:lang w:val="es-ES"/>
        </w:rPr>
        <w:t>”</w:t>
      </w:r>
      <w:r w:rsidR="00857300" w:rsidRPr="00DC1C23">
        <w:rPr>
          <w:rFonts w:ascii="Times New Roman" w:hAnsi="Times New Roman" w:cs="Times New Roman"/>
          <w:sz w:val="24"/>
          <w:szCs w:val="24"/>
          <w:lang w:val="es-ES"/>
        </w:rPr>
        <w:t>, fueron los enunciados que sintetizaron esta idea y</w:t>
      </w:r>
      <w:r w:rsidR="005746B1">
        <w:rPr>
          <w:rFonts w:ascii="Times New Roman" w:hAnsi="Times New Roman" w:cs="Times New Roman"/>
          <w:sz w:val="24"/>
          <w:szCs w:val="24"/>
          <w:lang w:val="es-ES"/>
        </w:rPr>
        <w:t xml:space="preserve"> que</w:t>
      </w:r>
      <w:r w:rsidR="00857300" w:rsidRPr="00DC1C23">
        <w:rPr>
          <w:rFonts w:ascii="Times New Roman" w:hAnsi="Times New Roman" w:cs="Times New Roman"/>
          <w:sz w:val="24"/>
          <w:szCs w:val="24"/>
          <w:lang w:val="es-ES"/>
        </w:rPr>
        <w:t xml:space="preserve"> atraviesan nuestro </w:t>
      </w:r>
      <w:r w:rsidR="00857300" w:rsidRPr="005F3904">
        <w:rPr>
          <w:rFonts w:ascii="Times New Roman" w:hAnsi="Times New Roman" w:cs="Times New Roman"/>
          <w:i/>
          <w:sz w:val="24"/>
          <w:szCs w:val="24"/>
          <w:lang w:val="es-ES"/>
        </w:rPr>
        <w:t>corpus</w:t>
      </w:r>
      <w:r w:rsidR="00857300" w:rsidRPr="00DC1C23">
        <w:rPr>
          <w:rFonts w:ascii="Times New Roman" w:hAnsi="Times New Roman" w:cs="Times New Roman"/>
          <w:sz w:val="24"/>
          <w:szCs w:val="24"/>
          <w:lang w:val="es-ES"/>
        </w:rPr>
        <w:t xml:space="preserve">. </w:t>
      </w:r>
    </w:p>
    <w:p w:rsidR="00BE5885" w:rsidRDefault="005746B1" w:rsidP="005F3904">
      <w:pPr>
        <w:pStyle w:val="western"/>
        <w:spacing w:before="0" w:beforeAutospacing="0" w:after="0" w:line="420" w:lineRule="atLeast"/>
        <w:ind w:firstLine="567"/>
        <w:jc w:val="both"/>
        <w:rPr>
          <w:rFonts w:ascii="Times New Roman" w:hAnsi="Times New Roman" w:cs="Times New Roman"/>
          <w:sz w:val="24"/>
          <w:szCs w:val="24"/>
          <w:lang w:val="es-ES"/>
        </w:rPr>
      </w:pPr>
      <w:r w:rsidRPr="00DC1C23">
        <w:rPr>
          <w:rFonts w:ascii="Times New Roman" w:hAnsi="Times New Roman" w:cs="Times New Roman"/>
          <w:sz w:val="24"/>
          <w:szCs w:val="24"/>
          <w:lang w:val="es-ES"/>
        </w:rPr>
        <w:t>No podemos pasar por alto las condiciones para estas reformulaciones: nuevas crisis económicas –principalmente financieras- cuyo epicentro se localizó en el Sur; el estallido de crisis sociales, marcadas por el incremento extraordinario de la desigualdad, la pobreza, el desempleo y la informalidad; y el deterioro de la legitim</w:t>
      </w:r>
      <w:r>
        <w:rPr>
          <w:rFonts w:ascii="Times New Roman" w:hAnsi="Times New Roman" w:cs="Times New Roman"/>
          <w:sz w:val="24"/>
          <w:szCs w:val="24"/>
          <w:lang w:val="es-ES"/>
        </w:rPr>
        <w:t>idad de los regímenes políticos y la proliferación de procesos de impugnación al ordenamiento neoliberal de las sociedades</w:t>
      </w:r>
      <w:r w:rsidRPr="00DC1C23">
        <w:rPr>
          <w:rFonts w:ascii="Times New Roman" w:hAnsi="Times New Roman" w:cs="Times New Roman"/>
          <w:sz w:val="24"/>
          <w:szCs w:val="24"/>
          <w:lang w:val="es-ES"/>
        </w:rPr>
        <w:t>.</w:t>
      </w:r>
      <w:r>
        <w:rPr>
          <w:rStyle w:val="Refdenotaalpie"/>
          <w:rFonts w:ascii="Times New Roman" w:hAnsi="Times New Roman" w:cs="Times New Roman"/>
          <w:sz w:val="24"/>
          <w:szCs w:val="24"/>
          <w:lang w:val="es-ES"/>
        </w:rPr>
        <w:footnoteReference w:id="6"/>
      </w:r>
      <w:r>
        <w:rPr>
          <w:rFonts w:ascii="Times New Roman" w:hAnsi="Times New Roman" w:cs="Times New Roman"/>
          <w:sz w:val="24"/>
          <w:szCs w:val="24"/>
          <w:lang w:val="es-ES"/>
        </w:rPr>
        <w:t xml:space="preserve"> Los </w:t>
      </w:r>
      <w:r>
        <w:rPr>
          <w:rFonts w:ascii="Times New Roman" w:hAnsi="Times New Roman" w:cs="Times New Roman"/>
          <w:sz w:val="24"/>
          <w:szCs w:val="24"/>
          <w:lang w:val="es-ES"/>
        </w:rPr>
        <w:lastRenderedPageBreak/>
        <w:t xml:space="preserve">documentos exhiben numerosas </w:t>
      </w:r>
      <w:r w:rsidRPr="005746B1">
        <w:rPr>
          <w:rFonts w:ascii="Times New Roman" w:hAnsi="Times New Roman" w:cs="Times New Roman"/>
          <w:i/>
          <w:sz w:val="24"/>
          <w:szCs w:val="24"/>
          <w:lang w:val="es-ES"/>
        </w:rPr>
        <w:t>marcas de</w:t>
      </w:r>
      <w:r>
        <w:rPr>
          <w:rFonts w:ascii="Times New Roman" w:hAnsi="Times New Roman" w:cs="Times New Roman"/>
          <w:sz w:val="24"/>
          <w:szCs w:val="24"/>
          <w:lang w:val="es-ES"/>
        </w:rPr>
        <w:t xml:space="preserve"> </w:t>
      </w:r>
      <w:r w:rsidRPr="005746B1">
        <w:rPr>
          <w:rFonts w:ascii="Times New Roman" w:hAnsi="Times New Roman" w:cs="Times New Roman"/>
          <w:i/>
          <w:sz w:val="24"/>
          <w:szCs w:val="24"/>
          <w:lang w:val="es-ES"/>
        </w:rPr>
        <w:t>coyuntura</w:t>
      </w:r>
      <w:r w:rsidR="00F00E48">
        <w:rPr>
          <w:rStyle w:val="Refdenotaalpie"/>
          <w:rFonts w:ascii="Times New Roman" w:hAnsi="Times New Roman" w:cs="Times New Roman"/>
          <w:i/>
          <w:sz w:val="24"/>
          <w:szCs w:val="24"/>
          <w:lang w:val="es-ES"/>
        </w:rPr>
        <w:footnoteReference w:id="7"/>
      </w:r>
      <w:r w:rsidR="005F3904">
        <w:rPr>
          <w:rFonts w:ascii="Times New Roman" w:hAnsi="Times New Roman" w:cs="Times New Roman"/>
          <w:sz w:val="24"/>
          <w:szCs w:val="24"/>
          <w:lang w:val="es-ES"/>
        </w:rPr>
        <w:t xml:space="preserve"> acerca de estos procesos</w:t>
      </w:r>
      <w:r>
        <w:rPr>
          <w:rFonts w:ascii="Times New Roman" w:hAnsi="Times New Roman" w:cs="Times New Roman"/>
          <w:sz w:val="24"/>
          <w:szCs w:val="24"/>
          <w:lang w:val="es-ES"/>
        </w:rPr>
        <w:t xml:space="preserve">: en textos del BM </w:t>
      </w:r>
      <w:r w:rsidR="005F3904">
        <w:rPr>
          <w:rFonts w:ascii="Times New Roman" w:hAnsi="Times New Roman" w:cs="Times New Roman"/>
          <w:sz w:val="24"/>
          <w:szCs w:val="24"/>
          <w:lang w:val="es-ES"/>
        </w:rPr>
        <w:t>encontramos referencias a</w:t>
      </w:r>
      <w:r>
        <w:rPr>
          <w:rFonts w:ascii="Times New Roman" w:hAnsi="Times New Roman" w:cs="Times New Roman"/>
          <w:sz w:val="24"/>
          <w:szCs w:val="24"/>
          <w:lang w:val="es-ES"/>
        </w:rPr>
        <w:t xml:space="preserve"> las críticas hacia</w:t>
      </w:r>
      <w:r w:rsidR="005F3904">
        <w:rPr>
          <w:rFonts w:ascii="Times New Roman" w:hAnsi="Times New Roman" w:cs="Times New Roman"/>
          <w:sz w:val="24"/>
          <w:szCs w:val="24"/>
          <w:lang w:val="es-ES"/>
        </w:rPr>
        <w:t xml:space="preserve"> él dirigidas</w:t>
      </w:r>
      <w:r>
        <w:rPr>
          <w:rFonts w:ascii="Times New Roman" w:hAnsi="Times New Roman" w:cs="Times New Roman"/>
          <w:sz w:val="24"/>
          <w:szCs w:val="24"/>
          <w:lang w:val="es-ES"/>
        </w:rPr>
        <w:t xml:space="preserve"> en los Foros Sociales Mundiales;</w:t>
      </w:r>
      <w:r w:rsidR="005F3904">
        <w:rPr>
          <w:rFonts w:ascii="Times New Roman" w:hAnsi="Times New Roman" w:cs="Times New Roman"/>
          <w:sz w:val="24"/>
          <w:szCs w:val="24"/>
          <w:lang w:val="es-ES"/>
        </w:rPr>
        <w:t xml:space="preserve"> en distintos documentos,</w:t>
      </w:r>
      <w:r>
        <w:rPr>
          <w:rFonts w:ascii="Times New Roman" w:hAnsi="Times New Roman" w:cs="Times New Roman"/>
          <w:sz w:val="24"/>
          <w:szCs w:val="24"/>
          <w:lang w:val="es-ES"/>
        </w:rPr>
        <w:t xml:space="preserve"> se leían</w:t>
      </w:r>
      <w:r w:rsidR="005F3904">
        <w:rPr>
          <w:rFonts w:ascii="Times New Roman" w:hAnsi="Times New Roman" w:cs="Times New Roman"/>
          <w:sz w:val="24"/>
          <w:szCs w:val="24"/>
          <w:lang w:val="es-ES"/>
        </w:rPr>
        <w:t xml:space="preserve"> posibles</w:t>
      </w:r>
      <w:r>
        <w:rPr>
          <w:rFonts w:ascii="Times New Roman" w:hAnsi="Times New Roman" w:cs="Times New Roman"/>
          <w:sz w:val="24"/>
          <w:szCs w:val="24"/>
          <w:lang w:val="es-ES"/>
        </w:rPr>
        <w:t xml:space="preserve"> “amenazas populistas” </w:t>
      </w:r>
      <w:r w:rsidR="005F3904">
        <w:rPr>
          <w:rFonts w:ascii="Times New Roman" w:hAnsi="Times New Roman" w:cs="Times New Roman"/>
          <w:sz w:val="24"/>
          <w:szCs w:val="24"/>
          <w:lang w:val="es-ES"/>
        </w:rPr>
        <w:t>en los</w:t>
      </w:r>
      <w:r>
        <w:rPr>
          <w:rFonts w:ascii="Times New Roman" w:hAnsi="Times New Roman" w:cs="Times New Roman"/>
          <w:sz w:val="24"/>
          <w:szCs w:val="24"/>
          <w:lang w:val="es-ES"/>
        </w:rPr>
        <w:t xml:space="preserve"> regímenes políticos en ascenso</w:t>
      </w:r>
      <w:r w:rsidR="007717AC">
        <w:rPr>
          <w:rFonts w:ascii="Times New Roman" w:hAnsi="Times New Roman" w:cs="Times New Roman"/>
          <w:sz w:val="24"/>
          <w:szCs w:val="24"/>
          <w:lang w:val="es-ES"/>
        </w:rPr>
        <w:t xml:space="preserve"> (BM, 2002a, 2002b)</w:t>
      </w:r>
      <w:r>
        <w:rPr>
          <w:rFonts w:ascii="Times New Roman" w:hAnsi="Times New Roman" w:cs="Times New Roman"/>
          <w:sz w:val="24"/>
          <w:szCs w:val="24"/>
          <w:lang w:val="es-ES"/>
        </w:rPr>
        <w:t>; se expresaban ciertas discusiones en torno a la globalización como antinomias en punto muerto</w:t>
      </w:r>
      <w:r w:rsidR="007717AC">
        <w:rPr>
          <w:rFonts w:ascii="Times New Roman" w:hAnsi="Times New Roman" w:cs="Times New Roman"/>
          <w:sz w:val="24"/>
          <w:szCs w:val="24"/>
          <w:lang w:val="es-ES"/>
        </w:rPr>
        <w:t xml:space="preserve"> (OIT, 2000)</w:t>
      </w:r>
      <w:r>
        <w:rPr>
          <w:rFonts w:ascii="Times New Roman" w:hAnsi="Times New Roman" w:cs="Times New Roman"/>
          <w:sz w:val="24"/>
          <w:szCs w:val="24"/>
          <w:lang w:val="es-ES"/>
        </w:rPr>
        <w:t>; se problematizaba la multiplicación de sujetos que ejercían demandas hacia los regímenes democráticos</w:t>
      </w:r>
      <w:r w:rsidR="007717AC">
        <w:rPr>
          <w:rFonts w:ascii="Times New Roman" w:hAnsi="Times New Roman" w:cs="Times New Roman"/>
          <w:sz w:val="24"/>
          <w:szCs w:val="24"/>
          <w:lang w:val="es-ES"/>
        </w:rPr>
        <w:t xml:space="preserve"> (CEPAL, 2007; Márquez et al., 2008)</w:t>
      </w:r>
      <w:r>
        <w:rPr>
          <w:rFonts w:ascii="Times New Roman" w:hAnsi="Times New Roman" w:cs="Times New Roman"/>
          <w:sz w:val="24"/>
          <w:szCs w:val="24"/>
          <w:lang w:val="es-ES"/>
        </w:rPr>
        <w:t xml:space="preserve">; entre otras tantas. </w:t>
      </w:r>
      <w:r w:rsidR="005F3904">
        <w:rPr>
          <w:rFonts w:ascii="Times New Roman" w:hAnsi="Times New Roman" w:cs="Times New Roman"/>
          <w:sz w:val="24"/>
          <w:szCs w:val="24"/>
          <w:lang w:val="es-ES"/>
        </w:rPr>
        <w:t xml:space="preserve">Estas crisis fueron tematizadas </w:t>
      </w:r>
      <w:r w:rsidR="00F00E48">
        <w:rPr>
          <w:rFonts w:ascii="Times New Roman" w:hAnsi="Times New Roman" w:cs="Times New Roman"/>
          <w:sz w:val="24"/>
          <w:szCs w:val="24"/>
          <w:lang w:val="es-ES"/>
        </w:rPr>
        <w:t>“en clave social”</w:t>
      </w:r>
      <w:r w:rsidR="005F3904">
        <w:rPr>
          <w:rFonts w:ascii="Times New Roman" w:hAnsi="Times New Roman" w:cs="Times New Roman"/>
          <w:sz w:val="24"/>
          <w:szCs w:val="24"/>
          <w:lang w:val="es-ES"/>
        </w:rPr>
        <w:t xml:space="preserve">: fueron los diagnósticos sobre las </w:t>
      </w:r>
      <w:r w:rsidR="005F3904" w:rsidRPr="005F3904">
        <w:rPr>
          <w:rFonts w:ascii="Times New Roman" w:hAnsi="Times New Roman" w:cs="Times New Roman"/>
          <w:i/>
          <w:sz w:val="24"/>
          <w:szCs w:val="24"/>
          <w:lang w:val="es-ES"/>
        </w:rPr>
        <w:t>deudas pendientes</w:t>
      </w:r>
      <w:r w:rsidR="005F3904">
        <w:rPr>
          <w:rFonts w:ascii="Times New Roman" w:hAnsi="Times New Roman" w:cs="Times New Roman"/>
          <w:sz w:val="24"/>
          <w:szCs w:val="24"/>
          <w:lang w:val="es-ES"/>
        </w:rPr>
        <w:t xml:space="preserve"> en materia social de las reformas o las </w:t>
      </w:r>
      <w:r w:rsidR="005F3904" w:rsidRPr="005F3904">
        <w:rPr>
          <w:rFonts w:ascii="Times New Roman" w:hAnsi="Times New Roman" w:cs="Times New Roman"/>
          <w:i/>
          <w:sz w:val="24"/>
          <w:szCs w:val="24"/>
          <w:lang w:val="es-ES"/>
        </w:rPr>
        <w:t>consecuencias no deseadas</w:t>
      </w:r>
      <w:r w:rsidR="005F3904">
        <w:rPr>
          <w:rFonts w:ascii="Times New Roman" w:hAnsi="Times New Roman" w:cs="Times New Roman"/>
          <w:sz w:val="24"/>
          <w:szCs w:val="24"/>
          <w:lang w:val="es-ES"/>
        </w:rPr>
        <w:t xml:space="preserve"> de las mismas las que explicaron la situación y reorientaron los programas. Asuntos pendientes o efectos no dimensionados delimitan dos explicaciones divergentes de la crisis, que establecen críticas disímiles a</w:t>
      </w:r>
      <w:r w:rsidR="00F00E48">
        <w:rPr>
          <w:rFonts w:ascii="Times New Roman" w:hAnsi="Times New Roman" w:cs="Times New Roman"/>
          <w:sz w:val="24"/>
          <w:szCs w:val="24"/>
          <w:lang w:val="es-ES"/>
        </w:rPr>
        <w:t xml:space="preserve">l modelo de globalización vigente. </w:t>
      </w:r>
    </w:p>
    <w:p w:rsidR="002849B7" w:rsidRDefault="00F00E48" w:rsidP="007A6BCA">
      <w:pPr>
        <w:pStyle w:val="western"/>
        <w:spacing w:before="0" w:beforeAutospacing="0" w:after="0" w:line="420" w:lineRule="atLeast"/>
        <w:ind w:firstLine="567"/>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Por un lado, en los documentos del BM y el BID, el balance de las dos décadas de reformas señalaba que se habían producido resultados positivos en términos fiscales y modestos en materia de crecimiento. </w:t>
      </w:r>
      <w:r w:rsidR="009373DF">
        <w:rPr>
          <w:rFonts w:ascii="Times New Roman" w:hAnsi="Times New Roman" w:cs="Times New Roman"/>
          <w:sz w:val="24"/>
          <w:szCs w:val="24"/>
          <w:lang w:val="es-ES"/>
        </w:rPr>
        <w:t>S</w:t>
      </w:r>
      <w:r>
        <w:rPr>
          <w:rFonts w:ascii="Times New Roman" w:hAnsi="Times New Roman" w:cs="Times New Roman"/>
          <w:sz w:val="24"/>
          <w:szCs w:val="24"/>
          <w:lang w:val="es-ES"/>
        </w:rPr>
        <w:t xml:space="preserve">e ubicaba una “deuda” de dichas reformas en </w:t>
      </w:r>
      <w:r w:rsidR="00BE5885">
        <w:rPr>
          <w:rFonts w:ascii="Times New Roman" w:hAnsi="Times New Roman" w:cs="Times New Roman"/>
          <w:sz w:val="24"/>
          <w:szCs w:val="24"/>
          <w:lang w:val="es-ES"/>
        </w:rPr>
        <w:t>la esfera particularizada de “lo social</w:t>
      </w:r>
      <w:r w:rsidR="009373DF">
        <w:rPr>
          <w:rFonts w:ascii="Times New Roman" w:hAnsi="Times New Roman" w:cs="Times New Roman"/>
          <w:sz w:val="24"/>
          <w:szCs w:val="24"/>
          <w:lang w:val="es-ES"/>
        </w:rPr>
        <w:t>”,</w:t>
      </w:r>
      <w:r w:rsidR="00BE5885">
        <w:rPr>
          <w:rFonts w:ascii="Times New Roman" w:hAnsi="Times New Roman" w:cs="Times New Roman"/>
          <w:sz w:val="24"/>
          <w:szCs w:val="24"/>
          <w:lang w:val="es-ES"/>
        </w:rPr>
        <w:t xml:space="preserve"> a partir de los diagnósticos de crecimiento de la pobreza, el desempleo, la informalidad y la desigualdad.</w:t>
      </w:r>
      <w:r w:rsidR="009373DF">
        <w:rPr>
          <w:rFonts w:ascii="Times New Roman" w:hAnsi="Times New Roman" w:cs="Times New Roman"/>
          <w:sz w:val="24"/>
          <w:szCs w:val="24"/>
          <w:lang w:val="es-ES"/>
        </w:rPr>
        <w:t xml:space="preserve"> Se señalaba, de forma autocrítica, que la primera generación de reformas no habían considerado suficientemente la importancia de la dimensión social en el crecimiento. </w:t>
      </w:r>
      <w:r w:rsidR="001B645C">
        <w:rPr>
          <w:rFonts w:ascii="Times New Roman" w:hAnsi="Times New Roman" w:cs="Times New Roman"/>
          <w:sz w:val="24"/>
          <w:szCs w:val="24"/>
          <w:lang w:val="es-ES"/>
        </w:rPr>
        <w:t xml:space="preserve">La falla de dichas reformas había sido subestimar el rol de las instituciones en el desarrollo económico, en tanto éstas, capturadas por intereses particularistas, habían tenido efectos perniciosos en el crecimiento y habían excluido a la población pobre. </w:t>
      </w:r>
      <w:r w:rsidR="00BE5885">
        <w:rPr>
          <w:rFonts w:ascii="Times New Roman" w:hAnsi="Times New Roman" w:cs="Times New Roman"/>
          <w:sz w:val="24"/>
          <w:szCs w:val="24"/>
          <w:lang w:val="es-ES"/>
        </w:rPr>
        <w:t>De este modo, se trataba de ir “más allá del Consenso de Washington”</w:t>
      </w:r>
      <w:r w:rsidR="001B645C">
        <w:rPr>
          <w:rFonts w:ascii="Times New Roman" w:hAnsi="Times New Roman" w:cs="Times New Roman"/>
          <w:sz w:val="24"/>
          <w:szCs w:val="24"/>
          <w:lang w:val="es-ES"/>
        </w:rPr>
        <w:t xml:space="preserve"> (</w:t>
      </w:r>
      <w:proofErr w:type="spellStart"/>
      <w:r w:rsidR="001B645C">
        <w:rPr>
          <w:rFonts w:ascii="Times New Roman" w:hAnsi="Times New Roman" w:cs="Times New Roman"/>
          <w:sz w:val="24"/>
          <w:szCs w:val="24"/>
          <w:lang w:val="es-ES"/>
        </w:rPr>
        <w:t>Burki</w:t>
      </w:r>
      <w:proofErr w:type="spellEnd"/>
      <w:r w:rsidR="001B645C">
        <w:rPr>
          <w:rFonts w:ascii="Times New Roman" w:hAnsi="Times New Roman" w:cs="Times New Roman"/>
          <w:sz w:val="24"/>
          <w:szCs w:val="24"/>
          <w:lang w:val="es-ES"/>
        </w:rPr>
        <w:t xml:space="preserve"> y Perry, 1998a)</w:t>
      </w:r>
      <w:r w:rsidR="00BE5885">
        <w:rPr>
          <w:rFonts w:ascii="Times New Roman" w:hAnsi="Times New Roman" w:cs="Times New Roman"/>
          <w:sz w:val="24"/>
          <w:szCs w:val="24"/>
          <w:lang w:val="es-ES"/>
        </w:rPr>
        <w:t xml:space="preserve">, incorporando </w:t>
      </w:r>
      <w:r w:rsidR="001B645C">
        <w:rPr>
          <w:rFonts w:ascii="Times New Roman" w:hAnsi="Times New Roman" w:cs="Times New Roman"/>
          <w:sz w:val="24"/>
          <w:szCs w:val="24"/>
          <w:lang w:val="es-ES"/>
        </w:rPr>
        <w:t xml:space="preserve">los </w:t>
      </w:r>
      <w:r w:rsidR="00BE5885">
        <w:rPr>
          <w:rFonts w:ascii="Times New Roman" w:hAnsi="Times New Roman" w:cs="Times New Roman"/>
          <w:sz w:val="24"/>
          <w:szCs w:val="24"/>
          <w:lang w:val="es-ES"/>
        </w:rPr>
        <w:t xml:space="preserve">problemas </w:t>
      </w:r>
      <w:r w:rsidR="001B645C">
        <w:rPr>
          <w:rFonts w:ascii="Times New Roman" w:hAnsi="Times New Roman" w:cs="Times New Roman"/>
          <w:sz w:val="24"/>
          <w:szCs w:val="24"/>
          <w:lang w:val="es-ES"/>
        </w:rPr>
        <w:t>anteriormente</w:t>
      </w:r>
      <w:r w:rsidR="00BE5885">
        <w:rPr>
          <w:rFonts w:ascii="Times New Roman" w:hAnsi="Times New Roman" w:cs="Times New Roman"/>
          <w:sz w:val="24"/>
          <w:szCs w:val="24"/>
          <w:lang w:val="es-ES"/>
        </w:rPr>
        <w:t xml:space="preserve"> ignorados</w:t>
      </w:r>
      <w:r w:rsidR="001B645C">
        <w:rPr>
          <w:rFonts w:ascii="Times New Roman" w:hAnsi="Times New Roman" w:cs="Times New Roman"/>
          <w:sz w:val="24"/>
          <w:szCs w:val="24"/>
          <w:lang w:val="es-ES"/>
        </w:rPr>
        <w:t xml:space="preserve"> y delimitando como objeto de reforma a las instituciones, responsables de </w:t>
      </w:r>
      <w:r w:rsidR="00BE5885">
        <w:rPr>
          <w:rFonts w:ascii="Times New Roman" w:hAnsi="Times New Roman" w:cs="Times New Roman"/>
          <w:sz w:val="24"/>
          <w:szCs w:val="24"/>
          <w:lang w:val="es-ES"/>
        </w:rPr>
        <w:t xml:space="preserve">los </w:t>
      </w:r>
      <w:r w:rsidR="001B645C">
        <w:rPr>
          <w:rFonts w:ascii="Times New Roman" w:hAnsi="Times New Roman" w:cs="Times New Roman"/>
          <w:sz w:val="24"/>
          <w:szCs w:val="24"/>
          <w:lang w:val="es-ES"/>
        </w:rPr>
        <w:t>(des)</w:t>
      </w:r>
      <w:r w:rsidR="00BE5885">
        <w:rPr>
          <w:rFonts w:ascii="Times New Roman" w:hAnsi="Times New Roman" w:cs="Times New Roman"/>
          <w:sz w:val="24"/>
          <w:szCs w:val="24"/>
          <w:lang w:val="es-ES"/>
        </w:rPr>
        <w:t>incentivos hacia</w:t>
      </w:r>
      <w:r w:rsidR="001B645C">
        <w:rPr>
          <w:rFonts w:ascii="Times New Roman" w:hAnsi="Times New Roman" w:cs="Times New Roman"/>
          <w:sz w:val="24"/>
          <w:szCs w:val="24"/>
          <w:lang w:val="es-ES"/>
        </w:rPr>
        <w:t xml:space="preserve"> individuos y organizaciones. La reforma institucional completaría, así, las promesas de las reformas desplegadas desde 1980. </w:t>
      </w:r>
    </w:p>
    <w:p w:rsidR="00F00E48" w:rsidRDefault="001B645C" w:rsidP="002849B7">
      <w:pPr>
        <w:pStyle w:val="western"/>
        <w:spacing w:before="0" w:beforeAutospacing="0" w:after="0" w:line="420" w:lineRule="atLeast"/>
        <w:ind w:firstLine="567"/>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La transformación de las instituciones permitiría alterar la </w:t>
      </w:r>
      <w:r w:rsidRPr="001B645C">
        <w:rPr>
          <w:rFonts w:ascii="Times New Roman" w:hAnsi="Times New Roman" w:cs="Times New Roman"/>
          <w:i/>
          <w:sz w:val="24"/>
          <w:szCs w:val="24"/>
          <w:lang w:val="es-ES"/>
        </w:rPr>
        <w:t>cualidad</w:t>
      </w:r>
      <w:r>
        <w:rPr>
          <w:rFonts w:ascii="Times New Roman" w:hAnsi="Times New Roman" w:cs="Times New Roman"/>
          <w:sz w:val="24"/>
          <w:szCs w:val="24"/>
          <w:lang w:val="es-ES"/>
        </w:rPr>
        <w:t xml:space="preserve"> del crecimiento, dándole una “base amplia”. La nueva programática anunciaba la posibilidad de compatibilizar </w:t>
      </w:r>
      <w:r>
        <w:rPr>
          <w:rFonts w:ascii="Times New Roman" w:hAnsi="Times New Roman" w:cs="Times New Roman"/>
          <w:sz w:val="24"/>
          <w:szCs w:val="24"/>
          <w:lang w:val="es-ES"/>
        </w:rPr>
        <w:lastRenderedPageBreak/>
        <w:t>crecimiento y “equidad”, así como asociaba la ampliación del bienestar con el incremento de la productividad. Ambas cuestiones también estarían presentes en los planteos de la CEPAL y la OIT, aunque los modos de compatibilizar lo económico y lo social difirieron</w:t>
      </w:r>
      <w:r w:rsidR="00D37E1B">
        <w:rPr>
          <w:rFonts w:ascii="Times New Roman" w:hAnsi="Times New Roman" w:cs="Times New Roman"/>
          <w:sz w:val="24"/>
          <w:szCs w:val="24"/>
          <w:lang w:val="es-ES"/>
        </w:rPr>
        <w:t>.</w:t>
      </w:r>
    </w:p>
    <w:p w:rsidR="0027101D" w:rsidRDefault="00D37E1B" w:rsidP="007A6BCA">
      <w:pPr>
        <w:pStyle w:val="western"/>
        <w:spacing w:before="0" w:beforeAutospacing="0" w:after="0" w:line="420" w:lineRule="atLeast"/>
        <w:ind w:firstLine="567"/>
        <w:jc w:val="both"/>
        <w:rPr>
          <w:rFonts w:ascii="Times New Roman" w:hAnsi="Times New Roman" w:cs="Times New Roman"/>
          <w:sz w:val="24"/>
          <w:szCs w:val="24"/>
          <w:lang w:val="es-ES"/>
        </w:rPr>
      </w:pPr>
      <w:r>
        <w:rPr>
          <w:rFonts w:ascii="Times New Roman" w:hAnsi="Times New Roman" w:cs="Times New Roman"/>
          <w:sz w:val="24"/>
          <w:szCs w:val="24"/>
          <w:lang w:val="es-ES"/>
        </w:rPr>
        <w:t>Los</w:t>
      </w:r>
      <w:r w:rsidR="0027101D">
        <w:rPr>
          <w:rFonts w:ascii="Times New Roman" w:hAnsi="Times New Roman" w:cs="Times New Roman"/>
          <w:sz w:val="24"/>
          <w:szCs w:val="24"/>
          <w:lang w:val="es-ES"/>
        </w:rPr>
        <w:t xml:space="preserve"> diagnóstico</w:t>
      </w:r>
      <w:r>
        <w:rPr>
          <w:rFonts w:ascii="Times New Roman" w:hAnsi="Times New Roman" w:cs="Times New Roman"/>
          <w:sz w:val="24"/>
          <w:szCs w:val="24"/>
          <w:lang w:val="es-ES"/>
        </w:rPr>
        <w:t>s</w:t>
      </w:r>
      <w:r w:rsidR="0027101D">
        <w:rPr>
          <w:rFonts w:ascii="Times New Roman" w:hAnsi="Times New Roman" w:cs="Times New Roman"/>
          <w:sz w:val="24"/>
          <w:szCs w:val="24"/>
          <w:lang w:val="es-ES"/>
        </w:rPr>
        <w:t xml:space="preserve"> de </w:t>
      </w:r>
      <w:r w:rsidR="00BE5885">
        <w:rPr>
          <w:rFonts w:ascii="Times New Roman" w:hAnsi="Times New Roman" w:cs="Times New Roman"/>
          <w:sz w:val="24"/>
          <w:szCs w:val="24"/>
          <w:lang w:val="es-ES"/>
        </w:rPr>
        <w:t>la CEPAL y la OIT</w:t>
      </w:r>
      <w:r w:rsidR="0027101D">
        <w:rPr>
          <w:rFonts w:ascii="Times New Roman" w:hAnsi="Times New Roman" w:cs="Times New Roman"/>
          <w:sz w:val="24"/>
          <w:szCs w:val="24"/>
          <w:lang w:val="es-ES"/>
        </w:rPr>
        <w:t xml:space="preserve"> establecían una relación causal </w:t>
      </w:r>
      <w:r>
        <w:rPr>
          <w:rFonts w:ascii="Times New Roman" w:hAnsi="Times New Roman" w:cs="Times New Roman"/>
          <w:sz w:val="24"/>
          <w:szCs w:val="24"/>
          <w:lang w:val="es-ES"/>
        </w:rPr>
        <w:t xml:space="preserve">entre la crisis </w:t>
      </w:r>
      <w:proofErr w:type="spellStart"/>
      <w:r>
        <w:rPr>
          <w:rFonts w:ascii="Times New Roman" w:hAnsi="Times New Roman" w:cs="Times New Roman"/>
          <w:sz w:val="24"/>
          <w:szCs w:val="24"/>
          <w:lang w:val="es-ES"/>
        </w:rPr>
        <w:t>y</w:t>
      </w:r>
      <w:r w:rsidR="0027101D">
        <w:rPr>
          <w:rFonts w:ascii="Times New Roman" w:hAnsi="Times New Roman" w:cs="Times New Roman"/>
          <w:sz w:val="24"/>
          <w:szCs w:val="24"/>
          <w:lang w:val="es-ES"/>
        </w:rPr>
        <w:t>n</w:t>
      </w:r>
      <w:proofErr w:type="spellEnd"/>
      <w:r w:rsidR="0027101D">
        <w:rPr>
          <w:rFonts w:ascii="Times New Roman" w:hAnsi="Times New Roman" w:cs="Times New Roman"/>
          <w:sz w:val="24"/>
          <w:szCs w:val="24"/>
          <w:lang w:val="es-ES"/>
        </w:rPr>
        <w:t xml:space="preserve"> el modelo de globalización que se había </w:t>
      </w:r>
      <w:r w:rsidR="00BE5885">
        <w:rPr>
          <w:rFonts w:ascii="Times New Roman" w:hAnsi="Times New Roman" w:cs="Times New Roman"/>
          <w:sz w:val="24"/>
          <w:szCs w:val="24"/>
          <w:lang w:val="es-ES"/>
        </w:rPr>
        <w:t>consolidado durante las décadas anteriores.</w:t>
      </w:r>
      <w:r w:rsidR="0027101D">
        <w:rPr>
          <w:rFonts w:ascii="Times New Roman" w:hAnsi="Times New Roman" w:cs="Times New Roman"/>
          <w:sz w:val="24"/>
          <w:szCs w:val="24"/>
          <w:lang w:val="es-ES"/>
        </w:rPr>
        <w:t xml:space="preserve"> Se trataba de un desacople entre la racionalidad económica y la social, sostenido en la reformulación de los instrumentos regulatorios y de su debilidad, tanto a nivel nacional como global. Asimismo, se realizaba una crítica a las consecuencias sociales, pero también productivas, del predominio de lo financiero por sobre la economía real. El punto de encuentro con las formulaciones anteriores era el foco puesto en la gestión política del cambio económico, aunque en los documentos de dichos organismos se cuestionaba la orientación de las instituciones económicas, laborales y sociales. De este modo, las polémicas entre las AID se desplegaron respecto del tipo de </w:t>
      </w:r>
      <w:r w:rsidR="0027101D" w:rsidRPr="0027101D">
        <w:rPr>
          <w:rFonts w:ascii="Times New Roman" w:hAnsi="Times New Roman" w:cs="Times New Roman"/>
          <w:i/>
          <w:sz w:val="24"/>
          <w:szCs w:val="24"/>
          <w:lang w:val="es-ES"/>
        </w:rPr>
        <w:t>institucionalidad</w:t>
      </w:r>
      <w:r w:rsidR="0027101D">
        <w:rPr>
          <w:rFonts w:ascii="Times New Roman" w:hAnsi="Times New Roman" w:cs="Times New Roman"/>
          <w:sz w:val="24"/>
          <w:szCs w:val="24"/>
          <w:lang w:val="es-ES"/>
        </w:rPr>
        <w:t xml:space="preserve"> a modelar.</w:t>
      </w:r>
    </w:p>
    <w:p w:rsidR="00260D45" w:rsidRDefault="00B93252" w:rsidP="00260D45">
      <w:pPr>
        <w:pStyle w:val="western"/>
        <w:spacing w:before="0" w:beforeAutospacing="0" w:after="0" w:line="420" w:lineRule="atLeast"/>
        <w:ind w:firstLine="567"/>
        <w:jc w:val="both"/>
        <w:rPr>
          <w:rFonts w:ascii="Times New Roman" w:hAnsi="Times New Roman" w:cs="Times New Roman"/>
          <w:sz w:val="24"/>
          <w:szCs w:val="24"/>
          <w:lang w:val="es-ES"/>
        </w:rPr>
      </w:pPr>
      <w:r>
        <w:rPr>
          <w:rFonts w:ascii="Times New Roman" w:hAnsi="Times New Roman" w:cs="Times New Roman"/>
          <w:sz w:val="24"/>
          <w:szCs w:val="24"/>
          <w:lang w:val="es-ES"/>
        </w:rPr>
        <w:t>En este sentido, las nuevas programáticas identificaban un rol positivo a asumir por el Estado en relación con el mercado. El Estado no debía pensarse de manera antagónica respecto del sector privado, sino que era preciso promover sus sinergias y prestar atención a las condiciones para una buena gestión pública.</w:t>
      </w:r>
      <w:r w:rsidR="00260D45">
        <w:rPr>
          <w:rFonts w:ascii="Times New Roman" w:hAnsi="Times New Roman" w:cs="Times New Roman"/>
          <w:sz w:val="24"/>
          <w:szCs w:val="24"/>
          <w:lang w:val="es-ES"/>
        </w:rPr>
        <w:t xml:space="preserve"> En este punto se expresaban nuevas diferencias: mientras que el BM enfatizaba como condiciones las reformas en el desempeño de la administración pública, el principio de </w:t>
      </w:r>
      <w:proofErr w:type="spellStart"/>
      <w:r w:rsidR="00260D45">
        <w:rPr>
          <w:rFonts w:ascii="Times New Roman" w:hAnsi="Times New Roman" w:cs="Times New Roman"/>
          <w:sz w:val="24"/>
          <w:szCs w:val="24"/>
          <w:lang w:val="es-ES"/>
        </w:rPr>
        <w:t>residualidad</w:t>
      </w:r>
      <w:proofErr w:type="spellEnd"/>
      <w:r w:rsidR="00260D45">
        <w:rPr>
          <w:rFonts w:ascii="Times New Roman" w:hAnsi="Times New Roman" w:cs="Times New Roman"/>
          <w:sz w:val="24"/>
          <w:szCs w:val="24"/>
          <w:lang w:val="es-ES"/>
        </w:rPr>
        <w:t xml:space="preserve"> del Estado para la cobertura de riesgos, el rol contralor de la “sociedad civil”; la OIT y la CEPAL destacan las regulaciones de los mercados financieros, las normas elementales del empleo, sin por ello colocar en un lugar secundario la sinergia entre el sector público y el privado. </w:t>
      </w:r>
    </w:p>
    <w:p w:rsidR="00B93252" w:rsidRDefault="00B93252" w:rsidP="007A6BCA">
      <w:pPr>
        <w:pStyle w:val="western"/>
        <w:spacing w:before="0" w:beforeAutospacing="0" w:after="0" w:line="420" w:lineRule="atLeast"/>
        <w:ind w:firstLine="567"/>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Del mismo modo, el </w:t>
      </w:r>
      <w:r w:rsidR="00474015">
        <w:rPr>
          <w:rFonts w:ascii="Times New Roman" w:hAnsi="Times New Roman" w:cs="Times New Roman"/>
          <w:sz w:val="24"/>
          <w:szCs w:val="24"/>
          <w:lang w:val="es-ES"/>
        </w:rPr>
        <w:t>desarrollo económico y social</w:t>
      </w:r>
      <w:r>
        <w:rPr>
          <w:rFonts w:ascii="Times New Roman" w:hAnsi="Times New Roman" w:cs="Times New Roman"/>
          <w:sz w:val="24"/>
          <w:szCs w:val="24"/>
          <w:lang w:val="es-ES"/>
        </w:rPr>
        <w:t xml:space="preserve"> se </w:t>
      </w:r>
      <w:proofErr w:type="gramStart"/>
      <w:r>
        <w:rPr>
          <w:rFonts w:ascii="Times New Roman" w:hAnsi="Times New Roman" w:cs="Times New Roman"/>
          <w:sz w:val="24"/>
          <w:szCs w:val="24"/>
          <w:lang w:val="es-ES"/>
        </w:rPr>
        <w:t>presentaban</w:t>
      </w:r>
      <w:proofErr w:type="gramEnd"/>
      <w:r>
        <w:rPr>
          <w:rFonts w:ascii="Times New Roman" w:hAnsi="Times New Roman" w:cs="Times New Roman"/>
          <w:sz w:val="24"/>
          <w:szCs w:val="24"/>
          <w:lang w:val="es-ES"/>
        </w:rPr>
        <w:t xml:space="preserve"> como complementarios en el largo plazo, a</w:t>
      </w:r>
      <w:r w:rsidR="00474015">
        <w:rPr>
          <w:rFonts w:ascii="Times New Roman" w:hAnsi="Times New Roman" w:cs="Times New Roman"/>
          <w:sz w:val="24"/>
          <w:szCs w:val="24"/>
          <w:lang w:val="es-ES"/>
        </w:rPr>
        <w:t>unque en el corto y mediano plazo pudieran generarse tensiones entre ambas racionalidades</w:t>
      </w:r>
      <w:r>
        <w:rPr>
          <w:rFonts w:ascii="Times New Roman" w:hAnsi="Times New Roman" w:cs="Times New Roman"/>
          <w:sz w:val="24"/>
          <w:szCs w:val="24"/>
          <w:lang w:val="es-ES"/>
        </w:rPr>
        <w:t xml:space="preserve">. De este modo, la gestión estatal debía realizar los cálculos relativos a dicha compatibilización, identificando </w:t>
      </w:r>
      <w:r w:rsidR="00474015">
        <w:rPr>
          <w:rFonts w:ascii="Times New Roman" w:hAnsi="Times New Roman" w:cs="Times New Roman"/>
          <w:sz w:val="24"/>
          <w:szCs w:val="24"/>
          <w:lang w:val="es-ES"/>
        </w:rPr>
        <w:t>en cada momento</w:t>
      </w:r>
      <w:r>
        <w:rPr>
          <w:rFonts w:ascii="Times New Roman" w:hAnsi="Times New Roman" w:cs="Times New Roman"/>
          <w:sz w:val="24"/>
          <w:szCs w:val="24"/>
          <w:lang w:val="es-ES"/>
        </w:rPr>
        <w:t xml:space="preserve"> cuál era</w:t>
      </w:r>
      <w:r w:rsidR="00474015">
        <w:rPr>
          <w:rFonts w:ascii="Times New Roman" w:hAnsi="Times New Roman" w:cs="Times New Roman"/>
          <w:sz w:val="24"/>
          <w:szCs w:val="24"/>
          <w:lang w:val="es-ES"/>
        </w:rPr>
        <w:t xml:space="preserve"> la combinación más adecuada de </w:t>
      </w:r>
      <w:r>
        <w:rPr>
          <w:rFonts w:ascii="Times New Roman" w:hAnsi="Times New Roman" w:cs="Times New Roman"/>
          <w:sz w:val="24"/>
          <w:szCs w:val="24"/>
          <w:lang w:val="es-ES"/>
        </w:rPr>
        <w:t xml:space="preserve">los </w:t>
      </w:r>
      <w:r w:rsidR="00474015">
        <w:rPr>
          <w:rFonts w:ascii="Times New Roman" w:hAnsi="Times New Roman" w:cs="Times New Roman"/>
          <w:sz w:val="24"/>
          <w:szCs w:val="24"/>
          <w:lang w:val="es-ES"/>
        </w:rPr>
        <w:t xml:space="preserve">efectos de distintas políticas sectoriales. Se trataba de lograr mayores niveles de productividad, con los menores niveles de desigualdad posible. </w:t>
      </w:r>
      <w:r>
        <w:rPr>
          <w:rFonts w:ascii="Times New Roman" w:hAnsi="Times New Roman" w:cs="Times New Roman"/>
          <w:sz w:val="24"/>
          <w:szCs w:val="24"/>
          <w:lang w:val="es-ES"/>
        </w:rPr>
        <w:t>La realización de los “objetivos sociales” ya no debía asignarse a un futuro incierto. La cuestión fue, entonces, en qué términos y con qué alcances definirlos.</w:t>
      </w:r>
    </w:p>
    <w:p w:rsidR="00E01D3F" w:rsidRDefault="002C7472" w:rsidP="007A6BCA">
      <w:pPr>
        <w:pStyle w:val="western"/>
        <w:spacing w:before="0" w:beforeAutospacing="0" w:after="0" w:line="420" w:lineRule="atLeast"/>
        <w:ind w:firstLine="567"/>
        <w:jc w:val="both"/>
        <w:rPr>
          <w:rFonts w:ascii="Times New Roman" w:hAnsi="Times New Roman" w:cs="Times New Roman"/>
          <w:sz w:val="24"/>
          <w:szCs w:val="24"/>
        </w:rPr>
      </w:pPr>
      <w:r w:rsidRPr="00DC1C23">
        <w:rPr>
          <w:rFonts w:ascii="Times New Roman" w:hAnsi="Times New Roman" w:cs="Times New Roman"/>
          <w:sz w:val="24"/>
          <w:szCs w:val="24"/>
          <w:lang w:val="es-ES"/>
        </w:rPr>
        <w:t>Desde años anteriores, venían produciéndose diferentes enfoques para una intervención m</w:t>
      </w:r>
      <w:r w:rsidR="00B93252">
        <w:rPr>
          <w:rFonts w:ascii="Times New Roman" w:hAnsi="Times New Roman" w:cs="Times New Roman"/>
          <w:sz w:val="24"/>
          <w:szCs w:val="24"/>
          <w:lang w:val="es-ES"/>
        </w:rPr>
        <w:t xml:space="preserve">ás sistemática sobre la pobreza. Ya en el año 1990 se editaba el primer </w:t>
      </w:r>
      <w:r w:rsidRPr="00DC1C23">
        <w:rPr>
          <w:rFonts w:ascii="Times New Roman" w:hAnsi="Times New Roman" w:cs="Times New Roman"/>
          <w:sz w:val="24"/>
          <w:szCs w:val="24"/>
          <w:lang w:val="es-ES"/>
        </w:rPr>
        <w:t>Informe sobre Desarrollo Humano del P</w:t>
      </w:r>
      <w:r w:rsidR="00B93252">
        <w:rPr>
          <w:rFonts w:ascii="Times New Roman" w:hAnsi="Times New Roman" w:cs="Times New Roman"/>
          <w:sz w:val="24"/>
          <w:szCs w:val="24"/>
          <w:lang w:val="es-ES"/>
        </w:rPr>
        <w:t xml:space="preserve">rograma de las </w:t>
      </w:r>
      <w:r w:rsidRPr="00DC1C23">
        <w:rPr>
          <w:rFonts w:ascii="Times New Roman" w:hAnsi="Times New Roman" w:cs="Times New Roman"/>
          <w:sz w:val="24"/>
          <w:szCs w:val="24"/>
          <w:lang w:val="es-ES"/>
        </w:rPr>
        <w:t>N</w:t>
      </w:r>
      <w:r w:rsidR="00B93252">
        <w:rPr>
          <w:rFonts w:ascii="Times New Roman" w:hAnsi="Times New Roman" w:cs="Times New Roman"/>
          <w:sz w:val="24"/>
          <w:szCs w:val="24"/>
          <w:lang w:val="es-ES"/>
        </w:rPr>
        <w:t xml:space="preserve">aciones </w:t>
      </w:r>
      <w:r w:rsidRPr="00DC1C23">
        <w:rPr>
          <w:rFonts w:ascii="Times New Roman" w:hAnsi="Times New Roman" w:cs="Times New Roman"/>
          <w:sz w:val="24"/>
          <w:szCs w:val="24"/>
          <w:lang w:val="es-ES"/>
        </w:rPr>
        <w:t>U</w:t>
      </w:r>
      <w:r w:rsidR="00B93252">
        <w:rPr>
          <w:rFonts w:ascii="Times New Roman" w:hAnsi="Times New Roman" w:cs="Times New Roman"/>
          <w:sz w:val="24"/>
          <w:szCs w:val="24"/>
          <w:lang w:val="es-ES"/>
        </w:rPr>
        <w:t xml:space="preserve">nidas para el </w:t>
      </w:r>
      <w:r w:rsidRPr="00DC1C23">
        <w:rPr>
          <w:rFonts w:ascii="Times New Roman" w:hAnsi="Times New Roman" w:cs="Times New Roman"/>
          <w:sz w:val="24"/>
          <w:szCs w:val="24"/>
          <w:lang w:val="es-ES"/>
        </w:rPr>
        <w:t>D</w:t>
      </w:r>
      <w:r w:rsidR="00B93252">
        <w:rPr>
          <w:rFonts w:ascii="Times New Roman" w:hAnsi="Times New Roman" w:cs="Times New Roman"/>
          <w:sz w:val="24"/>
          <w:szCs w:val="24"/>
          <w:lang w:val="es-ES"/>
        </w:rPr>
        <w:t>esarrollo.</w:t>
      </w:r>
      <w:r w:rsidRPr="00DC1C23">
        <w:rPr>
          <w:rFonts w:ascii="Times New Roman" w:hAnsi="Times New Roman" w:cs="Times New Roman"/>
          <w:lang w:val="es-ES"/>
        </w:rPr>
        <w:t xml:space="preserve"> </w:t>
      </w:r>
      <w:r w:rsidRPr="00DC1C23">
        <w:rPr>
          <w:rFonts w:ascii="Times New Roman" w:hAnsi="Times New Roman" w:cs="Times New Roman"/>
          <w:sz w:val="24"/>
          <w:szCs w:val="24"/>
          <w:lang w:val="es-ES"/>
        </w:rPr>
        <w:t xml:space="preserve">En </w:t>
      </w:r>
      <w:r w:rsidR="00B93252">
        <w:rPr>
          <w:rFonts w:ascii="Times New Roman" w:hAnsi="Times New Roman" w:cs="Times New Roman"/>
          <w:sz w:val="24"/>
          <w:szCs w:val="24"/>
          <w:lang w:val="es-ES"/>
        </w:rPr>
        <w:t xml:space="preserve">1995 se </w:t>
      </w:r>
      <w:r w:rsidR="00B93252">
        <w:rPr>
          <w:rFonts w:ascii="Times New Roman" w:hAnsi="Times New Roman" w:cs="Times New Roman"/>
          <w:sz w:val="24"/>
          <w:szCs w:val="24"/>
          <w:lang w:val="es-ES"/>
        </w:rPr>
        <w:lastRenderedPageBreak/>
        <w:t>realizó</w:t>
      </w:r>
      <w:r w:rsidRPr="00DC1C23">
        <w:rPr>
          <w:rFonts w:ascii="Times New Roman" w:hAnsi="Times New Roman" w:cs="Times New Roman"/>
          <w:sz w:val="24"/>
          <w:szCs w:val="24"/>
          <w:lang w:val="es-ES"/>
        </w:rPr>
        <w:t xml:space="preserve"> la </w:t>
      </w:r>
      <w:r w:rsidRPr="00DC1C23">
        <w:rPr>
          <w:rFonts w:ascii="Times New Roman" w:hAnsi="Times New Roman" w:cs="Times New Roman"/>
          <w:sz w:val="24"/>
          <w:szCs w:val="24"/>
        </w:rPr>
        <w:t xml:space="preserve">Cumbre Social de Copenhague, </w:t>
      </w:r>
      <w:r w:rsidR="00E01D3F">
        <w:rPr>
          <w:rFonts w:ascii="Times New Roman" w:hAnsi="Times New Roman" w:cs="Times New Roman"/>
          <w:sz w:val="24"/>
          <w:szCs w:val="24"/>
        </w:rPr>
        <w:t>de</w:t>
      </w:r>
      <w:r w:rsidRPr="00DC1C23">
        <w:rPr>
          <w:rFonts w:ascii="Times New Roman" w:hAnsi="Times New Roman" w:cs="Times New Roman"/>
          <w:sz w:val="24"/>
          <w:szCs w:val="24"/>
        </w:rPr>
        <w:t xml:space="preserve"> las Naciones Unidas, que consolidó </w:t>
      </w:r>
      <w:r w:rsidR="00E01D3F">
        <w:rPr>
          <w:rFonts w:ascii="Times New Roman" w:hAnsi="Times New Roman" w:cs="Times New Roman"/>
          <w:sz w:val="24"/>
          <w:szCs w:val="24"/>
        </w:rPr>
        <w:t>el</w:t>
      </w:r>
      <w:r w:rsidRPr="00DC1C23">
        <w:rPr>
          <w:rFonts w:ascii="Times New Roman" w:hAnsi="Times New Roman" w:cs="Times New Roman"/>
          <w:sz w:val="24"/>
          <w:szCs w:val="24"/>
        </w:rPr>
        <w:t xml:space="preserve"> enfoque</w:t>
      </w:r>
      <w:r w:rsidRPr="00DC1C23">
        <w:rPr>
          <w:rFonts w:ascii="Times New Roman" w:hAnsi="Times New Roman" w:cs="Times New Roman"/>
          <w:lang w:val="es-ES"/>
        </w:rPr>
        <w:t xml:space="preserve"> </w:t>
      </w:r>
      <w:r w:rsidRPr="00DC1C23">
        <w:rPr>
          <w:rFonts w:ascii="Times New Roman" w:hAnsi="Times New Roman" w:cs="Times New Roman"/>
          <w:sz w:val="24"/>
          <w:szCs w:val="24"/>
        </w:rPr>
        <w:t xml:space="preserve">orientado al “desarrollo humano”. En el año 2000, la Cumbre del Milenio de las Naciones Unidas finalizaba con una Declaración que fijaba como objetivo la erradicación de la pobreza. Posteriormente, en el año 2002 se </w:t>
      </w:r>
      <w:r w:rsidR="00E01D3F">
        <w:rPr>
          <w:rFonts w:ascii="Times New Roman" w:hAnsi="Times New Roman" w:cs="Times New Roman"/>
          <w:sz w:val="24"/>
          <w:szCs w:val="24"/>
        </w:rPr>
        <w:t>desagregaban metas específicas, en lo que se conoció como</w:t>
      </w:r>
      <w:r w:rsidRPr="00DC1C23">
        <w:rPr>
          <w:rFonts w:ascii="Times New Roman" w:hAnsi="Times New Roman" w:cs="Times New Roman"/>
          <w:sz w:val="24"/>
          <w:szCs w:val="24"/>
        </w:rPr>
        <w:t xml:space="preserve"> Objetivos de Desarrollo del Milenio</w:t>
      </w:r>
      <w:r w:rsidR="00E01D3F">
        <w:rPr>
          <w:rFonts w:ascii="Times New Roman" w:hAnsi="Times New Roman" w:cs="Times New Roman"/>
          <w:sz w:val="24"/>
          <w:szCs w:val="24"/>
        </w:rPr>
        <w:t xml:space="preserve"> (ODM)</w:t>
      </w:r>
      <w:r w:rsidRPr="00DC1C23">
        <w:rPr>
          <w:rFonts w:ascii="Times New Roman" w:hAnsi="Times New Roman" w:cs="Times New Roman"/>
          <w:sz w:val="24"/>
          <w:szCs w:val="24"/>
        </w:rPr>
        <w:t>: reducción de la mortalidad infantil, erradicación del hambre, combate del VIH, mejora de la salud materna, entre otras.</w:t>
      </w:r>
      <w:r w:rsidR="00E01D3F">
        <w:rPr>
          <w:rFonts w:ascii="Times New Roman" w:hAnsi="Times New Roman" w:cs="Times New Roman"/>
          <w:sz w:val="24"/>
          <w:szCs w:val="24"/>
        </w:rPr>
        <w:t xml:space="preserve"> En torno a ellos, se reunió el</w:t>
      </w:r>
      <w:r w:rsidR="00E01D3F" w:rsidRPr="00DC1C23">
        <w:rPr>
          <w:rFonts w:ascii="Times New Roman" w:hAnsi="Times New Roman" w:cs="Times New Roman"/>
          <w:sz w:val="24"/>
          <w:szCs w:val="24"/>
        </w:rPr>
        <w:t xml:space="preserve"> consenso de las diferentes ADI</w:t>
      </w:r>
      <w:r w:rsidR="00E01D3F">
        <w:rPr>
          <w:rFonts w:ascii="Times New Roman" w:hAnsi="Times New Roman" w:cs="Times New Roman"/>
          <w:sz w:val="24"/>
          <w:szCs w:val="24"/>
        </w:rPr>
        <w:t xml:space="preserve">, con lo que se evidencia la yuxtaposición entre desarrollo social, bienestar y pobreza. De hecho, sería recién en el año 2005 cuando se incorporaran objetivos ligados al </w:t>
      </w:r>
      <w:r w:rsidRPr="00DC1C23">
        <w:rPr>
          <w:rFonts w:ascii="Times New Roman" w:hAnsi="Times New Roman" w:cs="Times New Roman"/>
          <w:sz w:val="24"/>
          <w:szCs w:val="24"/>
        </w:rPr>
        <w:t xml:space="preserve">Trabajo Decente, </w:t>
      </w:r>
      <w:r w:rsidR="00E01D3F">
        <w:rPr>
          <w:rFonts w:ascii="Times New Roman" w:hAnsi="Times New Roman" w:cs="Times New Roman"/>
          <w:sz w:val="24"/>
          <w:szCs w:val="24"/>
        </w:rPr>
        <w:t xml:space="preserve">pese a que la OIT venía elaborando un programa vasto en torno a la categoría desde 1999. </w:t>
      </w:r>
    </w:p>
    <w:p w:rsidR="001002F2" w:rsidRDefault="00260D45" w:rsidP="001002F2">
      <w:pPr>
        <w:pStyle w:val="western"/>
        <w:spacing w:before="0" w:beforeAutospacing="0" w:after="0" w:line="420" w:lineRule="atLeast"/>
        <w:ind w:firstLine="567"/>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Estas reformulaciones acerca del desarrollo social convivían con el horizonte del </w:t>
      </w:r>
      <w:r w:rsidR="00D2275D">
        <w:rPr>
          <w:rFonts w:ascii="Times New Roman" w:hAnsi="Times New Roman" w:cs="Times New Roman"/>
          <w:sz w:val="24"/>
          <w:szCs w:val="24"/>
          <w:lang w:val="es-ES"/>
        </w:rPr>
        <w:t>proceso de globalización y apertura económica</w:t>
      </w:r>
      <w:r w:rsidR="001002F2">
        <w:rPr>
          <w:rFonts w:ascii="Times New Roman" w:hAnsi="Times New Roman" w:cs="Times New Roman"/>
          <w:sz w:val="24"/>
          <w:szCs w:val="24"/>
          <w:lang w:val="es-ES"/>
        </w:rPr>
        <w:t>, para todas las AID, aún aquellas que realizaban una crítica hacia el modelo de los años anteriores</w:t>
      </w:r>
      <w:r w:rsidR="00D2275D">
        <w:rPr>
          <w:rFonts w:ascii="Times New Roman" w:hAnsi="Times New Roman" w:cs="Times New Roman"/>
          <w:sz w:val="24"/>
          <w:szCs w:val="24"/>
          <w:lang w:val="es-ES"/>
        </w:rPr>
        <w:t>. Justamente se trataba de gestionar de un modo diferente el cambio económico para preve</w:t>
      </w:r>
      <w:r w:rsidR="001002F2">
        <w:rPr>
          <w:rFonts w:ascii="Times New Roman" w:hAnsi="Times New Roman" w:cs="Times New Roman"/>
          <w:sz w:val="24"/>
          <w:szCs w:val="24"/>
          <w:lang w:val="es-ES"/>
        </w:rPr>
        <w:t>nir los “choques” de las crisis.</w:t>
      </w:r>
      <w:r w:rsidR="00D2275D">
        <w:rPr>
          <w:rFonts w:ascii="Times New Roman" w:hAnsi="Times New Roman" w:cs="Times New Roman"/>
          <w:sz w:val="24"/>
          <w:szCs w:val="24"/>
          <w:lang w:val="es-ES"/>
        </w:rPr>
        <w:t xml:space="preserve"> La globalización podría ser “sostenible” previendo una intervención sistemática, no accesoria ni </w:t>
      </w:r>
      <w:proofErr w:type="spellStart"/>
      <w:r w:rsidR="00D2275D">
        <w:rPr>
          <w:rFonts w:ascii="Times New Roman" w:hAnsi="Times New Roman" w:cs="Times New Roman"/>
          <w:sz w:val="24"/>
          <w:szCs w:val="24"/>
          <w:lang w:val="es-ES"/>
        </w:rPr>
        <w:t>secundarizada</w:t>
      </w:r>
      <w:proofErr w:type="spellEnd"/>
      <w:r w:rsidR="00D2275D">
        <w:rPr>
          <w:rFonts w:ascii="Times New Roman" w:hAnsi="Times New Roman" w:cs="Times New Roman"/>
          <w:sz w:val="24"/>
          <w:szCs w:val="24"/>
          <w:lang w:val="es-ES"/>
        </w:rPr>
        <w:t xml:space="preserve">, sobre su “dimensión social”, distinguida en términos ontológicos. </w:t>
      </w:r>
      <w:r w:rsidR="001002F2">
        <w:rPr>
          <w:rFonts w:ascii="Times New Roman" w:hAnsi="Times New Roman" w:cs="Times New Roman"/>
          <w:sz w:val="24"/>
          <w:szCs w:val="24"/>
          <w:lang w:val="es-ES"/>
        </w:rPr>
        <w:t>P</w:t>
      </w:r>
      <w:r w:rsidR="00D2275D">
        <w:rPr>
          <w:rFonts w:ascii="Times New Roman" w:hAnsi="Times New Roman" w:cs="Times New Roman"/>
          <w:sz w:val="24"/>
          <w:szCs w:val="24"/>
          <w:lang w:val="es-ES"/>
        </w:rPr>
        <w:t>odría reconvertirse en una fuerza positiva</w:t>
      </w:r>
      <w:r w:rsidR="001002F2">
        <w:rPr>
          <w:rFonts w:ascii="Times New Roman" w:hAnsi="Times New Roman" w:cs="Times New Roman"/>
          <w:sz w:val="24"/>
          <w:szCs w:val="24"/>
          <w:lang w:val="es-ES"/>
        </w:rPr>
        <w:t>,</w:t>
      </w:r>
      <w:r w:rsidR="00D2275D">
        <w:rPr>
          <w:rFonts w:ascii="Times New Roman" w:hAnsi="Times New Roman" w:cs="Times New Roman"/>
          <w:sz w:val="24"/>
          <w:szCs w:val="24"/>
          <w:lang w:val="es-ES"/>
        </w:rPr>
        <w:t xml:space="preserve"> no por las características globales de sus formas de organización social, sino por el tipo de desarrollo social que promoviera. </w:t>
      </w:r>
    </w:p>
    <w:p w:rsidR="00D2275D" w:rsidRDefault="00D2275D" w:rsidP="00CB7F3E">
      <w:pPr>
        <w:pStyle w:val="western"/>
        <w:spacing w:before="0" w:beforeAutospacing="0" w:after="0" w:line="420" w:lineRule="atLeast"/>
        <w:ind w:firstLine="567"/>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Por ello cobraban sentido expresiones de tinte </w:t>
      </w:r>
      <w:proofErr w:type="spellStart"/>
      <w:r>
        <w:rPr>
          <w:rFonts w:ascii="Times New Roman" w:hAnsi="Times New Roman" w:cs="Times New Roman"/>
          <w:sz w:val="24"/>
          <w:szCs w:val="24"/>
          <w:lang w:val="es-ES"/>
        </w:rPr>
        <w:t>humanitarista</w:t>
      </w:r>
      <w:proofErr w:type="spellEnd"/>
      <w:r>
        <w:rPr>
          <w:rFonts w:ascii="Times New Roman" w:hAnsi="Times New Roman" w:cs="Times New Roman"/>
          <w:sz w:val="24"/>
          <w:szCs w:val="24"/>
          <w:lang w:val="es-ES"/>
        </w:rPr>
        <w:t xml:space="preserve"> como: “que el mercado funcione para los pobres”</w:t>
      </w:r>
      <w:r w:rsidR="001002F2">
        <w:rPr>
          <w:rFonts w:ascii="Times New Roman" w:hAnsi="Times New Roman" w:cs="Times New Roman"/>
          <w:sz w:val="24"/>
          <w:szCs w:val="24"/>
          <w:lang w:val="es-ES"/>
        </w:rPr>
        <w:t xml:space="preserve"> (BM, 2004)</w:t>
      </w:r>
      <w:r>
        <w:rPr>
          <w:rFonts w:ascii="Times New Roman" w:hAnsi="Times New Roman" w:cs="Times New Roman"/>
          <w:sz w:val="24"/>
          <w:szCs w:val="24"/>
          <w:lang w:val="es-ES"/>
        </w:rPr>
        <w:t>, “humanizar la economía”</w:t>
      </w:r>
      <w:r w:rsidR="001002F2">
        <w:rPr>
          <w:rFonts w:ascii="Times New Roman" w:hAnsi="Times New Roman" w:cs="Times New Roman"/>
          <w:sz w:val="24"/>
          <w:szCs w:val="24"/>
          <w:lang w:val="es-ES"/>
        </w:rPr>
        <w:t xml:space="preserve"> (OIT, 1999)</w:t>
      </w:r>
      <w:r>
        <w:rPr>
          <w:rFonts w:ascii="Times New Roman" w:hAnsi="Times New Roman" w:cs="Times New Roman"/>
          <w:sz w:val="24"/>
          <w:szCs w:val="24"/>
          <w:lang w:val="es-ES"/>
        </w:rPr>
        <w:t>, “preservar la sociedad</w:t>
      </w:r>
      <w:r w:rsidR="001002F2">
        <w:rPr>
          <w:rFonts w:ascii="Times New Roman" w:hAnsi="Times New Roman" w:cs="Times New Roman"/>
          <w:sz w:val="24"/>
          <w:szCs w:val="24"/>
          <w:lang w:val="es-ES"/>
        </w:rPr>
        <w:t>” (CEPAL, 2002)</w:t>
      </w:r>
      <w:r w:rsidR="002C7472">
        <w:rPr>
          <w:rFonts w:ascii="Times New Roman" w:hAnsi="Times New Roman" w:cs="Times New Roman"/>
          <w:sz w:val="24"/>
          <w:szCs w:val="24"/>
          <w:lang w:val="es-ES"/>
        </w:rPr>
        <w:t xml:space="preserve">. </w:t>
      </w:r>
      <w:r w:rsidR="001002F2">
        <w:rPr>
          <w:rFonts w:ascii="Times New Roman" w:hAnsi="Times New Roman" w:cs="Times New Roman"/>
          <w:sz w:val="24"/>
          <w:szCs w:val="24"/>
          <w:lang w:val="es-ES"/>
        </w:rPr>
        <w:t>Estas</w:t>
      </w:r>
      <w:r w:rsidR="00CB7F3E">
        <w:rPr>
          <w:rFonts w:ascii="Times New Roman" w:hAnsi="Times New Roman" w:cs="Times New Roman"/>
          <w:sz w:val="24"/>
          <w:szCs w:val="24"/>
          <w:lang w:val="es-ES"/>
        </w:rPr>
        <w:t xml:space="preserve"> expresiones</w:t>
      </w:r>
      <w:r w:rsidR="001002F2">
        <w:rPr>
          <w:rFonts w:ascii="Times New Roman" w:hAnsi="Times New Roman" w:cs="Times New Roman"/>
          <w:sz w:val="24"/>
          <w:szCs w:val="24"/>
          <w:lang w:val="es-ES"/>
        </w:rPr>
        <w:t xml:space="preserve"> tomaban la </w:t>
      </w:r>
      <w:bookmarkStart w:id="5" w:name="Footnote9"/>
      <w:bookmarkEnd w:id="5"/>
      <w:r w:rsidRPr="00DC1C23">
        <w:rPr>
          <w:rFonts w:ascii="Times New Roman" w:hAnsi="Times New Roman" w:cs="Times New Roman"/>
          <w:sz w:val="24"/>
          <w:szCs w:val="24"/>
          <w:lang w:val="es-ES"/>
        </w:rPr>
        <w:t>creciente impugnación social “desde abajo” de la programática neoliberal (Ramírez, 2016)</w:t>
      </w:r>
      <w:r>
        <w:rPr>
          <w:rFonts w:ascii="Times New Roman" w:hAnsi="Times New Roman" w:cs="Times New Roman"/>
          <w:sz w:val="24"/>
          <w:szCs w:val="24"/>
          <w:lang w:val="es-ES"/>
        </w:rPr>
        <w:t xml:space="preserve">, </w:t>
      </w:r>
      <w:r w:rsidR="001002F2">
        <w:rPr>
          <w:rFonts w:ascii="Times New Roman" w:hAnsi="Times New Roman" w:cs="Times New Roman"/>
          <w:sz w:val="24"/>
          <w:szCs w:val="24"/>
          <w:lang w:val="es-ES"/>
        </w:rPr>
        <w:t xml:space="preserve">y se hacían eco del </w:t>
      </w:r>
      <w:r>
        <w:rPr>
          <w:rFonts w:ascii="Times New Roman" w:hAnsi="Times New Roman" w:cs="Times New Roman"/>
          <w:sz w:val="24"/>
          <w:szCs w:val="24"/>
          <w:lang w:val="es-ES"/>
        </w:rPr>
        <w:t>ascenso de sensaciones de vulnerabilidad, desconfianza</w:t>
      </w:r>
      <w:r w:rsidR="002C7472">
        <w:rPr>
          <w:rFonts w:ascii="Times New Roman" w:hAnsi="Times New Roman" w:cs="Times New Roman"/>
          <w:sz w:val="24"/>
          <w:szCs w:val="24"/>
          <w:lang w:val="es-ES"/>
        </w:rPr>
        <w:t>, frustración, malestar. Por ello, las programáticas en elaboración realizaban</w:t>
      </w:r>
      <w:r w:rsidR="002C7472" w:rsidRPr="00DC1C23">
        <w:rPr>
          <w:rFonts w:ascii="Times New Roman" w:hAnsi="Times New Roman" w:cs="Times New Roman"/>
          <w:sz w:val="24"/>
          <w:szCs w:val="24"/>
          <w:lang w:val="es-ES"/>
        </w:rPr>
        <w:t xml:space="preserve"> nuevos planteos sobre una modalidad de desarrollo “de abajo hacia arr</w:t>
      </w:r>
      <w:r w:rsidR="002C7472">
        <w:rPr>
          <w:rFonts w:ascii="Times New Roman" w:hAnsi="Times New Roman" w:cs="Times New Roman"/>
          <w:sz w:val="24"/>
          <w:szCs w:val="24"/>
          <w:lang w:val="es-ES"/>
        </w:rPr>
        <w:t>iba”, reapropiándose de nociones críticas como las del “empoderamiento” orientadas a que se escuche la voz de los más débiles y menos representados (</w:t>
      </w:r>
      <w:proofErr w:type="spellStart"/>
      <w:r w:rsidR="002C7472">
        <w:rPr>
          <w:rFonts w:ascii="Times New Roman" w:hAnsi="Times New Roman" w:cs="Times New Roman"/>
          <w:sz w:val="24"/>
          <w:szCs w:val="24"/>
          <w:lang w:val="es-ES"/>
        </w:rPr>
        <w:t>Molyneux</w:t>
      </w:r>
      <w:proofErr w:type="spellEnd"/>
      <w:r w:rsidR="002C7472">
        <w:rPr>
          <w:rFonts w:ascii="Times New Roman" w:hAnsi="Times New Roman" w:cs="Times New Roman"/>
          <w:sz w:val="24"/>
          <w:szCs w:val="24"/>
          <w:lang w:val="es-ES"/>
        </w:rPr>
        <w:t xml:space="preserve"> </w:t>
      </w:r>
      <w:r w:rsidR="001002F2">
        <w:rPr>
          <w:rFonts w:ascii="Times New Roman" w:hAnsi="Times New Roman" w:cs="Times New Roman"/>
          <w:sz w:val="24"/>
          <w:szCs w:val="24"/>
          <w:lang w:val="es-ES"/>
        </w:rPr>
        <w:t>2006</w:t>
      </w:r>
      <w:r w:rsidR="004366B3">
        <w:rPr>
          <w:rFonts w:ascii="Times New Roman" w:hAnsi="Times New Roman" w:cs="Times New Roman"/>
          <w:sz w:val="24"/>
          <w:szCs w:val="24"/>
          <w:lang w:val="es-ES"/>
        </w:rPr>
        <w:t xml:space="preserve">; </w:t>
      </w:r>
      <w:proofErr w:type="spellStart"/>
      <w:r w:rsidR="004366B3">
        <w:rPr>
          <w:rFonts w:ascii="Times New Roman" w:hAnsi="Times New Roman" w:cs="Times New Roman"/>
          <w:sz w:val="24"/>
          <w:szCs w:val="24"/>
          <w:lang w:val="es-ES"/>
        </w:rPr>
        <w:t>Papelini</w:t>
      </w:r>
      <w:proofErr w:type="spellEnd"/>
      <w:r w:rsidR="004366B3">
        <w:rPr>
          <w:rFonts w:ascii="Times New Roman" w:hAnsi="Times New Roman" w:cs="Times New Roman"/>
          <w:sz w:val="24"/>
          <w:szCs w:val="24"/>
          <w:lang w:val="es-ES"/>
        </w:rPr>
        <w:t xml:space="preserve"> y Echavarría, 2016</w:t>
      </w:r>
      <w:r w:rsidR="002C7472" w:rsidRPr="00DC1C23">
        <w:rPr>
          <w:rFonts w:ascii="Times New Roman" w:hAnsi="Times New Roman" w:cs="Times New Roman"/>
          <w:sz w:val="24"/>
          <w:szCs w:val="24"/>
          <w:lang w:val="es-ES"/>
        </w:rPr>
        <w:t>).</w:t>
      </w:r>
      <w:r w:rsidR="002C7472">
        <w:rPr>
          <w:rFonts w:ascii="Times New Roman" w:hAnsi="Times New Roman" w:cs="Times New Roman"/>
          <w:sz w:val="24"/>
          <w:szCs w:val="24"/>
          <w:lang w:val="es-ES"/>
        </w:rPr>
        <w:t xml:space="preserve"> Las preocupaciones de las AID sobre la estabilidad política, el incremento de la productividad y la desigualdad se encadenaron en la </w:t>
      </w:r>
      <w:proofErr w:type="spellStart"/>
      <w:r w:rsidR="002C7472">
        <w:rPr>
          <w:rFonts w:ascii="Times New Roman" w:hAnsi="Times New Roman" w:cs="Times New Roman"/>
          <w:sz w:val="24"/>
          <w:szCs w:val="24"/>
          <w:lang w:val="es-ES"/>
        </w:rPr>
        <w:t>tematización</w:t>
      </w:r>
      <w:proofErr w:type="spellEnd"/>
      <w:r w:rsidR="002C7472">
        <w:rPr>
          <w:rFonts w:ascii="Times New Roman" w:hAnsi="Times New Roman" w:cs="Times New Roman"/>
          <w:sz w:val="24"/>
          <w:szCs w:val="24"/>
          <w:lang w:val="es-ES"/>
        </w:rPr>
        <w:t xml:space="preserve"> de la “cohesión social” como problema, </w:t>
      </w:r>
      <w:r w:rsidR="002C7472" w:rsidRPr="001002F2">
        <w:rPr>
          <w:rFonts w:ascii="Times New Roman" w:hAnsi="Times New Roman" w:cs="Times New Roman"/>
          <w:sz w:val="24"/>
          <w:szCs w:val="24"/>
          <w:lang w:val="es-ES"/>
        </w:rPr>
        <w:t>cuyos antecedentes se hunden en la década de 1990 pero se producen saltos cualitativos en su tratamiento a partir del año 2004</w:t>
      </w:r>
      <w:r w:rsidR="001002F2" w:rsidRPr="001002F2">
        <w:rPr>
          <w:rFonts w:ascii="Times New Roman" w:hAnsi="Times New Roman" w:cs="Times New Roman"/>
          <w:sz w:val="24"/>
          <w:szCs w:val="24"/>
          <w:lang w:val="es-ES"/>
        </w:rPr>
        <w:t xml:space="preserve"> (Declaración de Guadalajara, 2004; BID, 2006; CEPAL, 2007).</w:t>
      </w:r>
      <w:r w:rsidRPr="00DC1C23">
        <w:rPr>
          <w:rFonts w:ascii="Times New Roman" w:hAnsi="Times New Roman" w:cs="Times New Roman"/>
          <w:sz w:val="24"/>
          <w:szCs w:val="24"/>
          <w:lang w:val="es-ES"/>
        </w:rPr>
        <w:t xml:space="preserve"> </w:t>
      </w:r>
    </w:p>
    <w:p w:rsidR="00260D45" w:rsidRDefault="00260D45" w:rsidP="007A6BCA">
      <w:pPr>
        <w:pStyle w:val="western"/>
        <w:spacing w:before="0" w:beforeAutospacing="0" w:after="0" w:line="420" w:lineRule="atLeast"/>
        <w:ind w:firstLine="567"/>
        <w:jc w:val="both"/>
        <w:rPr>
          <w:rFonts w:ascii="Times New Roman" w:hAnsi="Times New Roman" w:cs="Times New Roman"/>
          <w:sz w:val="24"/>
          <w:szCs w:val="24"/>
          <w:lang w:val="es-ES"/>
        </w:rPr>
      </w:pPr>
    </w:p>
    <w:p w:rsidR="002C7472" w:rsidRPr="00596466" w:rsidRDefault="002C7472" w:rsidP="007A6BCA">
      <w:pPr>
        <w:pStyle w:val="western"/>
        <w:spacing w:before="0" w:beforeAutospacing="0" w:after="0" w:line="420" w:lineRule="atLeast"/>
        <w:ind w:firstLine="567"/>
        <w:jc w:val="both"/>
        <w:rPr>
          <w:rFonts w:ascii="Times New Roman" w:hAnsi="Times New Roman" w:cs="Times New Roman"/>
          <w:b/>
          <w:i/>
          <w:sz w:val="24"/>
          <w:szCs w:val="24"/>
          <w:lang w:val="es-ES"/>
        </w:rPr>
      </w:pPr>
      <w:proofErr w:type="gramStart"/>
      <w:r w:rsidRPr="00E463F6">
        <w:rPr>
          <w:rFonts w:ascii="Times New Roman" w:hAnsi="Times New Roman" w:cs="Times New Roman"/>
          <w:b/>
          <w:i/>
          <w:sz w:val="24"/>
          <w:szCs w:val="24"/>
          <w:lang w:val="es-ES"/>
        </w:rPr>
        <w:lastRenderedPageBreak/>
        <w:t>4.b</w:t>
      </w:r>
      <w:proofErr w:type="gramEnd"/>
      <w:r w:rsidRPr="00E463F6">
        <w:rPr>
          <w:rFonts w:ascii="Times New Roman" w:hAnsi="Times New Roman" w:cs="Times New Roman"/>
          <w:b/>
          <w:i/>
          <w:sz w:val="24"/>
          <w:szCs w:val="24"/>
          <w:lang w:val="es-ES"/>
        </w:rPr>
        <w:t xml:space="preserve">. </w:t>
      </w:r>
      <w:r w:rsidR="00596466" w:rsidRPr="00E463F6">
        <w:rPr>
          <w:rFonts w:ascii="Times New Roman" w:hAnsi="Times New Roman" w:cs="Times New Roman"/>
          <w:b/>
          <w:i/>
          <w:sz w:val="24"/>
          <w:szCs w:val="24"/>
          <w:lang w:val="es-ES"/>
        </w:rPr>
        <w:t>La transformación del sentido de las protecciones. La promoción de vidas autónomas</w:t>
      </w:r>
    </w:p>
    <w:p w:rsidR="00596466" w:rsidRDefault="00E463F6" w:rsidP="007A6BCA">
      <w:pPr>
        <w:pStyle w:val="western"/>
        <w:spacing w:before="0" w:beforeAutospacing="0" w:after="0" w:line="420" w:lineRule="atLeast"/>
        <w:ind w:firstLine="567"/>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Los diagnósticos acerca de la crisis social y las reformulaciones acerca de los modelos de desarrollo económico a impulsar, movilizaron la discusión </w:t>
      </w:r>
      <w:r w:rsidR="009910A1">
        <w:rPr>
          <w:rFonts w:ascii="Times New Roman" w:hAnsi="Times New Roman" w:cs="Times New Roman"/>
          <w:sz w:val="24"/>
          <w:szCs w:val="24"/>
          <w:lang w:val="es-ES"/>
        </w:rPr>
        <w:t>sobre las</w:t>
      </w:r>
      <w:r>
        <w:rPr>
          <w:rFonts w:ascii="Times New Roman" w:hAnsi="Times New Roman" w:cs="Times New Roman"/>
          <w:sz w:val="24"/>
          <w:szCs w:val="24"/>
          <w:lang w:val="es-ES"/>
        </w:rPr>
        <w:t xml:space="preserve"> formas político-institucionales</w:t>
      </w:r>
      <w:r w:rsidR="009910A1">
        <w:rPr>
          <w:rFonts w:ascii="Times New Roman" w:hAnsi="Times New Roman" w:cs="Times New Roman"/>
          <w:sz w:val="24"/>
          <w:szCs w:val="24"/>
          <w:lang w:val="es-ES"/>
        </w:rPr>
        <w:t xml:space="preserve"> a adoptar para canalizar</w:t>
      </w:r>
      <w:r>
        <w:rPr>
          <w:rFonts w:ascii="Times New Roman" w:hAnsi="Times New Roman" w:cs="Times New Roman"/>
          <w:sz w:val="24"/>
          <w:szCs w:val="24"/>
          <w:lang w:val="es-ES"/>
        </w:rPr>
        <w:t xml:space="preserve"> los objetivos sociales de mayor equidad e inclusión. Los debates en torno a las políticas evidencian profundos desplazamientos en los sentidos de la protección social, en tanto a</w:t>
      </w:r>
      <w:r w:rsidR="004366B3">
        <w:rPr>
          <w:rFonts w:ascii="Times New Roman" w:hAnsi="Times New Roman" w:cs="Times New Roman"/>
          <w:sz w:val="24"/>
          <w:szCs w:val="24"/>
          <w:lang w:val="es-ES"/>
        </w:rPr>
        <w:t>ctividad estatal (</w:t>
      </w:r>
      <w:proofErr w:type="spellStart"/>
      <w:r w:rsidR="004366B3">
        <w:rPr>
          <w:rFonts w:ascii="Times New Roman" w:hAnsi="Times New Roman" w:cs="Times New Roman"/>
          <w:sz w:val="24"/>
          <w:szCs w:val="24"/>
          <w:lang w:val="es-ES"/>
        </w:rPr>
        <w:t>Danani</w:t>
      </w:r>
      <w:proofErr w:type="spellEnd"/>
      <w:r w:rsidR="004366B3">
        <w:rPr>
          <w:rFonts w:ascii="Times New Roman" w:hAnsi="Times New Roman" w:cs="Times New Roman"/>
          <w:sz w:val="24"/>
          <w:szCs w:val="24"/>
          <w:lang w:val="es-ES"/>
        </w:rPr>
        <w:t>, 2016</w:t>
      </w:r>
      <w:r w:rsidR="008922E9">
        <w:rPr>
          <w:rFonts w:ascii="Times New Roman" w:hAnsi="Times New Roman" w:cs="Times New Roman"/>
          <w:sz w:val="24"/>
          <w:szCs w:val="24"/>
          <w:lang w:val="es-ES"/>
        </w:rPr>
        <w:t xml:space="preserve">). Ellos se vincularon con la relación establecida entre </w:t>
      </w:r>
      <w:r w:rsidR="008922E9" w:rsidRPr="00005131">
        <w:rPr>
          <w:rFonts w:ascii="Times New Roman" w:hAnsi="Times New Roman" w:cs="Times New Roman"/>
          <w:i/>
          <w:sz w:val="24"/>
          <w:szCs w:val="24"/>
          <w:lang w:val="es-ES"/>
        </w:rPr>
        <w:t>productividad y bienestar</w:t>
      </w:r>
      <w:r w:rsidR="008922E9">
        <w:rPr>
          <w:rFonts w:ascii="Times New Roman" w:hAnsi="Times New Roman" w:cs="Times New Roman"/>
          <w:sz w:val="24"/>
          <w:szCs w:val="24"/>
          <w:lang w:val="es-ES"/>
        </w:rPr>
        <w:t>.</w:t>
      </w:r>
    </w:p>
    <w:p w:rsidR="008922E9" w:rsidRDefault="008922E9" w:rsidP="007A6BCA">
      <w:pPr>
        <w:pStyle w:val="western"/>
        <w:spacing w:before="0" w:beforeAutospacing="0" w:after="0" w:line="420" w:lineRule="atLeast"/>
        <w:ind w:firstLine="567"/>
        <w:jc w:val="both"/>
        <w:rPr>
          <w:rFonts w:ascii="Times New Roman" w:hAnsi="Times New Roman" w:cs="Times New Roman"/>
          <w:sz w:val="24"/>
          <w:szCs w:val="24"/>
          <w:lang w:val="es-ES"/>
        </w:rPr>
      </w:pPr>
      <w:r>
        <w:rPr>
          <w:rFonts w:ascii="Times New Roman" w:hAnsi="Times New Roman" w:cs="Times New Roman"/>
          <w:sz w:val="24"/>
          <w:szCs w:val="24"/>
          <w:lang w:val="es-ES"/>
        </w:rPr>
        <w:t>El encadenamiento entre ambos términos presenta, al menos, dos facetas. En primer lugar, el incremento de la productividad del trabajo fue ubicado por las distintas AID como el medio más sólido y duradero para un incremento</w:t>
      </w:r>
      <w:r w:rsidR="00005131">
        <w:rPr>
          <w:rFonts w:ascii="Times New Roman" w:hAnsi="Times New Roman" w:cs="Times New Roman"/>
          <w:sz w:val="24"/>
          <w:szCs w:val="24"/>
          <w:lang w:val="es-ES"/>
        </w:rPr>
        <w:t xml:space="preserve"> sostenido</w:t>
      </w:r>
      <w:r>
        <w:rPr>
          <w:rFonts w:ascii="Times New Roman" w:hAnsi="Times New Roman" w:cs="Times New Roman"/>
          <w:sz w:val="24"/>
          <w:szCs w:val="24"/>
          <w:lang w:val="es-ES"/>
        </w:rPr>
        <w:t xml:space="preserve"> del bienestar. En este sentido, el BM desplegaba una polémica con el populismo, enfatizando que toda ampliación de</w:t>
      </w:r>
      <w:r w:rsidR="00005131">
        <w:rPr>
          <w:rFonts w:ascii="Times New Roman" w:hAnsi="Times New Roman" w:cs="Times New Roman"/>
          <w:sz w:val="24"/>
          <w:szCs w:val="24"/>
          <w:lang w:val="es-ES"/>
        </w:rPr>
        <w:t>l</w:t>
      </w:r>
      <w:r>
        <w:rPr>
          <w:rFonts w:ascii="Times New Roman" w:hAnsi="Times New Roman" w:cs="Times New Roman"/>
          <w:sz w:val="24"/>
          <w:szCs w:val="24"/>
          <w:lang w:val="es-ES"/>
        </w:rPr>
        <w:t xml:space="preserve"> bienestar debía estar en relación con un avance similar e</w:t>
      </w:r>
      <w:r w:rsidR="00005131">
        <w:rPr>
          <w:rFonts w:ascii="Times New Roman" w:hAnsi="Times New Roman" w:cs="Times New Roman"/>
          <w:sz w:val="24"/>
          <w:szCs w:val="24"/>
          <w:lang w:val="es-ES"/>
        </w:rPr>
        <w:t>n la productividad, a fin de que no se tratara de un proceso efímero y ficticio</w:t>
      </w:r>
      <w:r>
        <w:rPr>
          <w:rFonts w:ascii="Times New Roman" w:hAnsi="Times New Roman" w:cs="Times New Roman"/>
          <w:sz w:val="24"/>
          <w:szCs w:val="24"/>
          <w:lang w:val="es-ES"/>
        </w:rPr>
        <w:t xml:space="preserve">. </w:t>
      </w:r>
      <w:r w:rsidR="00005131">
        <w:rPr>
          <w:rFonts w:ascii="Times New Roman" w:hAnsi="Times New Roman" w:cs="Times New Roman"/>
          <w:sz w:val="24"/>
          <w:szCs w:val="24"/>
          <w:lang w:val="es-ES"/>
        </w:rPr>
        <w:t>Ello no significaba que se diera una secuencia temporal entre uno y otro.</w:t>
      </w:r>
      <w:r>
        <w:rPr>
          <w:rFonts w:ascii="Times New Roman" w:hAnsi="Times New Roman" w:cs="Times New Roman"/>
          <w:sz w:val="24"/>
          <w:szCs w:val="24"/>
          <w:lang w:val="es-ES"/>
        </w:rPr>
        <w:t xml:space="preserve"> Por el contrario, </w:t>
      </w:r>
      <w:r w:rsidR="00005131">
        <w:rPr>
          <w:rFonts w:ascii="Times New Roman" w:hAnsi="Times New Roman" w:cs="Times New Roman"/>
          <w:sz w:val="24"/>
          <w:szCs w:val="24"/>
          <w:lang w:val="es-ES"/>
        </w:rPr>
        <w:t xml:space="preserve">se argumentaba que </w:t>
      </w:r>
      <w:r>
        <w:rPr>
          <w:rFonts w:ascii="Times New Roman" w:hAnsi="Times New Roman" w:cs="Times New Roman"/>
          <w:sz w:val="24"/>
          <w:szCs w:val="24"/>
          <w:lang w:val="es-ES"/>
        </w:rPr>
        <w:t>las protecciones</w:t>
      </w:r>
      <w:r w:rsidR="00005131">
        <w:rPr>
          <w:rFonts w:ascii="Times New Roman" w:hAnsi="Times New Roman" w:cs="Times New Roman"/>
          <w:sz w:val="24"/>
          <w:szCs w:val="24"/>
          <w:lang w:val="es-ES"/>
        </w:rPr>
        <w:t xml:space="preserve"> sociales</w:t>
      </w:r>
      <w:r>
        <w:rPr>
          <w:rFonts w:ascii="Times New Roman" w:hAnsi="Times New Roman" w:cs="Times New Roman"/>
          <w:sz w:val="24"/>
          <w:szCs w:val="24"/>
          <w:lang w:val="es-ES"/>
        </w:rPr>
        <w:t xml:space="preserve"> podían desempeñar un rol positivo en el resguardo y aumento de la productividad. Es así que</w:t>
      </w:r>
      <w:r w:rsidR="00005131">
        <w:rPr>
          <w:rFonts w:ascii="Times New Roman" w:hAnsi="Times New Roman" w:cs="Times New Roman"/>
          <w:sz w:val="24"/>
          <w:szCs w:val="24"/>
          <w:lang w:val="es-ES"/>
        </w:rPr>
        <w:t xml:space="preserve"> dicha noción fue yuxtapuesta a la de</w:t>
      </w:r>
      <w:r>
        <w:rPr>
          <w:rFonts w:ascii="Times New Roman" w:hAnsi="Times New Roman" w:cs="Times New Roman"/>
          <w:sz w:val="24"/>
          <w:szCs w:val="24"/>
          <w:lang w:val="es-ES"/>
        </w:rPr>
        <w:t xml:space="preserve"> </w:t>
      </w:r>
      <w:r w:rsidR="00005131" w:rsidRPr="00005131">
        <w:rPr>
          <w:rFonts w:ascii="Times New Roman" w:hAnsi="Times New Roman" w:cs="Times New Roman"/>
          <w:i/>
          <w:sz w:val="24"/>
          <w:szCs w:val="24"/>
          <w:lang w:val="es-ES"/>
        </w:rPr>
        <w:t>inversión social</w:t>
      </w:r>
      <w:r>
        <w:rPr>
          <w:rFonts w:ascii="Times New Roman" w:hAnsi="Times New Roman" w:cs="Times New Roman"/>
          <w:sz w:val="24"/>
          <w:szCs w:val="24"/>
          <w:lang w:val="es-ES"/>
        </w:rPr>
        <w:t xml:space="preserve">. </w:t>
      </w:r>
      <w:r w:rsidR="00005131">
        <w:rPr>
          <w:rFonts w:ascii="Times New Roman" w:hAnsi="Times New Roman" w:cs="Times New Roman"/>
          <w:sz w:val="24"/>
          <w:szCs w:val="24"/>
          <w:lang w:val="es-ES"/>
        </w:rPr>
        <w:t xml:space="preserve">De este modo, se cristaliza la acepción económica que impregnó las reflexiones sobre la protección. </w:t>
      </w:r>
      <w:r>
        <w:rPr>
          <w:rFonts w:ascii="Times New Roman" w:hAnsi="Times New Roman" w:cs="Times New Roman"/>
          <w:sz w:val="24"/>
          <w:szCs w:val="24"/>
          <w:lang w:val="es-ES"/>
        </w:rPr>
        <w:t>Sin embargo,</w:t>
      </w:r>
      <w:r w:rsidR="00005131">
        <w:rPr>
          <w:rFonts w:ascii="Times New Roman" w:hAnsi="Times New Roman" w:cs="Times New Roman"/>
          <w:sz w:val="24"/>
          <w:szCs w:val="24"/>
          <w:lang w:val="es-ES"/>
        </w:rPr>
        <w:t xml:space="preserve"> la afirmación de su</w:t>
      </w:r>
      <w:r>
        <w:rPr>
          <w:rFonts w:ascii="Times New Roman" w:hAnsi="Times New Roman" w:cs="Times New Roman"/>
          <w:sz w:val="24"/>
          <w:szCs w:val="24"/>
          <w:lang w:val="es-ES"/>
        </w:rPr>
        <w:t xml:space="preserve"> rol positivo</w:t>
      </w:r>
      <w:r w:rsidR="00005131">
        <w:rPr>
          <w:rFonts w:ascii="Times New Roman" w:hAnsi="Times New Roman" w:cs="Times New Roman"/>
          <w:sz w:val="24"/>
          <w:szCs w:val="24"/>
          <w:lang w:val="es-ES"/>
        </w:rPr>
        <w:t xml:space="preserve"> potencial no era ingenua: su planificación debía asumir como problema e</w:t>
      </w:r>
      <w:r>
        <w:rPr>
          <w:rFonts w:ascii="Times New Roman" w:hAnsi="Times New Roman" w:cs="Times New Roman"/>
          <w:sz w:val="24"/>
          <w:szCs w:val="24"/>
          <w:lang w:val="es-ES"/>
        </w:rPr>
        <w:t>l riesgo de desincentiv</w:t>
      </w:r>
      <w:r w:rsidR="00005131">
        <w:rPr>
          <w:rFonts w:ascii="Times New Roman" w:hAnsi="Times New Roman" w:cs="Times New Roman"/>
          <w:sz w:val="24"/>
          <w:szCs w:val="24"/>
          <w:lang w:val="es-ES"/>
        </w:rPr>
        <w:t>ar e</w:t>
      </w:r>
      <w:r>
        <w:rPr>
          <w:rFonts w:ascii="Times New Roman" w:hAnsi="Times New Roman" w:cs="Times New Roman"/>
          <w:sz w:val="24"/>
          <w:szCs w:val="24"/>
          <w:lang w:val="es-ES"/>
        </w:rPr>
        <w:t>l trabajo</w:t>
      </w:r>
      <w:r w:rsidR="00005131">
        <w:rPr>
          <w:rFonts w:ascii="Times New Roman" w:hAnsi="Times New Roman" w:cs="Times New Roman"/>
          <w:sz w:val="24"/>
          <w:szCs w:val="24"/>
          <w:lang w:val="es-ES"/>
        </w:rPr>
        <w:t xml:space="preserve"> y la formalidad</w:t>
      </w:r>
      <w:r>
        <w:rPr>
          <w:rFonts w:ascii="Times New Roman" w:hAnsi="Times New Roman" w:cs="Times New Roman"/>
          <w:sz w:val="24"/>
          <w:szCs w:val="24"/>
          <w:lang w:val="es-ES"/>
        </w:rPr>
        <w:t xml:space="preserve">. La cuestión de los </w:t>
      </w:r>
      <w:r w:rsidRPr="00005131">
        <w:rPr>
          <w:rFonts w:ascii="Times New Roman" w:hAnsi="Times New Roman" w:cs="Times New Roman"/>
          <w:i/>
          <w:sz w:val="24"/>
          <w:szCs w:val="24"/>
          <w:lang w:val="es-ES"/>
        </w:rPr>
        <w:t>desincentivos</w:t>
      </w:r>
      <w:r>
        <w:rPr>
          <w:rFonts w:ascii="Times New Roman" w:hAnsi="Times New Roman" w:cs="Times New Roman"/>
          <w:sz w:val="24"/>
          <w:szCs w:val="24"/>
          <w:lang w:val="es-ES"/>
        </w:rPr>
        <w:t xml:space="preserve"> </w:t>
      </w:r>
      <w:r w:rsidR="00005131">
        <w:rPr>
          <w:rFonts w:ascii="Times New Roman" w:hAnsi="Times New Roman" w:cs="Times New Roman"/>
          <w:sz w:val="24"/>
          <w:szCs w:val="24"/>
          <w:lang w:val="es-ES"/>
        </w:rPr>
        <w:t xml:space="preserve">delimitaba un problema que abordaron todas las AID, aunque fue la CEPAL la que desplegó una polémica directa respecto de que en virtud de este “riesgo” se tendieran a reducir y minimizar las prestaciones y servicios públicos. </w:t>
      </w:r>
      <w:r>
        <w:rPr>
          <w:rFonts w:ascii="Times New Roman" w:hAnsi="Times New Roman" w:cs="Times New Roman"/>
          <w:sz w:val="24"/>
          <w:szCs w:val="24"/>
          <w:lang w:val="es-ES"/>
        </w:rPr>
        <w:t>Cabe destacar que</w:t>
      </w:r>
      <w:r w:rsidR="00005131">
        <w:rPr>
          <w:rFonts w:ascii="Times New Roman" w:hAnsi="Times New Roman" w:cs="Times New Roman"/>
          <w:sz w:val="24"/>
          <w:szCs w:val="24"/>
          <w:lang w:val="es-ES"/>
        </w:rPr>
        <w:t xml:space="preserve">, junto con la OIT, estos organismos </w:t>
      </w:r>
      <w:r>
        <w:rPr>
          <w:rFonts w:ascii="Times New Roman" w:hAnsi="Times New Roman" w:cs="Times New Roman"/>
          <w:sz w:val="24"/>
          <w:szCs w:val="24"/>
          <w:lang w:val="es-ES"/>
        </w:rPr>
        <w:t xml:space="preserve">recogían evidencia empírica </w:t>
      </w:r>
      <w:r w:rsidR="00005131">
        <w:rPr>
          <w:rFonts w:ascii="Times New Roman" w:hAnsi="Times New Roman" w:cs="Times New Roman"/>
          <w:sz w:val="24"/>
          <w:szCs w:val="24"/>
          <w:lang w:val="es-ES"/>
        </w:rPr>
        <w:t>para argumentar que no era posible demostrar concluyentemente una</w:t>
      </w:r>
      <w:r>
        <w:rPr>
          <w:rFonts w:ascii="Times New Roman" w:hAnsi="Times New Roman" w:cs="Times New Roman"/>
          <w:sz w:val="24"/>
          <w:szCs w:val="24"/>
          <w:lang w:val="es-ES"/>
        </w:rPr>
        <w:t xml:space="preserve"> relación </w:t>
      </w:r>
      <w:r w:rsidR="00005131">
        <w:rPr>
          <w:rFonts w:ascii="Times New Roman" w:hAnsi="Times New Roman" w:cs="Times New Roman"/>
          <w:sz w:val="24"/>
          <w:szCs w:val="24"/>
          <w:lang w:val="es-ES"/>
        </w:rPr>
        <w:t xml:space="preserve">positiva </w:t>
      </w:r>
      <w:r>
        <w:rPr>
          <w:rFonts w:ascii="Times New Roman" w:hAnsi="Times New Roman" w:cs="Times New Roman"/>
          <w:sz w:val="24"/>
          <w:szCs w:val="24"/>
          <w:lang w:val="es-ES"/>
        </w:rPr>
        <w:t>entre transfer</w:t>
      </w:r>
      <w:r w:rsidR="00005131">
        <w:rPr>
          <w:rFonts w:ascii="Times New Roman" w:hAnsi="Times New Roman" w:cs="Times New Roman"/>
          <w:sz w:val="24"/>
          <w:szCs w:val="24"/>
          <w:lang w:val="es-ES"/>
        </w:rPr>
        <w:t>encias monetarias e inactividad.</w:t>
      </w:r>
    </w:p>
    <w:p w:rsidR="00E0156A" w:rsidRDefault="00625D87" w:rsidP="007A6BCA">
      <w:pPr>
        <w:pStyle w:val="western"/>
        <w:spacing w:before="0" w:beforeAutospacing="0" w:after="0" w:line="420" w:lineRule="atLeast"/>
        <w:ind w:firstLine="567"/>
        <w:jc w:val="both"/>
        <w:rPr>
          <w:rFonts w:ascii="Times New Roman" w:hAnsi="Times New Roman" w:cs="Times New Roman"/>
          <w:sz w:val="24"/>
          <w:szCs w:val="24"/>
          <w:lang w:val="es-ES"/>
        </w:rPr>
      </w:pPr>
      <w:r>
        <w:rPr>
          <w:rFonts w:ascii="Times New Roman" w:hAnsi="Times New Roman" w:cs="Times New Roman"/>
          <w:sz w:val="24"/>
          <w:szCs w:val="24"/>
          <w:lang w:val="es-ES"/>
        </w:rPr>
        <w:t>Una segunda arista del encadenamiento entre productividad y bienestar consiste en los principios de justicia que lo sostenía</w:t>
      </w:r>
      <w:r w:rsidR="00F5677D">
        <w:rPr>
          <w:rFonts w:ascii="Times New Roman" w:hAnsi="Times New Roman" w:cs="Times New Roman"/>
          <w:sz w:val="24"/>
          <w:szCs w:val="24"/>
          <w:lang w:val="es-ES"/>
        </w:rPr>
        <w:t xml:space="preserve"> y que complementaba la argumentación propiamente económica. Los documentos nos muestran una reflexión ética, dominada -no sin discusiones- </w:t>
      </w:r>
      <w:r w:rsidR="00B502FE">
        <w:rPr>
          <w:rFonts w:ascii="Times New Roman" w:hAnsi="Times New Roman" w:cs="Times New Roman"/>
          <w:sz w:val="24"/>
          <w:szCs w:val="24"/>
          <w:lang w:val="es-ES"/>
        </w:rPr>
        <w:t>por el paradigma de la igualdad de oportunidades</w:t>
      </w:r>
      <w:r w:rsidR="00F5677D">
        <w:rPr>
          <w:rFonts w:ascii="Times New Roman" w:hAnsi="Times New Roman" w:cs="Times New Roman"/>
          <w:sz w:val="24"/>
          <w:szCs w:val="24"/>
          <w:lang w:val="es-ES"/>
        </w:rPr>
        <w:t>. Éste</w:t>
      </w:r>
      <w:r w:rsidR="00B502FE">
        <w:rPr>
          <w:rFonts w:ascii="Times New Roman" w:hAnsi="Times New Roman" w:cs="Times New Roman"/>
          <w:sz w:val="24"/>
          <w:szCs w:val="24"/>
          <w:lang w:val="es-ES"/>
        </w:rPr>
        <w:t xml:space="preserve"> conectaba con ciertos sentidos del trabajo como clivaje </w:t>
      </w:r>
      <w:proofErr w:type="spellStart"/>
      <w:r w:rsidR="00B502FE">
        <w:rPr>
          <w:rFonts w:ascii="Times New Roman" w:hAnsi="Times New Roman" w:cs="Times New Roman"/>
          <w:sz w:val="24"/>
          <w:szCs w:val="24"/>
          <w:lang w:val="es-ES"/>
        </w:rPr>
        <w:t>identitario</w:t>
      </w:r>
      <w:proofErr w:type="spellEnd"/>
      <w:r w:rsidR="00B502FE">
        <w:rPr>
          <w:rFonts w:ascii="Times New Roman" w:hAnsi="Times New Roman" w:cs="Times New Roman"/>
          <w:sz w:val="24"/>
          <w:szCs w:val="24"/>
          <w:lang w:val="es-ES"/>
        </w:rPr>
        <w:t xml:space="preserve"> y vector de integración. </w:t>
      </w:r>
    </w:p>
    <w:p w:rsidR="00E0156A" w:rsidRDefault="00E0156A" w:rsidP="007A6BCA">
      <w:pPr>
        <w:pStyle w:val="western"/>
        <w:spacing w:before="0" w:beforeAutospacing="0" w:after="0" w:line="420" w:lineRule="atLeast"/>
        <w:ind w:firstLine="567"/>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Los diagnósticos sociales producidos desde fines de los años noventa ejercieron una </w:t>
      </w:r>
      <w:proofErr w:type="spellStart"/>
      <w:r>
        <w:rPr>
          <w:rFonts w:ascii="Times New Roman" w:hAnsi="Times New Roman" w:cs="Times New Roman"/>
          <w:sz w:val="24"/>
          <w:szCs w:val="24"/>
          <w:lang w:val="es-ES"/>
        </w:rPr>
        <w:t>reconceptualización</w:t>
      </w:r>
      <w:proofErr w:type="spellEnd"/>
      <w:r>
        <w:rPr>
          <w:rFonts w:ascii="Times New Roman" w:hAnsi="Times New Roman" w:cs="Times New Roman"/>
          <w:sz w:val="24"/>
          <w:szCs w:val="24"/>
          <w:lang w:val="es-ES"/>
        </w:rPr>
        <w:t xml:space="preserve"> de la pobreza. Ellos ponían de manifiesto que la definición clásica, en su énfasis en los déficits de ingresos, desatendía dimensiones relevantes para analizar su </w:t>
      </w:r>
      <w:r>
        <w:rPr>
          <w:rFonts w:ascii="Times New Roman" w:hAnsi="Times New Roman" w:cs="Times New Roman"/>
          <w:sz w:val="24"/>
          <w:szCs w:val="24"/>
          <w:lang w:val="es-ES"/>
        </w:rPr>
        <w:lastRenderedPageBreak/>
        <w:t xml:space="preserve">reproducción en el tiempo, así como las dimensiones subjetivas que acompañaban la carencia de ingresos. La pobreza significaba situaciones de </w:t>
      </w:r>
      <w:proofErr w:type="spellStart"/>
      <w:r>
        <w:rPr>
          <w:rFonts w:ascii="Times New Roman" w:hAnsi="Times New Roman" w:cs="Times New Roman"/>
          <w:sz w:val="24"/>
          <w:szCs w:val="24"/>
          <w:lang w:val="es-ES"/>
        </w:rPr>
        <w:t>subpertenencia</w:t>
      </w:r>
      <w:proofErr w:type="spellEnd"/>
      <w:r>
        <w:rPr>
          <w:rFonts w:ascii="Times New Roman" w:hAnsi="Times New Roman" w:cs="Times New Roman"/>
          <w:sz w:val="24"/>
          <w:szCs w:val="24"/>
          <w:lang w:val="es-ES"/>
        </w:rPr>
        <w:t>: para el BM respecto de la economía de mercado, por lo cual ella se asociaba a la vulnerabilidad y la dependencia</w:t>
      </w:r>
      <w:r w:rsidR="00F45323">
        <w:rPr>
          <w:rFonts w:ascii="Times New Roman" w:hAnsi="Times New Roman" w:cs="Times New Roman"/>
          <w:sz w:val="24"/>
          <w:szCs w:val="24"/>
          <w:lang w:val="es-ES"/>
        </w:rPr>
        <w:t xml:space="preserve"> (BM, 2001, 2002b, 2005)</w:t>
      </w:r>
      <w:r>
        <w:rPr>
          <w:rFonts w:ascii="Times New Roman" w:hAnsi="Times New Roman" w:cs="Times New Roman"/>
          <w:sz w:val="24"/>
          <w:szCs w:val="24"/>
          <w:lang w:val="es-ES"/>
        </w:rPr>
        <w:t xml:space="preserve">; para </w:t>
      </w:r>
      <w:r w:rsidR="00B53C29">
        <w:rPr>
          <w:rFonts w:ascii="Times New Roman" w:hAnsi="Times New Roman" w:cs="Times New Roman"/>
          <w:sz w:val="24"/>
          <w:szCs w:val="24"/>
          <w:lang w:val="es-ES"/>
        </w:rPr>
        <w:t xml:space="preserve">la CEPAL </w:t>
      </w:r>
      <w:r>
        <w:rPr>
          <w:rFonts w:ascii="Times New Roman" w:hAnsi="Times New Roman" w:cs="Times New Roman"/>
          <w:sz w:val="24"/>
          <w:szCs w:val="24"/>
          <w:lang w:val="es-ES"/>
        </w:rPr>
        <w:t xml:space="preserve">respecto de las instituciones </w:t>
      </w:r>
      <w:r w:rsidR="00B53C29">
        <w:rPr>
          <w:rFonts w:ascii="Times New Roman" w:hAnsi="Times New Roman" w:cs="Times New Roman"/>
          <w:sz w:val="24"/>
          <w:szCs w:val="24"/>
          <w:lang w:val="es-ES"/>
        </w:rPr>
        <w:t>democrática</w:t>
      </w:r>
      <w:r>
        <w:rPr>
          <w:rFonts w:ascii="Times New Roman" w:hAnsi="Times New Roman" w:cs="Times New Roman"/>
          <w:sz w:val="24"/>
          <w:szCs w:val="24"/>
          <w:lang w:val="es-ES"/>
        </w:rPr>
        <w:t>s, al expresar déficits en la ciudadanía sustantiva</w:t>
      </w:r>
      <w:r w:rsidR="00F45323">
        <w:rPr>
          <w:rFonts w:ascii="Times New Roman" w:hAnsi="Times New Roman" w:cs="Times New Roman"/>
          <w:sz w:val="24"/>
          <w:szCs w:val="24"/>
          <w:lang w:val="es-ES"/>
        </w:rPr>
        <w:t xml:space="preserve"> (CEPAL, 2006, 2007)</w:t>
      </w:r>
      <w:r w:rsidR="00B53C29">
        <w:rPr>
          <w:rFonts w:ascii="Times New Roman" w:hAnsi="Times New Roman" w:cs="Times New Roman"/>
          <w:sz w:val="24"/>
          <w:szCs w:val="24"/>
          <w:lang w:val="es-ES"/>
        </w:rPr>
        <w:t xml:space="preserve">. </w:t>
      </w:r>
      <w:r>
        <w:rPr>
          <w:rFonts w:ascii="Times New Roman" w:hAnsi="Times New Roman" w:cs="Times New Roman"/>
          <w:sz w:val="24"/>
          <w:szCs w:val="24"/>
          <w:lang w:val="es-ES"/>
        </w:rPr>
        <w:t>L</w:t>
      </w:r>
      <w:r w:rsidR="00296BDF">
        <w:rPr>
          <w:rFonts w:ascii="Times New Roman" w:hAnsi="Times New Roman" w:cs="Times New Roman"/>
          <w:sz w:val="24"/>
          <w:szCs w:val="24"/>
          <w:lang w:val="es-ES"/>
        </w:rPr>
        <w:t>a ampliación de las oportunidades de participación económica y en las instituciones emergía, así, como eje de las intervenciones estatales sobre dos cuestiones centrales: la estabilid</w:t>
      </w:r>
      <w:r w:rsidR="00F45323">
        <w:rPr>
          <w:rFonts w:ascii="Times New Roman" w:hAnsi="Times New Roman" w:cs="Times New Roman"/>
          <w:sz w:val="24"/>
          <w:szCs w:val="24"/>
          <w:lang w:val="es-ES"/>
        </w:rPr>
        <w:t>ad política y la productividad.</w:t>
      </w:r>
    </w:p>
    <w:p w:rsidR="00B53C29" w:rsidRDefault="00F45323" w:rsidP="007A6BCA">
      <w:pPr>
        <w:pStyle w:val="western"/>
        <w:spacing w:before="0" w:beforeAutospacing="0" w:after="0" w:line="420" w:lineRule="atLeast"/>
        <w:ind w:firstLine="567"/>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La ampliación de las </w:t>
      </w:r>
      <w:r w:rsidRPr="00F45323">
        <w:rPr>
          <w:rFonts w:ascii="Times New Roman" w:hAnsi="Times New Roman" w:cs="Times New Roman"/>
          <w:sz w:val="24"/>
          <w:szCs w:val="24"/>
          <w:lang w:val="es-ES"/>
        </w:rPr>
        <w:t>oportunidades c</w:t>
      </w:r>
      <w:r w:rsidR="00296BDF" w:rsidRPr="00F45323">
        <w:rPr>
          <w:rFonts w:ascii="Times New Roman" w:hAnsi="Times New Roman" w:cs="Times New Roman"/>
          <w:sz w:val="24"/>
          <w:szCs w:val="24"/>
          <w:lang w:val="es-ES"/>
        </w:rPr>
        <w:t xml:space="preserve">onstituía </w:t>
      </w:r>
      <w:r w:rsidRPr="00F45323">
        <w:rPr>
          <w:rFonts w:ascii="Times New Roman" w:hAnsi="Times New Roman" w:cs="Times New Roman"/>
          <w:sz w:val="24"/>
          <w:szCs w:val="24"/>
          <w:lang w:val="es-ES"/>
        </w:rPr>
        <w:t>la</w:t>
      </w:r>
      <w:r w:rsidR="00296BDF" w:rsidRPr="00F45323">
        <w:rPr>
          <w:rFonts w:ascii="Times New Roman" w:hAnsi="Times New Roman" w:cs="Times New Roman"/>
          <w:sz w:val="24"/>
          <w:szCs w:val="24"/>
          <w:lang w:val="es-ES"/>
        </w:rPr>
        <w:t xml:space="preserve"> vía </w:t>
      </w:r>
      <w:r w:rsidRPr="00F45323">
        <w:rPr>
          <w:rFonts w:ascii="Times New Roman" w:hAnsi="Times New Roman" w:cs="Times New Roman"/>
          <w:sz w:val="24"/>
          <w:szCs w:val="24"/>
          <w:lang w:val="es-ES"/>
        </w:rPr>
        <w:t>más sólida y</w:t>
      </w:r>
      <w:r w:rsidR="00296BDF" w:rsidRPr="00F45323">
        <w:rPr>
          <w:rFonts w:ascii="Times New Roman" w:hAnsi="Times New Roman" w:cs="Times New Roman"/>
          <w:sz w:val="24"/>
          <w:szCs w:val="24"/>
          <w:lang w:val="es-ES"/>
        </w:rPr>
        <w:t xml:space="preserve"> duradera,</w:t>
      </w:r>
      <w:r w:rsidRPr="00F45323">
        <w:rPr>
          <w:rFonts w:ascii="Times New Roman" w:hAnsi="Times New Roman" w:cs="Times New Roman"/>
          <w:sz w:val="24"/>
          <w:szCs w:val="24"/>
          <w:lang w:val="es-ES"/>
        </w:rPr>
        <w:t xml:space="preserve"> pues enlazaba el </w:t>
      </w:r>
      <w:r w:rsidR="00296BDF" w:rsidRPr="00F45323">
        <w:rPr>
          <w:rFonts w:ascii="Times New Roman" w:hAnsi="Times New Roman" w:cs="Times New Roman"/>
          <w:sz w:val="24"/>
          <w:szCs w:val="24"/>
          <w:lang w:val="es-ES"/>
        </w:rPr>
        <w:t>desarrollo social co</w:t>
      </w:r>
      <w:r w:rsidRPr="00F45323">
        <w:rPr>
          <w:rFonts w:ascii="Times New Roman" w:hAnsi="Times New Roman" w:cs="Times New Roman"/>
          <w:sz w:val="24"/>
          <w:szCs w:val="24"/>
          <w:lang w:val="es-ES"/>
        </w:rPr>
        <w:t>n</w:t>
      </w:r>
      <w:r w:rsidR="00296BDF" w:rsidRPr="00F45323">
        <w:rPr>
          <w:rFonts w:ascii="Times New Roman" w:hAnsi="Times New Roman" w:cs="Times New Roman"/>
          <w:sz w:val="24"/>
          <w:szCs w:val="24"/>
          <w:lang w:val="es-ES"/>
        </w:rPr>
        <w:t xml:space="preserve"> el económico</w:t>
      </w:r>
      <w:r w:rsidR="00296BDF">
        <w:rPr>
          <w:rFonts w:ascii="Times New Roman" w:hAnsi="Times New Roman" w:cs="Times New Roman"/>
          <w:sz w:val="24"/>
          <w:szCs w:val="24"/>
          <w:lang w:val="es-ES"/>
        </w:rPr>
        <w:t xml:space="preserve">, al mismo tiempo que pretendía restablecer un principio de justicia dañado en las sociedades latinoamericanas: la recompensa por los </w:t>
      </w:r>
      <w:r>
        <w:rPr>
          <w:rFonts w:ascii="Times New Roman" w:hAnsi="Times New Roman" w:cs="Times New Roman"/>
          <w:sz w:val="24"/>
          <w:szCs w:val="24"/>
          <w:lang w:val="es-ES"/>
        </w:rPr>
        <w:t>esfuerzos</w:t>
      </w:r>
      <w:r w:rsidR="00296BDF">
        <w:rPr>
          <w:rFonts w:ascii="Times New Roman" w:hAnsi="Times New Roman" w:cs="Times New Roman"/>
          <w:sz w:val="24"/>
          <w:szCs w:val="24"/>
          <w:lang w:val="es-ES"/>
        </w:rPr>
        <w:t xml:space="preserve">, desplazada como criterio de distribución ante las capturas particularistas del Estado y los corporativismos. </w:t>
      </w:r>
      <w:r>
        <w:rPr>
          <w:rFonts w:ascii="Times New Roman" w:hAnsi="Times New Roman" w:cs="Times New Roman"/>
          <w:sz w:val="24"/>
          <w:szCs w:val="24"/>
          <w:lang w:val="es-ES"/>
        </w:rPr>
        <w:t xml:space="preserve">Del mismo modo se argumentaba respecto del empleo: éste constituía no solo un clivaje </w:t>
      </w:r>
      <w:proofErr w:type="spellStart"/>
      <w:r>
        <w:rPr>
          <w:rFonts w:ascii="Times New Roman" w:hAnsi="Times New Roman" w:cs="Times New Roman"/>
          <w:sz w:val="24"/>
          <w:szCs w:val="24"/>
          <w:lang w:val="es-ES"/>
        </w:rPr>
        <w:t>identitario</w:t>
      </w:r>
      <w:proofErr w:type="spellEnd"/>
      <w:r>
        <w:rPr>
          <w:rFonts w:ascii="Times New Roman" w:hAnsi="Times New Roman" w:cs="Times New Roman"/>
          <w:sz w:val="24"/>
          <w:szCs w:val="24"/>
          <w:lang w:val="es-ES"/>
        </w:rPr>
        <w:t xml:space="preserve">, sino el medio más sólido para el crecimiento individual y colectivo. </w:t>
      </w:r>
      <w:r w:rsidR="00296BDF">
        <w:rPr>
          <w:rFonts w:ascii="Times New Roman" w:hAnsi="Times New Roman" w:cs="Times New Roman"/>
          <w:sz w:val="24"/>
          <w:szCs w:val="24"/>
          <w:lang w:val="es-ES"/>
        </w:rPr>
        <w:t>En este sentido, las intervenciones sociales del Estado estaban dirigidas a expandir las oportunidades y maximizarlas, promoviendo una actitud proactiva de los sujetos para asumir mayores riesgos, los que generarían mayores réditos</w:t>
      </w:r>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Holzman</w:t>
      </w:r>
      <w:proofErr w:type="spellEnd"/>
      <w:r>
        <w:rPr>
          <w:rFonts w:ascii="Times New Roman" w:hAnsi="Times New Roman" w:cs="Times New Roman"/>
          <w:sz w:val="24"/>
          <w:szCs w:val="24"/>
          <w:lang w:val="es-ES"/>
        </w:rPr>
        <w:t xml:space="preserve"> y </w:t>
      </w:r>
      <w:proofErr w:type="spellStart"/>
      <w:r>
        <w:rPr>
          <w:rFonts w:ascii="Times New Roman" w:hAnsi="Times New Roman" w:cs="Times New Roman"/>
          <w:sz w:val="24"/>
          <w:szCs w:val="24"/>
          <w:lang w:val="es-ES"/>
        </w:rPr>
        <w:t>Jorgensen</w:t>
      </w:r>
      <w:proofErr w:type="spellEnd"/>
      <w:r>
        <w:rPr>
          <w:rFonts w:ascii="Times New Roman" w:hAnsi="Times New Roman" w:cs="Times New Roman"/>
          <w:sz w:val="24"/>
          <w:szCs w:val="24"/>
          <w:lang w:val="es-ES"/>
        </w:rPr>
        <w:t>, 2000; BM, 2014)</w:t>
      </w:r>
      <w:r w:rsidR="00296BDF">
        <w:rPr>
          <w:rFonts w:ascii="Times New Roman" w:hAnsi="Times New Roman" w:cs="Times New Roman"/>
          <w:sz w:val="24"/>
          <w:szCs w:val="24"/>
          <w:lang w:val="es-ES"/>
        </w:rPr>
        <w:t xml:space="preserve">. El antónimo de la pobreza no era la riqueza, según las nuevas definiciones en ciernes, sino la autonomía y una trayectoria ascendente de éxito. Entonces, las protecciones ya no se asentaron en su sentido clásico de aseguramiento y de conjura de los riesgos, sino que fueron </w:t>
      </w:r>
      <w:proofErr w:type="spellStart"/>
      <w:r w:rsidR="00296BDF">
        <w:rPr>
          <w:rFonts w:ascii="Times New Roman" w:hAnsi="Times New Roman" w:cs="Times New Roman"/>
          <w:sz w:val="24"/>
          <w:szCs w:val="24"/>
          <w:lang w:val="es-ES"/>
        </w:rPr>
        <w:t>resemantizadas</w:t>
      </w:r>
      <w:proofErr w:type="spellEnd"/>
      <w:r w:rsidR="00296BDF">
        <w:rPr>
          <w:rFonts w:ascii="Times New Roman" w:hAnsi="Times New Roman" w:cs="Times New Roman"/>
          <w:sz w:val="24"/>
          <w:szCs w:val="24"/>
          <w:lang w:val="es-ES"/>
        </w:rPr>
        <w:t xml:space="preserve"> desde el léxico de la inve</w:t>
      </w:r>
      <w:r>
        <w:rPr>
          <w:rFonts w:ascii="Times New Roman" w:hAnsi="Times New Roman" w:cs="Times New Roman"/>
          <w:sz w:val="24"/>
          <w:szCs w:val="24"/>
          <w:lang w:val="es-ES"/>
        </w:rPr>
        <w:t>rsión, como imperativo para los Estados, las unidades económicas y los sujetos.</w:t>
      </w:r>
    </w:p>
    <w:p w:rsidR="00B502FE" w:rsidRDefault="00296BDF" w:rsidP="007A6BCA">
      <w:pPr>
        <w:pStyle w:val="western"/>
        <w:spacing w:before="0" w:beforeAutospacing="0" w:after="0" w:line="420" w:lineRule="atLeast"/>
        <w:ind w:firstLine="567"/>
        <w:jc w:val="both"/>
        <w:rPr>
          <w:rFonts w:ascii="Times New Roman" w:hAnsi="Times New Roman" w:cs="Times New Roman"/>
          <w:sz w:val="24"/>
          <w:szCs w:val="24"/>
          <w:lang w:val="es-ES"/>
        </w:rPr>
      </w:pPr>
      <w:r>
        <w:rPr>
          <w:rFonts w:ascii="Times New Roman" w:hAnsi="Times New Roman" w:cs="Times New Roman"/>
          <w:sz w:val="24"/>
          <w:szCs w:val="24"/>
          <w:lang w:val="es-ES"/>
        </w:rPr>
        <w:t>En este punto se desarrolló un debate importante, que podríamos sintetizar con el contrapunto: incentivos/garan</w:t>
      </w:r>
      <w:r w:rsidR="00932B95">
        <w:rPr>
          <w:rFonts w:ascii="Times New Roman" w:hAnsi="Times New Roman" w:cs="Times New Roman"/>
          <w:sz w:val="24"/>
          <w:szCs w:val="24"/>
          <w:lang w:val="es-ES"/>
        </w:rPr>
        <w:t>tías; oportunidades/resultados. Mientras que las reflexiones del BM y el BID sobre la pobreza y la informalidad estaban centradas en el problema de los “incentivos” que las políticas podían generar para mayores inversiones en activos, apelando al viraje hacia un paradigma de igualdad de oportunidades, la OIT y la CEPAL destacaban a su vez el rol estatal en el establecimiento de ciertas garantías elementales en cuanto a derechos laborales como sociales.</w:t>
      </w:r>
      <w:r w:rsidR="00F45323">
        <w:rPr>
          <w:rFonts w:ascii="Times New Roman" w:hAnsi="Times New Roman" w:cs="Times New Roman"/>
          <w:sz w:val="24"/>
          <w:szCs w:val="24"/>
          <w:lang w:val="es-ES"/>
        </w:rPr>
        <w:t xml:space="preserve"> La idea de garantías estatales se vinculaba al paradigma de la </w:t>
      </w:r>
      <w:r w:rsidR="00932B95">
        <w:rPr>
          <w:rFonts w:ascii="Times New Roman" w:hAnsi="Times New Roman" w:cs="Times New Roman"/>
          <w:sz w:val="24"/>
          <w:szCs w:val="24"/>
          <w:lang w:val="es-ES"/>
        </w:rPr>
        <w:t>igualdad de resultados,</w:t>
      </w:r>
      <w:r w:rsidR="00F45323">
        <w:rPr>
          <w:rFonts w:ascii="Times New Roman" w:hAnsi="Times New Roman" w:cs="Times New Roman"/>
          <w:sz w:val="24"/>
          <w:szCs w:val="24"/>
          <w:lang w:val="es-ES"/>
        </w:rPr>
        <w:t xml:space="preserve"> que debía complementarse a la de oportunidades: </w:t>
      </w:r>
      <w:r w:rsidR="00932B95">
        <w:rPr>
          <w:rFonts w:ascii="Times New Roman" w:hAnsi="Times New Roman" w:cs="Times New Roman"/>
          <w:sz w:val="24"/>
          <w:szCs w:val="24"/>
          <w:lang w:val="es-ES"/>
        </w:rPr>
        <w:t xml:space="preserve">aún interviniendo en las desigualdades iniciales, intervenían factores </w:t>
      </w:r>
      <w:proofErr w:type="spellStart"/>
      <w:r w:rsidR="00932B95">
        <w:rPr>
          <w:rFonts w:ascii="Times New Roman" w:hAnsi="Times New Roman" w:cs="Times New Roman"/>
          <w:sz w:val="24"/>
          <w:szCs w:val="24"/>
          <w:lang w:val="es-ES"/>
        </w:rPr>
        <w:t>adscriptivos</w:t>
      </w:r>
      <w:proofErr w:type="spellEnd"/>
      <w:r w:rsidR="00932B95">
        <w:rPr>
          <w:rFonts w:ascii="Times New Roman" w:hAnsi="Times New Roman" w:cs="Times New Roman"/>
          <w:sz w:val="24"/>
          <w:szCs w:val="24"/>
          <w:lang w:val="es-ES"/>
        </w:rPr>
        <w:t xml:space="preserve"> en las trayectorias que hacían que la igualdad de oportunidades fuese virtual sin ciertas garantías del Estado. En los documentos de la CEPAL esta polémica alcanza su máximo espesor, pues se cuestionaban de forma explícita aquellas posiciones únicamente ancladas en la recompensa del mérito. Sin embargo, </w:t>
      </w:r>
      <w:r w:rsidR="00932B95">
        <w:rPr>
          <w:rFonts w:ascii="Times New Roman" w:hAnsi="Times New Roman" w:cs="Times New Roman"/>
          <w:sz w:val="24"/>
          <w:szCs w:val="24"/>
          <w:lang w:val="es-ES"/>
        </w:rPr>
        <w:lastRenderedPageBreak/>
        <w:t xml:space="preserve">es interesante poner de relieve </w:t>
      </w:r>
      <w:r w:rsidR="00F45323">
        <w:rPr>
          <w:rFonts w:ascii="Times New Roman" w:hAnsi="Times New Roman" w:cs="Times New Roman"/>
          <w:sz w:val="24"/>
          <w:szCs w:val="24"/>
          <w:lang w:val="es-ES"/>
        </w:rPr>
        <w:t xml:space="preserve">la </w:t>
      </w:r>
      <w:proofErr w:type="spellStart"/>
      <w:r w:rsidR="00F45323">
        <w:rPr>
          <w:rFonts w:ascii="Times New Roman" w:hAnsi="Times New Roman" w:cs="Times New Roman"/>
          <w:sz w:val="24"/>
          <w:szCs w:val="24"/>
          <w:lang w:val="es-ES"/>
        </w:rPr>
        <w:t>transversalidad</w:t>
      </w:r>
      <w:proofErr w:type="spellEnd"/>
      <w:r w:rsidR="00F45323">
        <w:rPr>
          <w:rFonts w:ascii="Times New Roman" w:hAnsi="Times New Roman" w:cs="Times New Roman"/>
          <w:sz w:val="24"/>
          <w:szCs w:val="24"/>
          <w:lang w:val="es-ES"/>
        </w:rPr>
        <w:t xml:space="preserve"> que asume la perspectiva de la igualdad de oportunidades, que es la que finalmente tiñe la noción misma de igualdad que predomina en los documentos. Ésta, como la equidad, </w:t>
      </w:r>
      <w:r w:rsidR="00097B67">
        <w:rPr>
          <w:rFonts w:ascii="Times New Roman" w:hAnsi="Times New Roman" w:cs="Times New Roman"/>
          <w:sz w:val="24"/>
          <w:szCs w:val="24"/>
          <w:lang w:val="es-ES"/>
        </w:rPr>
        <w:t>ya no estaría</w:t>
      </w:r>
      <w:r w:rsidR="00F45323">
        <w:rPr>
          <w:rFonts w:ascii="Times New Roman" w:hAnsi="Times New Roman" w:cs="Times New Roman"/>
          <w:sz w:val="24"/>
          <w:szCs w:val="24"/>
          <w:lang w:val="es-ES"/>
        </w:rPr>
        <w:t xml:space="preserve"> contrapuesta</w:t>
      </w:r>
      <w:r w:rsidR="00097B67">
        <w:rPr>
          <w:rFonts w:ascii="Times New Roman" w:hAnsi="Times New Roman" w:cs="Times New Roman"/>
          <w:sz w:val="24"/>
          <w:szCs w:val="24"/>
          <w:lang w:val="es-ES"/>
        </w:rPr>
        <w:t xml:space="preserve"> con la desigualdad, si es que ésta era un justo resultado de las inversiones de los individuos o, en planteos más “</w:t>
      </w:r>
      <w:proofErr w:type="spellStart"/>
      <w:r w:rsidR="00097B67">
        <w:rPr>
          <w:rFonts w:ascii="Times New Roman" w:hAnsi="Times New Roman" w:cs="Times New Roman"/>
          <w:sz w:val="24"/>
          <w:szCs w:val="24"/>
          <w:lang w:val="es-ES"/>
        </w:rPr>
        <w:t>distributivistas</w:t>
      </w:r>
      <w:proofErr w:type="spellEnd"/>
      <w:r w:rsidR="00097B67">
        <w:rPr>
          <w:rFonts w:ascii="Times New Roman" w:hAnsi="Times New Roman" w:cs="Times New Roman"/>
          <w:sz w:val="24"/>
          <w:szCs w:val="24"/>
          <w:lang w:val="es-ES"/>
        </w:rPr>
        <w:t xml:space="preserve">”, si éstas asumían un nivel éticamente tolerable para la sociedad. </w:t>
      </w:r>
    </w:p>
    <w:p w:rsidR="00BE0B25" w:rsidRDefault="003349AA" w:rsidP="007A6BCA">
      <w:pPr>
        <w:pStyle w:val="western"/>
        <w:spacing w:before="0" w:beforeAutospacing="0" w:after="0" w:line="420" w:lineRule="atLeast"/>
        <w:ind w:firstLine="567"/>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La redefinición de los problemas sociales a los que hacer frente </w:t>
      </w:r>
      <w:proofErr w:type="gramStart"/>
      <w:r>
        <w:rPr>
          <w:rFonts w:ascii="Times New Roman" w:hAnsi="Times New Roman" w:cs="Times New Roman"/>
          <w:sz w:val="24"/>
          <w:szCs w:val="24"/>
          <w:lang w:val="es-ES"/>
        </w:rPr>
        <w:t>pujaban</w:t>
      </w:r>
      <w:proofErr w:type="gramEnd"/>
      <w:r>
        <w:rPr>
          <w:rFonts w:ascii="Times New Roman" w:hAnsi="Times New Roman" w:cs="Times New Roman"/>
          <w:sz w:val="24"/>
          <w:szCs w:val="24"/>
          <w:lang w:val="es-ES"/>
        </w:rPr>
        <w:t xml:space="preserve"> por la “actualización” de</w:t>
      </w:r>
      <w:r w:rsidR="00BE0B25">
        <w:rPr>
          <w:rFonts w:ascii="Times New Roman" w:hAnsi="Times New Roman" w:cs="Times New Roman"/>
          <w:sz w:val="24"/>
          <w:szCs w:val="24"/>
          <w:lang w:val="es-ES"/>
        </w:rPr>
        <w:t xml:space="preserve"> los sistemas tradicionales de seguridad social. En esta necesidad de </w:t>
      </w:r>
      <w:proofErr w:type="spellStart"/>
      <w:r w:rsidR="00BE0B25" w:rsidRPr="00BE0B25">
        <w:rPr>
          <w:rFonts w:ascii="Times New Roman" w:hAnsi="Times New Roman" w:cs="Times New Roman"/>
          <w:i/>
          <w:sz w:val="24"/>
          <w:szCs w:val="24"/>
          <w:lang w:val="es-ES"/>
        </w:rPr>
        <w:t>aggiornamiento</w:t>
      </w:r>
      <w:proofErr w:type="spellEnd"/>
      <w:r w:rsidR="00BE0B25">
        <w:rPr>
          <w:rFonts w:ascii="Times New Roman" w:hAnsi="Times New Roman" w:cs="Times New Roman"/>
          <w:sz w:val="24"/>
          <w:szCs w:val="24"/>
          <w:lang w:val="es-ES"/>
        </w:rPr>
        <w:t xml:space="preserve"> confluían viejos y nuevos límites: por un lado, se argumentaba que los Estados de Bienestar en América Latina habían tenido una realización parcial y el principio de protección en base al trabajo asalariado formal tenía como consecuencia “exclusiones” que cada vez se hacían más amplias; por otro, se explicaba que la globalización interponía nuevos riesgos, sobre todo el de </w:t>
      </w:r>
      <w:r>
        <w:rPr>
          <w:rFonts w:ascii="Times New Roman" w:hAnsi="Times New Roman" w:cs="Times New Roman"/>
          <w:sz w:val="24"/>
          <w:szCs w:val="24"/>
          <w:lang w:val="es-ES"/>
        </w:rPr>
        <w:t>la volatilidad</w:t>
      </w:r>
      <w:r w:rsidR="00BE0B25">
        <w:rPr>
          <w:rFonts w:ascii="Times New Roman" w:hAnsi="Times New Roman" w:cs="Times New Roman"/>
          <w:sz w:val="24"/>
          <w:szCs w:val="24"/>
          <w:lang w:val="es-ES"/>
        </w:rPr>
        <w:t xml:space="preserve"> de ingresos y el de la descalificación, que exigían una nueva institucionalidad laboral y social. Era preciso relevar el principio de inclusión social por el empleo, que lo hacía rígido frente a los nuevos requerimientos de movilidad, para transitar un camino hacia la protección social.</w:t>
      </w:r>
    </w:p>
    <w:p w:rsidR="00B502FE" w:rsidRDefault="00BE0B25" w:rsidP="007A6BCA">
      <w:pPr>
        <w:pStyle w:val="western"/>
        <w:spacing w:before="0" w:beforeAutospacing="0" w:after="0" w:line="420" w:lineRule="atLeast"/>
        <w:ind w:firstLine="567"/>
        <w:jc w:val="both"/>
        <w:rPr>
          <w:rFonts w:ascii="Times New Roman" w:hAnsi="Times New Roman" w:cs="Times New Roman"/>
          <w:sz w:val="24"/>
          <w:szCs w:val="24"/>
          <w:lang w:val="es-ES"/>
        </w:rPr>
      </w:pPr>
      <w:r>
        <w:rPr>
          <w:rFonts w:ascii="Times New Roman" w:hAnsi="Times New Roman" w:cs="Times New Roman"/>
          <w:sz w:val="24"/>
          <w:szCs w:val="24"/>
          <w:lang w:val="es-ES"/>
        </w:rPr>
        <w:t>De este modo, la reformulación del sentido de la protección y de la institucionalidad laboral (es decir, de la formalidad del empleo y sus atributos) conducía a poner el foco en las poblaciones trabajadoras, no ya inactivas o desempleadas, sino informales y precarias. A ellas estuvieron dirigidas las intervenciones que buscaban reducir los déficits de trabajo decente (OIT), la pobreza (BM), y que luego confluyeron hacia el 2012 en la plataforma de Pisos Mínimos de Protección Social</w:t>
      </w:r>
      <w:r w:rsidR="003349AA">
        <w:rPr>
          <w:rFonts w:ascii="Times New Roman" w:hAnsi="Times New Roman" w:cs="Times New Roman"/>
          <w:sz w:val="24"/>
          <w:szCs w:val="24"/>
          <w:lang w:val="es-ES"/>
        </w:rPr>
        <w:t xml:space="preserve"> (BM, 2012; OIT, 2013)</w:t>
      </w:r>
      <w:r>
        <w:rPr>
          <w:rFonts w:ascii="Times New Roman" w:hAnsi="Times New Roman" w:cs="Times New Roman"/>
          <w:sz w:val="24"/>
          <w:szCs w:val="24"/>
          <w:lang w:val="es-ES"/>
        </w:rPr>
        <w:t xml:space="preserve">. </w:t>
      </w:r>
    </w:p>
    <w:p w:rsidR="002C7472" w:rsidRPr="00DC1C23" w:rsidRDefault="002C7472" w:rsidP="007A6BCA">
      <w:pPr>
        <w:pStyle w:val="western"/>
        <w:spacing w:before="0" w:beforeAutospacing="0" w:after="0" w:line="360" w:lineRule="auto"/>
        <w:ind w:firstLine="567"/>
        <w:rPr>
          <w:rFonts w:ascii="Times New Roman" w:hAnsi="Times New Roman" w:cs="Times New Roman"/>
          <w:lang w:val="es-ES"/>
        </w:rPr>
      </w:pPr>
    </w:p>
    <w:p w:rsidR="00C03372" w:rsidRPr="00F925A2" w:rsidRDefault="00C03372" w:rsidP="00F925A2">
      <w:pPr>
        <w:pStyle w:val="western"/>
        <w:spacing w:before="0" w:beforeAutospacing="0" w:after="0" w:line="360" w:lineRule="auto"/>
        <w:rPr>
          <w:rFonts w:ascii="Times New Roman" w:hAnsi="Times New Roman" w:cs="Times New Roman"/>
          <w:b/>
          <w:iCs/>
          <w:smallCaps/>
          <w:sz w:val="24"/>
          <w:szCs w:val="24"/>
          <w:lang w:val="es-ES"/>
        </w:rPr>
      </w:pPr>
      <w:r w:rsidRPr="00F925A2">
        <w:rPr>
          <w:rFonts w:ascii="Times New Roman" w:hAnsi="Times New Roman" w:cs="Times New Roman"/>
          <w:b/>
          <w:iCs/>
          <w:smallCaps/>
          <w:sz w:val="24"/>
          <w:szCs w:val="24"/>
          <w:lang w:val="es-ES"/>
        </w:rPr>
        <w:t>5</w:t>
      </w:r>
      <w:r w:rsidR="00443E85" w:rsidRPr="00F925A2">
        <w:rPr>
          <w:rFonts w:ascii="Times New Roman" w:hAnsi="Times New Roman" w:cs="Times New Roman"/>
          <w:b/>
          <w:iCs/>
          <w:smallCaps/>
          <w:sz w:val="24"/>
          <w:szCs w:val="24"/>
          <w:lang w:val="es-ES"/>
        </w:rPr>
        <w:t xml:space="preserve">. </w:t>
      </w:r>
      <w:r w:rsidRPr="00F925A2">
        <w:rPr>
          <w:rFonts w:ascii="Times New Roman" w:hAnsi="Times New Roman" w:cs="Times New Roman"/>
          <w:b/>
          <w:iCs/>
          <w:smallCaps/>
          <w:sz w:val="24"/>
          <w:szCs w:val="24"/>
          <w:lang w:val="es-ES"/>
        </w:rPr>
        <w:t>Un cambio de objeto. Nuevos saberes en ascenso</w:t>
      </w:r>
    </w:p>
    <w:p w:rsidR="00C03372" w:rsidRDefault="003347B3" w:rsidP="007A6BCA">
      <w:pPr>
        <w:pStyle w:val="western"/>
        <w:spacing w:before="0" w:beforeAutospacing="0" w:after="0" w:line="360" w:lineRule="auto"/>
        <w:ind w:firstLine="567"/>
        <w:jc w:val="both"/>
        <w:rPr>
          <w:rFonts w:ascii="Times New Roman" w:hAnsi="Times New Roman" w:cs="Times New Roman"/>
          <w:iCs/>
          <w:sz w:val="24"/>
          <w:szCs w:val="24"/>
          <w:lang w:val="es-ES"/>
        </w:rPr>
      </w:pPr>
      <w:r>
        <w:rPr>
          <w:rFonts w:ascii="Times New Roman" w:hAnsi="Times New Roman" w:cs="Times New Roman"/>
          <w:iCs/>
          <w:sz w:val="24"/>
          <w:szCs w:val="24"/>
          <w:lang w:val="es-ES"/>
        </w:rPr>
        <w:t>Las</w:t>
      </w:r>
      <w:r w:rsidR="00C03372">
        <w:rPr>
          <w:rFonts w:ascii="Times New Roman" w:hAnsi="Times New Roman" w:cs="Times New Roman"/>
          <w:iCs/>
          <w:sz w:val="24"/>
          <w:szCs w:val="24"/>
          <w:lang w:val="es-ES"/>
        </w:rPr>
        <w:t xml:space="preserve"> reformulaciones de la programática de las AID</w:t>
      </w:r>
      <w:r>
        <w:rPr>
          <w:rFonts w:ascii="Times New Roman" w:hAnsi="Times New Roman" w:cs="Times New Roman"/>
          <w:iCs/>
          <w:sz w:val="24"/>
          <w:szCs w:val="24"/>
          <w:lang w:val="es-ES"/>
        </w:rPr>
        <w:t xml:space="preserve"> producidas</w:t>
      </w:r>
      <w:r w:rsidR="00C03372">
        <w:rPr>
          <w:rFonts w:ascii="Times New Roman" w:hAnsi="Times New Roman" w:cs="Times New Roman"/>
          <w:iCs/>
          <w:sz w:val="24"/>
          <w:szCs w:val="24"/>
          <w:lang w:val="es-ES"/>
        </w:rPr>
        <w:t xml:space="preserve"> desde fines de la década de 1990 tuvieron como condición de posibilidad una transformación de los saberes expertos</w:t>
      </w:r>
      <w:r>
        <w:rPr>
          <w:rFonts w:ascii="Times New Roman" w:hAnsi="Times New Roman" w:cs="Times New Roman"/>
          <w:iCs/>
          <w:sz w:val="24"/>
          <w:szCs w:val="24"/>
          <w:lang w:val="es-ES"/>
        </w:rPr>
        <w:t>: los problemas fueron delimitados en virtud de redefiniciones de los fenómenos que exigían la construcción de nuevos objetos de conocimiento. Los fenómenos sociales como la pobreza o la informalidad eran definidos desde nuevas dimensiones cualitativas, que emergían a partir del foco puesto en los individuos –sus comportamientos, decisiones y motivaciones- y en la interacción entre ellos, a partir de lo cual se reflexionaba sobre el lazo social. L</w:t>
      </w:r>
      <w:r w:rsidR="00C03372">
        <w:rPr>
          <w:rFonts w:ascii="Times New Roman" w:hAnsi="Times New Roman" w:cs="Times New Roman"/>
          <w:iCs/>
          <w:sz w:val="24"/>
          <w:szCs w:val="24"/>
          <w:lang w:val="es-ES"/>
        </w:rPr>
        <w:t xml:space="preserve">a impronta cualitativa de los estudios ponen en evidencia cierto desplazamiento que dichos saberes procuraron realizar, por el cual el proceso de conocimiento se iniciaría en las aflicciones y experiencias de los sujetos que sufrían más directamente las crisis, desde abajo hacia arriba. </w:t>
      </w:r>
      <w:r>
        <w:rPr>
          <w:rFonts w:ascii="Times New Roman" w:hAnsi="Times New Roman" w:cs="Times New Roman"/>
          <w:iCs/>
          <w:sz w:val="24"/>
          <w:szCs w:val="24"/>
          <w:lang w:val="es-ES"/>
        </w:rPr>
        <w:lastRenderedPageBreak/>
        <w:t>Ello revela que, además del cambio de objetos que fue parte de la reconfiguración de los saberes expertos, se transformaron las condiciones de legitimidad de los mismos.</w:t>
      </w:r>
    </w:p>
    <w:p w:rsidR="003347B3" w:rsidRDefault="003347B3" w:rsidP="007A6BCA">
      <w:pPr>
        <w:pStyle w:val="western"/>
        <w:spacing w:before="0" w:beforeAutospacing="0" w:after="0" w:line="360" w:lineRule="auto"/>
        <w:ind w:firstLine="567"/>
        <w:jc w:val="both"/>
        <w:rPr>
          <w:rFonts w:ascii="Times New Roman" w:hAnsi="Times New Roman" w:cs="Times New Roman"/>
          <w:iCs/>
          <w:sz w:val="24"/>
          <w:szCs w:val="24"/>
          <w:lang w:val="es-ES"/>
        </w:rPr>
      </w:pPr>
      <w:r>
        <w:rPr>
          <w:rFonts w:ascii="Times New Roman" w:hAnsi="Times New Roman" w:cs="Times New Roman"/>
          <w:iCs/>
          <w:sz w:val="24"/>
          <w:szCs w:val="24"/>
          <w:lang w:val="es-ES"/>
        </w:rPr>
        <w:t xml:space="preserve">A continuación, desarrollaremos la hipótesis de que las críticas hacia los saberes expertos </w:t>
      </w:r>
      <w:proofErr w:type="spellStart"/>
      <w:r>
        <w:rPr>
          <w:rFonts w:ascii="Times New Roman" w:hAnsi="Times New Roman" w:cs="Times New Roman"/>
          <w:iCs/>
          <w:sz w:val="24"/>
          <w:szCs w:val="24"/>
          <w:lang w:val="es-ES"/>
        </w:rPr>
        <w:t>transnacionalizados</w:t>
      </w:r>
      <w:proofErr w:type="spellEnd"/>
      <w:r>
        <w:rPr>
          <w:rFonts w:ascii="Times New Roman" w:hAnsi="Times New Roman" w:cs="Times New Roman"/>
          <w:iCs/>
          <w:sz w:val="24"/>
          <w:szCs w:val="24"/>
          <w:lang w:val="es-ES"/>
        </w:rPr>
        <w:t xml:space="preserve"> hacia fines de la década de 1990 </w:t>
      </w:r>
      <w:proofErr w:type="gramStart"/>
      <w:r>
        <w:rPr>
          <w:rFonts w:ascii="Times New Roman" w:hAnsi="Times New Roman" w:cs="Times New Roman"/>
          <w:iCs/>
          <w:sz w:val="24"/>
          <w:szCs w:val="24"/>
          <w:lang w:val="es-ES"/>
        </w:rPr>
        <w:t>movilizó</w:t>
      </w:r>
      <w:proofErr w:type="gramEnd"/>
      <w:r>
        <w:rPr>
          <w:rFonts w:ascii="Times New Roman" w:hAnsi="Times New Roman" w:cs="Times New Roman"/>
          <w:iCs/>
          <w:sz w:val="24"/>
          <w:szCs w:val="24"/>
          <w:lang w:val="es-ES"/>
        </w:rPr>
        <w:t xml:space="preserve"> un desplazamiento de los mismos, recomponiéndose como “saberes próximos”. Luego nos dedicamos a dos formas en que se ejerció dicho desplazamiento: a partir de la centralidad de lo individual como objeto de análisis; reincorporando a la discusión técnica a la política (“en mayúsculas”). Si bien la primera modalidad resulta transversal a las AID, la segunda fue parte de las programáticas de sesgo más “</w:t>
      </w:r>
      <w:proofErr w:type="spellStart"/>
      <w:r>
        <w:rPr>
          <w:rFonts w:ascii="Times New Roman" w:hAnsi="Times New Roman" w:cs="Times New Roman"/>
          <w:iCs/>
          <w:sz w:val="24"/>
          <w:szCs w:val="24"/>
          <w:lang w:val="es-ES"/>
        </w:rPr>
        <w:t>distributivista</w:t>
      </w:r>
      <w:proofErr w:type="spellEnd"/>
      <w:r>
        <w:rPr>
          <w:rFonts w:ascii="Times New Roman" w:hAnsi="Times New Roman" w:cs="Times New Roman"/>
          <w:iCs/>
          <w:sz w:val="24"/>
          <w:szCs w:val="24"/>
          <w:lang w:val="es-ES"/>
        </w:rPr>
        <w:t xml:space="preserve">”. </w:t>
      </w:r>
    </w:p>
    <w:p w:rsidR="003347B3" w:rsidRPr="00C03372" w:rsidRDefault="003347B3" w:rsidP="007A6BCA">
      <w:pPr>
        <w:pStyle w:val="western"/>
        <w:spacing w:before="0" w:beforeAutospacing="0" w:after="0" w:line="360" w:lineRule="auto"/>
        <w:ind w:firstLine="567"/>
        <w:jc w:val="both"/>
        <w:rPr>
          <w:rFonts w:ascii="Times New Roman" w:hAnsi="Times New Roman" w:cs="Times New Roman"/>
          <w:iCs/>
          <w:sz w:val="24"/>
          <w:szCs w:val="24"/>
          <w:lang w:val="es-ES"/>
        </w:rPr>
      </w:pPr>
    </w:p>
    <w:p w:rsidR="00443E85" w:rsidRPr="00D864C2" w:rsidRDefault="00D864C2" w:rsidP="007A6BCA">
      <w:pPr>
        <w:pStyle w:val="western"/>
        <w:spacing w:before="0" w:beforeAutospacing="0" w:after="0" w:line="360" w:lineRule="auto"/>
        <w:ind w:firstLine="567"/>
        <w:rPr>
          <w:rFonts w:ascii="Times New Roman" w:hAnsi="Times New Roman" w:cs="Times New Roman"/>
          <w:b/>
          <w:i/>
          <w:lang w:val="es-ES"/>
        </w:rPr>
      </w:pPr>
      <w:proofErr w:type="gramStart"/>
      <w:r w:rsidRPr="00D864C2">
        <w:rPr>
          <w:rFonts w:ascii="Times New Roman" w:hAnsi="Times New Roman" w:cs="Times New Roman"/>
          <w:b/>
          <w:i/>
          <w:iCs/>
          <w:sz w:val="24"/>
          <w:szCs w:val="24"/>
          <w:lang w:val="es-ES"/>
        </w:rPr>
        <w:t>5.a</w:t>
      </w:r>
      <w:proofErr w:type="gramEnd"/>
      <w:r w:rsidRPr="00D864C2">
        <w:rPr>
          <w:rFonts w:ascii="Times New Roman" w:hAnsi="Times New Roman" w:cs="Times New Roman"/>
          <w:b/>
          <w:i/>
          <w:iCs/>
          <w:sz w:val="24"/>
          <w:szCs w:val="24"/>
          <w:lang w:val="es-ES"/>
        </w:rPr>
        <w:t xml:space="preserve">. </w:t>
      </w:r>
      <w:r w:rsidR="00443E85" w:rsidRPr="00D864C2">
        <w:rPr>
          <w:rFonts w:ascii="Times New Roman" w:hAnsi="Times New Roman" w:cs="Times New Roman"/>
          <w:b/>
          <w:i/>
          <w:iCs/>
          <w:sz w:val="24"/>
          <w:szCs w:val="24"/>
          <w:lang w:val="es-ES"/>
        </w:rPr>
        <w:t>“Lo que quiere la gente”.</w:t>
      </w:r>
      <w:r w:rsidR="003347B3">
        <w:rPr>
          <w:rFonts w:ascii="Times New Roman" w:hAnsi="Times New Roman" w:cs="Times New Roman"/>
          <w:b/>
          <w:i/>
          <w:iCs/>
          <w:sz w:val="24"/>
          <w:szCs w:val="24"/>
          <w:lang w:val="es-ES"/>
        </w:rPr>
        <w:t xml:space="preserve"> Un conocimiento “de abajo hacia arriba”</w:t>
      </w:r>
    </w:p>
    <w:p w:rsidR="00910F6B" w:rsidRDefault="004C3F12" w:rsidP="007A6BCA">
      <w:pPr>
        <w:pStyle w:val="western"/>
        <w:spacing w:before="0" w:beforeAutospacing="0" w:after="0" w:line="360" w:lineRule="auto"/>
        <w:ind w:firstLine="567"/>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Un rasgo común a las distintas </w:t>
      </w:r>
      <w:proofErr w:type="spellStart"/>
      <w:r>
        <w:rPr>
          <w:rFonts w:ascii="Times New Roman" w:hAnsi="Times New Roman" w:cs="Times New Roman"/>
          <w:sz w:val="24"/>
          <w:szCs w:val="24"/>
          <w:lang w:val="es-ES"/>
        </w:rPr>
        <w:t>tematizaciones</w:t>
      </w:r>
      <w:proofErr w:type="spellEnd"/>
      <w:r>
        <w:rPr>
          <w:rFonts w:ascii="Times New Roman" w:hAnsi="Times New Roman" w:cs="Times New Roman"/>
          <w:sz w:val="24"/>
          <w:szCs w:val="24"/>
          <w:lang w:val="es-ES"/>
        </w:rPr>
        <w:t xml:space="preserve"> de las AID respecto de la “crisis social” radica en la referencia a los padecimientos y deseos “de la gente” como puntapié para pensar las nuevas agendas de intervención. Se trataba de restablecer una conexión aparentemente perdida con las experiencias de los afectados por dichas crisis. </w:t>
      </w:r>
    </w:p>
    <w:p w:rsidR="00910F6B" w:rsidRDefault="00910F6B" w:rsidP="007A6BCA">
      <w:pPr>
        <w:pStyle w:val="western"/>
        <w:spacing w:before="0" w:beforeAutospacing="0" w:after="0" w:line="360" w:lineRule="auto"/>
        <w:ind w:firstLine="567"/>
        <w:jc w:val="both"/>
        <w:rPr>
          <w:rFonts w:ascii="Times New Roman" w:hAnsi="Times New Roman" w:cs="Times New Roman"/>
          <w:sz w:val="24"/>
          <w:szCs w:val="24"/>
          <w:lang w:val="es-ES"/>
        </w:rPr>
      </w:pPr>
      <w:r>
        <w:rPr>
          <w:rFonts w:ascii="Times New Roman" w:hAnsi="Times New Roman"/>
          <w:sz w:val="24"/>
          <w:szCs w:val="24"/>
        </w:rPr>
        <w:t xml:space="preserve">Al respecto, resultan interesantes algunas formulaciones que encontramos en documentos de la OIT. Hemos mencionado en el apartado anterior que la globalización constituía un eje de debate entre las AID en lo respectivo a sus efectos en la evidente crisis social, así como también en el ámbito político. La OIT reconocía en un documento del año 2004 que dicho debate se encontraba en un “punto muerto” a partir de las antinomias ideológicas. En este punto, escuchar la voz de la gente aparecía como una operación a realizar por los saberes expertos y los políticos para </w:t>
      </w:r>
      <w:r w:rsidRPr="00AE4E42">
        <w:rPr>
          <w:rFonts w:ascii="Times New Roman" w:hAnsi="Times New Roman"/>
          <w:sz w:val="24"/>
          <w:szCs w:val="24"/>
        </w:rPr>
        <w:t>“pasar del debate estéril a la acción práctica”, dejando de lado “antiguas convicciones e ideologías”.</w:t>
      </w:r>
      <w:r>
        <w:rPr>
          <w:rFonts w:ascii="Times New Roman" w:hAnsi="Times New Roman"/>
          <w:sz w:val="24"/>
          <w:szCs w:val="24"/>
        </w:rPr>
        <w:t xml:space="preserve"> A los técnicos les correspondía la obligación de correrse del “elevado pedestal de las salas de juntas de las empresas y de las reuniones gubernamentales” para volver su mirada hacia las “comunidades en las que viven” las personas (OIT, 2004a: </w:t>
      </w:r>
      <w:proofErr w:type="spellStart"/>
      <w:r>
        <w:rPr>
          <w:rFonts w:ascii="Times New Roman" w:hAnsi="Times New Roman"/>
          <w:sz w:val="24"/>
          <w:szCs w:val="24"/>
        </w:rPr>
        <w:t>vii</w:t>
      </w:r>
      <w:proofErr w:type="spellEnd"/>
      <w:r>
        <w:rPr>
          <w:rFonts w:ascii="Times New Roman" w:hAnsi="Times New Roman"/>
          <w:sz w:val="24"/>
          <w:szCs w:val="24"/>
        </w:rPr>
        <w:t xml:space="preserve">) y conectarse con el sentir de quienes sufrían los impactos negativos de la globalización. Este desplazamiento prácticamente material y geográfico bien podría ser una metáfora del cambio de objeto de análisis que hemos destacado. </w:t>
      </w:r>
    </w:p>
    <w:p w:rsidR="001B3C8D" w:rsidRDefault="00340D3F" w:rsidP="001B3C8D">
      <w:pPr>
        <w:pStyle w:val="western"/>
        <w:spacing w:before="0" w:beforeAutospacing="0" w:after="0" w:line="360" w:lineRule="auto"/>
        <w:ind w:firstLine="567"/>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Ahora bien, consideramos que este desplazamiento en los objetos señala, a su vez, una alteración en los fundamentos de legitimidad de estos saberes. El desplazamiento físico sugerido en las formulaciones de la OIT nos devuelven un imperativo que los estudios debían cumplir: estos debían ser producto de unos saberes próximos, </w:t>
      </w:r>
      <w:proofErr w:type="spellStart"/>
      <w:r>
        <w:rPr>
          <w:rFonts w:ascii="Times New Roman" w:hAnsi="Times New Roman" w:cs="Times New Roman"/>
          <w:sz w:val="24"/>
          <w:szCs w:val="24"/>
          <w:lang w:val="es-ES"/>
        </w:rPr>
        <w:t>cosustancializados</w:t>
      </w:r>
      <w:proofErr w:type="spellEnd"/>
      <w:r>
        <w:rPr>
          <w:rFonts w:ascii="Times New Roman" w:hAnsi="Times New Roman" w:cs="Times New Roman"/>
          <w:sz w:val="24"/>
          <w:szCs w:val="24"/>
          <w:lang w:val="es-ES"/>
        </w:rPr>
        <w:t xml:space="preserve"> con las </w:t>
      </w:r>
      <w:r w:rsidRPr="00340D3F">
        <w:rPr>
          <w:rFonts w:ascii="Times New Roman" w:hAnsi="Times New Roman" w:cs="Times New Roman"/>
          <w:i/>
          <w:sz w:val="24"/>
          <w:szCs w:val="24"/>
          <w:lang w:val="es-ES"/>
        </w:rPr>
        <w:t>experiencias</w:t>
      </w:r>
      <w:r>
        <w:rPr>
          <w:rFonts w:ascii="Times New Roman" w:hAnsi="Times New Roman" w:cs="Times New Roman"/>
          <w:sz w:val="24"/>
          <w:szCs w:val="24"/>
          <w:lang w:val="es-ES"/>
        </w:rPr>
        <w:t xml:space="preserve"> subjetivas de los fenómenos que abordaban, fuese la pobreza, la informalidad o la exclusión.</w:t>
      </w:r>
      <w:r w:rsidR="004C3F12">
        <w:rPr>
          <w:rFonts w:ascii="Times New Roman" w:hAnsi="Times New Roman" w:cs="Times New Roman"/>
          <w:sz w:val="24"/>
          <w:szCs w:val="24"/>
          <w:lang w:val="es-ES"/>
        </w:rPr>
        <w:t xml:space="preserve"> No se trataba tanto de un movimiento propiamente empirista,</w:t>
      </w:r>
      <w:r>
        <w:rPr>
          <w:rFonts w:ascii="Times New Roman" w:hAnsi="Times New Roman" w:cs="Times New Roman"/>
          <w:sz w:val="24"/>
          <w:szCs w:val="24"/>
          <w:lang w:val="es-ES"/>
        </w:rPr>
        <w:t xml:space="preserve"> de que la </w:t>
      </w:r>
      <w:r>
        <w:rPr>
          <w:rFonts w:ascii="Times New Roman" w:hAnsi="Times New Roman" w:cs="Times New Roman"/>
          <w:sz w:val="24"/>
          <w:szCs w:val="24"/>
          <w:lang w:val="es-ES"/>
        </w:rPr>
        <w:lastRenderedPageBreak/>
        <w:t>experiencia hablase por sí misma,</w:t>
      </w:r>
      <w:r w:rsidR="004C3F12">
        <w:rPr>
          <w:rFonts w:ascii="Times New Roman" w:hAnsi="Times New Roman" w:cs="Times New Roman"/>
          <w:sz w:val="24"/>
          <w:szCs w:val="24"/>
          <w:lang w:val="es-ES"/>
        </w:rPr>
        <w:t xml:space="preserve"> sino subjetivista</w:t>
      </w:r>
      <w:r>
        <w:rPr>
          <w:rFonts w:ascii="Times New Roman" w:hAnsi="Times New Roman" w:cs="Times New Roman"/>
          <w:sz w:val="24"/>
          <w:szCs w:val="24"/>
          <w:lang w:val="es-ES"/>
        </w:rPr>
        <w:t>, pues señalaba las condiciones que los saberes sobre las mismas debían cumplir</w:t>
      </w:r>
      <w:r w:rsidR="004C3F12">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la comprensión y explicación adecuada de los fenómenos eran aquellas que incorporaban sus dimensiones subjetivas, las </w:t>
      </w:r>
      <w:proofErr w:type="spellStart"/>
      <w:r w:rsidR="004C3F12">
        <w:rPr>
          <w:rFonts w:ascii="Times New Roman" w:hAnsi="Times New Roman" w:cs="Times New Roman"/>
          <w:sz w:val="24"/>
          <w:szCs w:val="24"/>
          <w:lang w:val="es-ES"/>
        </w:rPr>
        <w:t>las</w:t>
      </w:r>
      <w:proofErr w:type="spellEnd"/>
      <w:r w:rsidR="004C3F12">
        <w:rPr>
          <w:rFonts w:ascii="Times New Roman" w:hAnsi="Times New Roman" w:cs="Times New Roman"/>
          <w:sz w:val="24"/>
          <w:szCs w:val="24"/>
          <w:lang w:val="es-ES"/>
        </w:rPr>
        <w:t xml:space="preserve"> expectativas y acciones de las personas </w:t>
      </w:r>
      <w:r>
        <w:rPr>
          <w:rFonts w:ascii="Times New Roman" w:hAnsi="Times New Roman" w:cs="Times New Roman"/>
          <w:sz w:val="24"/>
          <w:szCs w:val="24"/>
          <w:lang w:val="es-ES"/>
        </w:rPr>
        <w:t xml:space="preserve">implicadas. </w:t>
      </w:r>
      <w:r w:rsidR="004C3F12">
        <w:rPr>
          <w:rFonts w:ascii="Times New Roman" w:hAnsi="Times New Roman" w:cs="Times New Roman"/>
          <w:sz w:val="24"/>
          <w:szCs w:val="24"/>
          <w:lang w:val="es-ES"/>
        </w:rPr>
        <w:t>En este sentido planteamos que este desplazamiento en los objetos de los nuevos saberes parece indicar una transformación en el fundamento de la legitimidad de los mismos: en lugar de ser su objetividad técnica el parangón de credibilidad y seguimiento de sus preceptos, la proximidad parecía volverse un nuevo requisito para generar una compre</w:t>
      </w:r>
      <w:r>
        <w:rPr>
          <w:rFonts w:ascii="Times New Roman" w:hAnsi="Times New Roman" w:cs="Times New Roman"/>
          <w:sz w:val="24"/>
          <w:szCs w:val="24"/>
          <w:lang w:val="es-ES"/>
        </w:rPr>
        <w:t>nsión genuina de los fenómenos y reformular las programáticas.</w:t>
      </w:r>
    </w:p>
    <w:p w:rsidR="00340D3F" w:rsidRDefault="001B3C8D" w:rsidP="001B3C8D">
      <w:pPr>
        <w:pStyle w:val="western"/>
        <w:spacing w:before="0" w:beforeAutospacing="0" w:after="0" w:line="360" w:lineRule="auto"/>
        <w:ind w:firstLine="567"/>
        <w:jc w:val="both"/>
        <w:rPr>
          <w:rFonts w:ascii="Times New Roman" w:hAnsi="Times New Roman"/>
          <w:sz w:val="24"/>
          <w:szCs w:val="24"/>
          <w:lang w:val="es-ES"/>
        </w:rPr>
      </w:pPr>
      <w:r>
        <w:rPr>
          <w:rFonts w:ascii="Times New Roman" w:hAnsi="Times New Roman" w:cs="Times New Roman"/>
          <w:sz w:val="24"/>
          <w:szCs w:val="24"/>
          <w:lang w:val="es-ES"/>
        </w:rPr>
        <w:t xml:space="preserve">Dos experiencias de producción de conocimiento son significativas respecto de las condiciones que los estudios debían desarrollar. Una de ellas fue un trabajo de campo desarrollado por el BM, cuyo informe fue publicado en el año 2000, intitulado </w:t>
      </w:r>
      <w:r>
        <w:rPr>
          <w:rFonts w:ascii="Times New Roman" w:hAnsi="Times New Roman"/>
          <w:sz w:val="24"/>
          <w:szCs w:val="24"/>
          <w:lang w:val="es-ES"/>
        </w:rPr>
        <w:t xml:space="preserve">La voz de los pobres ¿Puede alguien escucharnos?”. El mismo constituyó un antecedente crucial en la redefinición de la pobreza y en la primera estrategia de reducción de la pobreza para el siglo XXI. La presentación del documento destacaba el proceso de investigación del que era resultado: el trabajo de campo se había realizado </w:t>
      </w:r>
      <w:r w:rsidR="00340D3F">
        <w:rPr>
          <w:rFonts w:ascii="Times New Roman" w:hAnsi="Times New Roman"/>
          <w:sz w:val="24"/>
          <w:szCs w:val="24"/>
          <w:lang w:val="es-ES"/>
        </w:rPr>
        <w:t>sesenta países</w:t>
      </w:r>
      <w:r>
        <w:rPr>
          <w:rFonts w:ascii="Times New Roman" w:hAnsi="Times New Roman"/>
          <w:sz w:val="24"/>
          <w:szCs w:val="24"/>
          <w:lang w:val="es-ES"/>
        </w:rPr>
        <w:t xml:space="preserve"> subdesarrollados y se habían entrevistado alrededor </w:t>
      </w:r>
      <w:r w:rsidR="00340D3F">
        <w:rPr>
          <w:rFonts w:ascii="Times New Roman" w:hAnsi="Times New Roman"/>
          <w:sz w:val="24"/>
          <w:szCs w:val="24"/>
          <w:lang w:val="es-ES"/>
        </w:rPr>
        <w:t xml:space="preserve">de 60.000 “hombres y mujeres pobres”. </w:t>
      </w:r>
      <w:r>
        <w:rPr>
          <w:rFonts w:ascii="Times New Roman" w:hAnsi="Times New Roman"/>
          <w:sz w:val="24"/>
          <w:szCs w:val="24"/>
          <w:lang w:val="es-ES"/>
        </w:rPr>
        <w:t>El énfasis puesto en el trabajo de campo nos señala aquello que se resaltaba y valoraba positivamente: era el “</w:t>
      </w:r>
      <w:r w:rsidR="00340D3F">
        <w:rPr>
          <w:rFonts w:ascii="Times New Roman" w:hAnsi="Times New Roman"/>
          <w:sz w:val="24"/>
          <w:szCs w:val="24"/>
          <w:lang w:val="es-ES"/>
        </w:rPr>
        <w:t>esfuerzo sin precedente</w:t>
      </w:r>
      <w:r>
        <w:rPr>
          <w:rFonts w:ascii="Times New Roman" w:hAnsi="Times New Roman"/>
          <w:sz w:val="24"/>
          <w:szCs w:val="24"/>
          <w:lang w:val="es-ES"/>
        </w:rPr>
        <w:t>” de los técnicos</w:t>
      </w:r>
      <w:r w:rsidR="00340D3F">
        <w:rPr>
          <w:rFonts w:ascii="Times New Roman" w:hAnsi="Times New Roman"/>
          <w:sz w:val="24"/>
          <w:szCs w:val="24"/>
          <w:lang w:val="es-ES"/>
        </w:rPr>
        <w:t xml:space="preserve"> en la recolección de “casos reales” (BM, 2000: 3), sus voces, experiencias y aspiraciones. </w:t>
      </w:r>
      <w:r>
        <w:rPr>
          <w:rFonts w:ascii="Times New Roman" w:hAnsi="Times New Roman"/>
          <w:sz w:val="24"/>
          <w:szCs w:val="24"/>
          <w:lang w:val="es-ES"/>
        </w:rPr>
        <w:t xml:space="preserve">Los técnicos habían logrado contactarse sin mediaciones, de forma directa, con las personas que sufrían el fenómeno, desplazándose hacia sus lugares de residencia. </w:t>
      </w:r>
      <w:r w:rsidR="00340D3F">
        <w:rPr>
          <w:rFonts w:ascii="Times New Roman" w:hAnsi="Times New Roman"/>
          <w:sz w:val="24"/>
          <w:szCs w:val="24"/>
          <w:lang w:val="es-ES"/>
        </w:rPr>
        <w:t>Uno de los testimonios más citados durante los años siguientes, en otros IDM, fue el de un habitante de Kenia:</w:t>
      </w:r>
      <w:r>
        <w:rPr>
          <w:rStyle w:val="Refdenotaalpie"/>
          <w:rFonts w:ascii="Times New Roman" w:hAnsi="Times New Roman"/>
          <w:sz w:val="24"/>
          <w:szCs w:val="24"/>
          <w:lang w:val="es-ES"/>
        </w:rPr>
        <w:footnoteReference w:id="8"/>
      </w:r>
      <w:r w:rsidR="00340D3F">
        <w:rPr>
          <w:rFonts w:ascii="Times New Roman" w:hAnsi="Times New Roman"/>
          <w:sz w:val="24"/>
          <w:szCs w:val="24"/>
          <w:lang w:val="es-ES"/>
        </w:rPr>
        <w:t xml:space="preserve"> </w:t>
      </w:r>
    </w:p>
    <w:p w:rsidR="00340D3F" w:rsidRDefault="00340D3F" w:rsidP="001B3C8D">
      <w:pPr>
        <w:spacing w:after="0" w:line="240" w:lineRule="auto"/>
        <w:ind w:left="1416"/>
        <w:jc w:val="both"/>
        <w:rPr>
          <w:rFonts w:ascii="Times New Roman" w:hAnsi="Times New Roman"/>
          <w:lang w:val="es-ES"/>
        </w:rPr>
      </w:pPr>
      <w:r w:rsidRPr="005D535E">
        <w:rPr>
          <w:rFonts w:ascii="Times New Roman" w:hAnsi="Times New Roman"/>
          <w:lang w:val="es-ES"/>
        </w:rPr>
        <w:t xml:space="preserve">No me pregunten qué es la pobreza porque la han encontrado fuera de casa. </w:t>
      </w:r>
      <w:r w:rsidRPr="005D535E">
        <w:rPr>
          <w:rFonts w:ascii="Times New Roman" w:hAnsi="Times New Roman"/>
          <w:i/>
          <w:lang w:val="es-ES"/>
        </w:rPr>
        <w:t>Miren</w:t>
      </w:r>
      <w:r w:rsidRPr="005D535E">
        <w:rPr>
          <w:rFonts w:ascii="Times New Roman" w:hAnsi="Times New Roman"/>
          <w:lang w:val="es-ES"/>
        </w:rPr>
        <w:t xml:space="preserve"> la casa y cuenten los agujeros. </w:t>
      </w:r>
      <w:r w:rsidRPr="005D535E">
        <w:rPr>
          <w:rFonts w:ascii="Times New Roman" w:hAnsi="Times New Roman"/>
          <w:i/>
          <w:lang w:val="es-ES"/>
        </w:rPr>
        <w:t>Miren</w:t>
      </w:r>
      <w:r w:rsidRPr="005D535E">
        <w:rPr>
          <w:rFonts w:ascii="Times New Roman" w:hAnsi="Times New Roman"/>
          <w:lang w:val="es-ES"/>
        </w:rPr>
        <w:t xml:space="preserve"> mis utensilios y la ropa que llevo. </w:t>
      </w:r>
      <w:r w:rsidRPr="005D535E">
        <w:rPr>
          <w:rFonts w:ascii="Times New Roman" w:hAnsi="Times New Roman"/>
          <w:i/>
          <w:lang w:val="es-ES"/>
        </w:rPr>
        <w:t>Miren</w:t>
      </w:r>
      <w:r w:rsidRPr="005D535E">
        <w:rPr>
          <w:rFonts w:ascii="Times New Roman" w:hAnsi="Times New Roman"/>
          <w:lang w:val="es-ES"/>
        </w:rPr>
        <w:t xml:space="preserve"> todo y </w:t>
      </w:r>
      <w:r w:rsidRPr="005D535E">
        <w:rPr>
          <w:rFonts w:ascii="Times New Roman" w:hAnsi="Times New Roman"/>
          <w:i/>
          <w:lang w:val="es-ES"/>
        </w:rPr>
        <w:t>escriban</w:t>
      </w:r>
      <w:r w:rsidRPr="005D535E">
        <w:rPr>
          <w:rFonts w:ascii="Times New Roman" w:hAnsi="Times New Roman"/>
          <w:lang w:val="es-ES"/>
        </w:rPr>
        <w:t xml:space="preserve"> lo que ven. </w:t>
      </w:r>
      <w:r w:rsidRPr="005D535E">
        <w:rPr>
          <w:rFonts w:ascii="Times New Roman" w:hAnsi="Times New Roman"/>
          <w:i/>
          <w:lang w:val="es-ES"/>
        </w:rPr>
        <w:t>Eso que ven, eso es la pobreza</w:t>
      </w:r>
      <w:r w:rsidRPr="005D535E">
        <w:rPr>
          <w:rFonts w:ascii="Times New Roman" w:hAnsi="Times New Roman"/>
          <w:lang w:val="es-ES"/>
        </w:rPr>
        <w:t>” (BM, 2000: 3; 16; resaltado propio).</w:t>
      </w:r>
    </w:p>
    <w:p w:rsidR="002A4968" w:rsidRPr="002A4968" w:rsidRDefault="001B3C8D" w:rsidP="002A4968">
      <w:pPr>
        <w:pStyle w:val="western"/>
        <w:spacing w:before="0" w:beforeAutospacing="0" w:after="0" w:line="360" w:lineRule="auto"/>
        <w:ind w:firstLine="567"/>
        <w:jc w:val="both"/>
        <w:rPr>
          <w:rFonts w:ascii="Times New Roman" w:hAnsi="Times New Roman" w:cs="Times New Roman"/>
          <w:sz w:val="24"/>
          <w:szCs w:val="24"/>
        </w:rPr>
      </w:pPr>
      <w:r>
        <w:rPr>
          <w:rFonts w:ascii="Times New Roman" w:hAnsi="Times New Roman" w:cs="Times New Roman"/>
          <w:sz w:val="24"/>
          <w:szCs w:val="24"/>
          <w:lang w:val="es-ES"/>
        </w:rPr>
        <w:t>Al leer el testimonio constatamos la fidelidad de los técnicos: efectivamente miraron, describieron y escribieron lo relatado por</w:t>
      </w:r>
      <w:r w:rsidR="002A4968">
        <w:rPr>
          <w:rFonts w:ascii="Times New Roman" w:hAnsi="Times New Roman" w:cs="Times New Roman"/>
          <w:sz w:val="24"/>
          <w:szCs w:val="24"/>
          <w:lang w:val="es-ES"/>
        </w:rPr>
        <w:t xml:space="preserve"> esta persona. Vinculado a esta forma de estudio y, sobre todo, de presentación de sí de los técnicos responsables, en uno de los documentos del BID en el que se analizaba la exclusión se retomaba un concurso de cortos documentales auspiciado por el organismo. El diagnóstico de que la exclusión se había transformado y asumía “nuevas caras” –que excedían a los tradicionalmente marginados- promovía la necesidad de tomar contacto con ellas y conocer de forma directa su </w:t>
      </w:r>
      <w:r w:rsidR="002A4968">
        <w:rPr>
          <w:rFonts w:ascii="Times New Roman" w:hAnsi="Times New Roman" w:cs="Times New Roman"/>
          <w:sz w:val="24"/>
          <w:szCs w:val="24"/>
        </w:rPr>
        <w:t xml:space="preserve">“dramático relato”. El </w:t>
      </w:r>
      <w:r w:rsidR="002A4968">
        <w:rPr>
          <w:rFonts w:ascii="Times New Roman" w:hAnsi="Times New Roman" w:cs="Times New Roman"/>
          <w:sz w:val="24"/>
          <w:szCs w:val="24"/>
        </w:rPr>
        <w:lastRenderedPageBreak/>
        <w:t xml:space="preserve">concurso de cortos tenía por objetivo premiar producciones que permitieran narrar esas experiencias </w:t>
      </w:r>
      <w:r w:rsidR="002A4968" w:rsidRPr="002A4968">
        <w:rPr>
          <w:rFonts w:ascii="Times New Roman" w:hAnsi="Times New Roman" w:cs="Times New Roman"/>
          <w:sz w:val="24"/>
          <w:szCs w:val="24"/>
        </w:rPr>
        <w:t xml:space="preserve">“a través de los ojos de los propios excluidos” (Márquez et al., 2008: 4). </w:t>
      </w:r>
    </w:p>
    <w:p w:rsidR="001B3C8D" w:rsidRDefault="002A4968" w:rsidP="002A4968">
      <w:pPr>
        <w:pStyle w:val="western"/>
        <w:spacing w:before="0" w:beforeAutospacing="0" w:after="0" w:line="360" w:lineRule="auto"/>
        <w:ind w:firstLine="567"/>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Estas nuevas formas de conocer se presentaban a sí mismas desde la valoración positiva de la proximidad entre técnicos y afectados. En el análisis del discurso, la noción de </w:t>
      </w:r>
      <w:proofErr w:type="spellStart"/>
      <w:r w:rsidRPr="002A4968">
        <w:rPr>
          <w:rFonts w:ascii="Times New Roman" w:hAnsi="Times New Roman" w:cs="Times New Roman"/>
          <w:i/>
          <w:sz w:val="24"/>
          <w:szCs w:val="24"/>
          <w:lang w:val="es-ES"/>
        </w:rPr>
        <w:t>ethos</w:t>
      </w:r>
      <w:proofErr w:type="spellEnd"/>
      <w:r>
        <w:rPr>
          <w:rFonts w:ascii="Times New Roman" w:hAnsi="Times New Roman" w:cs="Times New Roman"/>
          <w:sz w:val="24"/>
          <w:szCs w:val="24"/>
          <w:lang w:val="es-ES"/>
        </w:rPr>
        <w:t xml:space="preserve"> refiere a la presentación de sí que el orador construye y proyecta discursivamente y que denotan rasgos y características puestos en juego para atraer la atención, persuadir y asegurar su autoridad (Montero, 2011). La identificación durante el trabajo de archivo de este </w:t>
      </w:r>
      <w:proofErr w:type="spellStart"/>
      <w:r w:rsidRPr="002A4968">
        <w:rPr>
          <w:rFonts w:ascii="Times New Roman" w:hAnsi="Times New Roman" w:cs="Times New Roman"/>
          <w:i/>
          <w:sz w:val="24"/>
          <w:szCs w:val="24"/>
          <w:lang w:val="es-ES"/>
        </w:rPr>
        <w:t>ethos</w:t>
      </w:r>
      <w:proofErr w:type="spellEnd"/>
      <w:r>
        <w:rPr>
          <w:rFonts w:ascii="Times New Roman" w:hAnsi="Times New Roman" w:cs="Times New Roman"/>
          <w:sz w:val="24"/>
          <w:szCs w:val="24"/>
          <w:lang w:val="es-ES"/>
        </w:rPr>
        <w:t xml:space="preserve"> renovado de los saberes próximos nos permitió pensar en el proceso de transformación de los fundamentos de legitimidad de los mismos, en contraposición a la racionalidad tecnocrática, ajena a la política pero también al sentir de las técnicas y estudios de los fenómenos sociales durante las décadas del ochenta y noventa por parte de las AID. </w:t>
      </w:r>
    </w:p>
    <w:p w:rsidR="00782474" w:rsidRPr="00782474" w:rsidRDefault="00D37E1B" w:rsidP="00EC5CEE">
      <w:pPr>
        <w:pStyle w:val="western"/>
        <w:spacing w:before="0" w:beforeAutospacing="0" w:after="0" w:line="360" w:lineRule="auto"/>
        <w:ind w:firstLine="567"/>
        <w:jc w:val="both"/>
        <w:rPr>
          <w:rFonts w:ascii="Times New Roman" w:hAnsi="Times New Roman" w:cs="Times New Roman"/>
          <w:sz w:val="24"/>
          <w:szCs w:val="24"/>
          <w:highlight w:val="yellow"/>
          <w:lang w:val="es-ES"/>
        </w:rPr>
      </w:pPr>
      <w:r>
        <w:rPr>
          <w:rFonts w:ascii="Times New Roman" w:hAnsi="Times New Roman" w:cs="Times New Roman"/>
          <w:sz w:val="24"/>
          <w:szCs w:val="24"/>
          <w:lang w:val="es-ES"/>
        </w:rPr>
        <w:t>En esta proximidad entre saberes y los sujetos/objetos de conocimiento, parece haberse producido</w:t>
      </w:r>
      <w:r w:rsidR="00EC5CEE">
        <w:rPr>
          <w:rFonts w:ascii="Times New Roman" w:hAnsi="Times New Roman" w:cs="Times New Roman"/>
          <w:sz w:val="24"/>
          <w:szCs w:val="24"/>
          <w:lang w:val="es-ES"/>
        </w:rPr>
        <w:t xml:space="preserve"> cierta </w:t>
      </w:r>
      <w:proofErr w:type="spellStart"/>
      <w:r w:rsidR="00EC5CEE">
        <w:rPr>
          <w:rFonts w:ascii="Times New Roman" w:hAnsi="Times New Roman" w:cs="Times New Roman"/>
          <w:sz w:val="24"/>
          <w:szCs w:val="24"/>
          <w:lang w:val="es-ES"/>
        </w:rPr>
        <w:t>cosustancialización</w:t>
      </w:r>
      <w:proofErr w:type="spellEnd"/>
      <w:r w:rsidR="00EC5CEE">
        <w:rPr>
          <w:rFonts w:ascii="Times New Roman" w:hAnsi="Times New Roman" w:cs="Times New Roman"/>
          <w:sz w:val="24"/>
          <w:szCs w:val="24"/>
          <w:lang w:val="es-ES"/>
        </w:rPr>
        <w:t>, en la que los primeros representaban –aunque fuese en el plano técnico- los intereses de la gente, en un momento en el que la representación política misma estaba atravesando múltiples transformaciones. Así, se desarrolla una relación interesante entre ciencia y política:</w:t>
      </w:r>
    </w:p>
    <w:p w:rsidR="00782474" w:rsidRPr="00782474" w:rsidRDefault="00782474" w:rsidP="00EC5CEE">
      <w:pPr>
        <w:spacing w:after="0" w:line="240" w:lineRule="auto"/>
        <w:ind w:left="1418"/>
        <w:jc w:val="both"/>
        <w:rPr>
          <w:rFonts w:ascii="Times New Roman" w:hAnsi="Times New Roman"/>
        </w:rPr>
      </w:pPr>
      <w:r w:rsidRPr="00EC5CEE">
        <w:rPr>
          <w:rFonts w:ascii="Times New Roman" w:hAnsi="Times New Roman"/>
        </w:rPr>
        <w:t>Hemos examinado la globalización a través de la mirada de la gente, trascendiendo a nuestros mandantes y captando fielmente las esperanzas y los temores de nuestra humanidad compartida. (…) Creemos que la perspectiva dominante en lo que atañe a la globalización debe dejar de ser una preocupación limitada a los mercados y convertirse en una preocupación más amplia respecto de la gente (OIT</w:t>
      </w:r>
      <w:r w:rsidR="00EC5CEE">
        <w:rPr>
          <w:rFonts w:ascii="Times New Roman" w:hAnsi="Times New Roman"/>
        </w:rPr>
        <w:t xml:space="preserve">, 2004a: </w:t>
      </w:r>
      <w:proofErr w:type="spellStart"/>
      <w:r w:rsidR="00EC5CEE">
        <w:rPr>
          <w:rFonts w:ascii="Times New Roman" w:hAnsi="Times New Roman"/>
        </w:rPr>
        <w:t>vii</w:t>
      </w:r>
      <w:proofErr w:type="spellEnd"/>
      <w:r w:rsidR="00EC5CEE">
        <w:rPr>
          <w:rFonts w:ascii="Times New Roman" w:hAnsi="Times New Roman"/>
        </w:rPr>
        <w:t>).</w:t>
      </w:r>
    </w:p>
    <w:p w:rsidR="00863C8A" w:rsidRDefault="002A4968" w:rsidP="00863C8A">
      <w:pPr>
        <w:pStyle w:val="western"/>
        <w:spacing w:before="0" w:beforeAutospacing="0" w:after="0" w:line="360" w:lineRule="auto"/>
        <w:ind w:firstLine="567"/>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El giro cualitativo incluyó la reapropiación de ciertas categorías que las teorías sociales críticas habían producido durante las décadas anteriores. </w:t>
      </w:r>
      <w:r w:rsidR="00B1304F">
        <w:rPr>
          <w:rFonts w:ascii="Times New Roman" w:hAnsi="Times New Roman" w:cs="Times New Roman"/>
          <w:sz w:val="24"/>
          <w:szCs w:val="24"/>
          <w:lang w:val="es-ES"/>
        </w:rPr>
        <w:t>En primer lugar, se trata del reconocimiento de que “las instituciones importan” (</w:t>
      </w:r>
      <w:proofErr w:type="spellStart"/>
      <w:r w:rsidR="00B1304F">
        <w:rPr>
          <w:rFonts w:ascii="Times New Roman" w:hAnsi="Times New Roman" w:cs="Times New Roman"/>
          <w:sz w:val="24"/>
          <w:szCs w:val="24"/>
          <w:lang w:val="es-ES"/>
        </w:rPr>
        <w:t>Burki</w:t>
      </w:r>
      <w:proofErr w:type="spellEnd"/>
      <w:r w:rsidR="00B1304F">
        <w:rPr>
          <w:rFonts w:ascii="Times New Roman" w:hAnsi="Times New Roman" w:cs="Times New Roman"/>
          <w:sz w:val="24"/>
          <w:szCs w:val="24"/>
          <w:lang w:val="es-ES"/>
        </w:rPr>
        <w:t xml:space="preserve"> y Perry, 1998a: 11) y que “los comportamientos existen”. Es decir, se incorporaba la dimensión subjetiva y, sobre todo, la referencia a la capacidad de agencia de los sujetos de estudio. En este sentido, estos estudios compartían y albergaban la crítica al </w:t>
      </w:r>
      <w:r w:rsidR="00B1304F" w:rsidRPr="00B1304F">
        <w:rPr>
          <w:rFonts w:ascii="Times New Roman" w:hAnsi="Times New Roman" w:cs="Times New Roman"/>
          <w:i/>
          <w:sz w:val="24"/>
          <w:szCs w:val="24"/>
          <w:lang w:val="es-ES"/>
        </w:rPr>
        <w:t xml:space="preserve">homo </w:t>
      </w:r>
      <w:proofErr w:type="spellStart"/>
      <w:r w:rsidR="00B1304F" w:rsidRPr="00B1304F">
        <w:rPr>
          <w:rFonts w:ascii="Times New Roman" w:hAnsi="Times New Roman" w:cs="Times New Roman"/>
          <w:i/>
          <w:sz w:val="24"/>
          <w:szCs w:val="24"/>
          <w:lang w:val="es-ES"/>
        </w:rPr>
        <w:t>economicus</w:t>
      </w:r>
      <w:proofErr w:type="spellEnd"/>
      <w:r w:rsidR="00B1304F">
        <w:rPr>
          <w:rFonts w:ascii="Times New Roman" w:hAnsi="Times New Roman" w:cs="Times New Roman"/>
          <w:sz w:val="24"/>
          <w:szCs w:val="24"/>
          <w:lang w:val="es-ES"/>
        </w:rPr>
        <w:t xml:space="preserve"> de la economía neoclásica en nombre de la subjetividad. En segundo lugar, hallamos categorías que son tomadas y alteradas en su sentido, cuyo caso más paradigmático es la de </w:t>
      </w:r>
      <w:proofErr w:type="spellStart"/>
      <w:r w:rsidR="00B1304F" w:rsidRPr="00B1304F">
        <w:rPr>
          <w:rFonts w:ascii="Times New Roman" w:hAnsi="Times New Roman" w:cs="Times New Roman"/>
          <w:i/>
          <w:sz w:val="24"/>
          <w:szCs w:val="24"/>
          <w:lang w:val="es-ES"/>
        </w:rPr>
        <w:t>empowerment</w:t>
      </w:r>
      <w:proofErr w:type="spellEnd"/>
      <w:r w:rsidR="00B1304F">
        <w:rPr>
          <w:rFonts w:ascii="Times New Roman" w:hAnsi="Times New Roman" w:cs="Times New Roman"/>
          <w:sz w:val="24"/>
          <w:szCs w:val="24"/>
          <w:lang w:val="es-ES"/>
        </w:rPr>
        <w:t>: nacida del movimiento negro y feminista de las décadas del sesenta y setenta, teniendo una raíz colectiva para pensar el poder, fue tomada por el BM y se propagó su referencia al resto de las AID para pensar una nueva tesitura que cada individuo debía desplegar en su relación con las agencias públicas y con los demás</w:t>
      </w:r>
      <w:r w:rsidR="00D37E1B">
        <w:rPr>
          <w:rFonts w:ascii="Times New Roman" w:hAnsi="Times New Roman" w:cs="Times New Roman"/>
          <w:sz w:val="24"/>
          <w:szCs w:val="24"/>
          <w:lang w:val="es-ES"/>
        </w:rPr>
        <w:t xml:space="preserve"> (</w:t>
      </w:r>
      <w:proofErr w:type="spellStart"/>
      <w:r w:rsidR="00D37E1B">
        <w:rPr>
          <w:rFonts w:ascii="Times New Roman" w:hAnsi="Times New Roman" w:cs="Times New Roman"/>
          <w:sz w:val="24"/>
          <w:szCs w:val="24"/>
          <w:lang w:val="es-ES"/>
        </w:rPr>
        <w:t>Molyneux</w:t>
      </w:r>
      <w:proofErr w:type="spellEnd"/>
      <w:r w:rsidR="00D37E1B">
        <w:rPr>
          <w:rFonts w:ascii="Times New Roman" w:hAnsi="Times New Roman" w:cs="Times New Roman"/>
          <w:sz w:val="24"/>
          <w:szCs w:val="24"/>
          <w:lang w:val="es-ES"/>
        </w:rPr>
        <w:t xml:space="preserve">, 2006; </w:t>
      </w:r>
      <w:proofErr w:type="spellStart"/>
      <w:r w:rsidR="00D37E1B">
        <w:rPr>
          <w:rFonts w:ascii="Times New Roman" w:hAnsi="Times New Roman" w:cs="Times New Roman"/>
          <w:sz w:val="24"/>
          <w:szCs w:val="24"/>
          <w:lang w:val="es-ES"/>
        </w:rPr>
        <w:t>Papalini</w:t>
      </w:r>
      <w:proofErr w:type="spellEnd"/>
      <w:r w:rsidR="00D37E1B">
        <w:rPr>
          <w:rFonts w:ascii="Times New Roman" w:hAnsi="Times New Roman" w:cs="Times New Roman"/>
          <w:sz w:val="24"/>
          <w:szCs w:val="24"/>
          <w:lang w:val="es-ES"/>
        </w:rPr>
        <w:t xml:space="preserve"> y Echavarría, 2016</w:t>
      </w:r>
      <w:r w:rsidR="00B1304F">
        <w:rPr>
          <w:rFonts w:ascii="Times New Roman" w:hAnsi="Times New Roman" w:cs="Times New Roman"/>
          <w:sz w:val="24"/>
          <w:szCs w:val="24"/>
          <w:lang w:val="es-ES"/>
        </w:rPr>
        <w:t xml:space="preserve">. Hacer la voz de cada uno en la sociedad civil era la expresión de este nuevo empoderamiento. </w:t>
      </w:r>
    </w:p>
    <w:p w:rsidR="00340D3F" w:rsidRDefault="00D864C2" w:rsidP="00863C8A">
      <w:pPr>
        <w:pStyle w:val="western"/>
        <w:spacing w:before="0" w:beforeAutospacing="0" w:after="0" w:line="360" w:lineRule="auto"/>
        <w:ind w:firstLine="567"/>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Ahora bien, la forma</w:t>
      </w:r>
      <w:r w:rsidR="00B1304F">
        <w:rPr>
          <w:rFonts w:ascii="Times New Roman" w:hAnsi="Times New Roman" w:cs="Times New Roman"/>
          <w:sz w:val="24"/>
          <w:szCs w:val="24"/>
          <w:lang w:val="es-ES"/>
        </w:rPr>
        <w:t xml:space="preserve"> de este desplazamiento fue disímil: algunos saberes hicieron aparecer a la política en la discusión técnica, otros tuvieron</w:t>
      </w:r>
      <w:r w:rsidR="00520BDD">
        <w:rPr>
          <w:rFonts w:ascii="Times New Roman" w:hAnsi="Times New Roman" w:cs="Times New Roman"/>
          <w:sz w:val="24"/>
          <w:szCs w:val="24"/>
          <w:lang w:val="es-ES"/>
        </w:rPr>
        <w:t xml:space="preserve"> a los individuos como la unidad de análisis por excelencia. Ambos </w:t>
      </w:r>
      <w:r w:rsidR="00B1304F">
        <w:rPr>
          <w:rFonts w:ascii="Times New Roman" w:hAnsi="Times New Roman" w:cs="Times New Roman"/>
          <w:sz w:val="24"/>
          <w:szCs w:val="24"/>
          <w:lang w:val="es-ES"/>
        </w:rPr>
        <w:t>recomponían lo social de maneras diferentes.</w:t>
      </w:r>
    </w:p>
    <w:p w:rsidR="00D864C2" w:rsidRDefault="00520BDD" w:rsidP="007A6BCA">
      <w:pPr>
        <w:pStyle w:val="western"/>
        <w:spacing w:before="0" w:beforeAutospacing="0" w:after="0" w:line="360" w:lineRule="auto"/>
        <w:ind w:firstLine="567"/>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p>
    <w:p w:rsidR="00443E85" w:rsidRPr="0065368E" w:rsidRDefault="00443E85" w:rsidP="007A6BCA">
      <w:pPr>
        <w:pStyle w:val="western"/>
        <w:spacing w:before="0" w:beforeAutospacing="0" w:after="0" w:line="360" w:lineRule="auto"/>
        <w:ind w:firstLine="567"/>
        <w:rPr>
          <w:rFonts w:ascii="Times New Roman" w:hAnsi="Times New Roman" w:cs="Times New Roman"/>
          <w:b/>
          <w:i/>
          <w:lang w:val="es-ES"/>
        </w:rPr>
      </w:pPr>
      <w:proofErr w:type="gramStart"/>
      <w:r w:rsidRPr="0065368E">
        <w:rPr>
          <w:rFonts w:ascii="Times New Roman" w:hAnsi="Times New Roman" w:cs="Times New Roman"/>
          <w:b/>
          <w:i/>
          <w:iCs/>
          <w:sz w:val="24"/>
          <w:szCs w:val="24"/>
          <w:lang w:val="es-ES"/>
        </w:rPr>
        <w:t>5.</w:t>
      </w:r>
      <w:r w:rsidR="00863C8A" w:rsidRPr="0065368E">
        <w:rPr>
          <w:rFonts w:ascii="Times New Roman" w:hAnsi="Times New Roman" w:cs="Times New Roman"/>
          <w:b/>
          <w:i/>
          <w:iCs/>
          <w:sz w:val="24"/>
          <w:szCs w:val="24"/>
          <w:lang w:val="es-ES"/>
        </w:rPr>
        <w:t>b</w:t>
      </w:r>
      <w:proofErr w:type="gramEnd"/>
      <w:r w:rsidR="00863C8A" w:rsidRPr="0065368E">
        <w:rPr>
          <w:rFonts w:ascii="Times New Roman" w:hAnsi="Times New Roman" w:cs="Times New Roman"/>
          <w:b/>
          <w:i/>
          <w:iCs/>
          <w:sz w:val="24"/>
          <w:szCs w:val="24"/>
          <w:lang w:val="es-ES"/>
        </w:rPr>
        <w:t>.</w:t>
      </w:r>
      <w:r w:rsidRPr="0065368E">
        <w:rPr>
          <w:rFonts w:ascii="Times New Roman" w:hAnsi="Times New Roman" w:cs="Times New Roman"/>
          <w:b/>
          <w:i/>
          <w:iCs/>
          <w:sz w:val="24"/>
          <w:szCs w:val="24"/>
          <w:lang w:val="es-ES"/>
        </w:rPr>
        <w:t xml:space="preserve"> El desfondamiento de la técnica y las reemergencia de la política</w:t>
      </w:r>
    </w:p>
    <w:p w:rsidR="005A2E46" w:rsidRDefault="0065368E" w:rsidP="00863C8A">
      <w:pPr>
        <w:pStyle w:val="western"/>
        <w:spacing w:before="0" w:beforeAutospacing="0" w:after="0" w:line="360" w:lineRule="auto"/>
        <w:ind w:firstLine="567"/>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En los desplazamientos producidos en los saberes expertos por las transformaciones programáticas y en su propia legitimidad, una de las modalidades en que ello se realiza </w:t>
      </w:r>
      <w:r w:rsidR="00863C8A" w:rsidRPr="0065368E">
        <w:rPr>
          <w:rFonts w:ascii="Times New Roman" w:hAnsi="Times New Roman" w:cs="Times New Roman"/>
          <w:sz w:val="24"/>
          <w:szCs w:val="24"/>
          <w:lang w:val="es-ES"/>
        </w:rPr>
        <w:t>consistió e</w:t>
      </w:r>
      <w:r w:rsidR="00863C8A">
        <w:rPr>
          <w:rFonts w:ascii="Times New Roman" w:hAnsi="Times New Roman" w:cs="Times New Roman"/>
          <w:sz w:val="24"/>
          <w:szCs w:val="24"/>
          <w:lang w:val="es-ES"/>
        </w:rPr>
        <w:t xml:space="preserve">n la limitación de la técnica como racionalidad autosuficiente para determinar las orientaciones del cambio societario, para hacer emerger a la política como ámbito de relaciones. </w:t>
      </w:r>
      <w:r w:rsidR="00782474">
        <w:rPr>
          <w:rFonts w:ascii="Times New Roman" w:hAnsi="Times New Roman" w:cs="Times New Roman"/>
          <w:sz w:val="24"/>
          <w:szCs w:val="24"/>
          <w:lang w:val="es-ES"/>
        </w:rPr>
        <w:t xml:space="preserve">La encontramos en los documentos de la OIT y la CEPAL, </w:t>
      </w:r>
      <w:r>
        <w:rPr>
          <w:rFonts w:ascii="Times New Roman" w:hAnsi="Times New Roman" w:cs="Times New Roman"/>
          <w:sz w:val="24"/>
          <w:szCs w:val="24"/>
          <w:lang w:val="es-ES"/>
        </w:rPr>
        <w:t>cuya programática daba</w:t>
      </w:r>
      <w:r w:rsidR="00782474">
        <w:rPr>
          <w:rFonts w:ascii="Times New Roman" w:hAnsi="Times New Roman" w:cs="Times New Roman"/>
          <w:sz w:val="24"/>
          <w:szCs w:val="24"/>
          <w:lang w:val="es-ES"/>
        </w:rPr>
        <w:t xml:space="preserve"> relevancia al Estado como </w:t>
      </w:r>
      <w:r w:rsidR="00782474" w:rsidRPr="00782474">
        <w:rPr>
          <w:rFonts w:ascii="Times New Roman" w:hAnsi="Times New Roman" w:cs="Times New Roman"/>
          <w:i/>
          <w:sz w:val="24"/>
          <w:szCs w:val="24"/>
          <w:lang w:val="es-ES"/>
        </w:rPr>
        <w:t>locus</w:t>
      </w:r>
      <w:r w:rsidR="00782474">
        <w:rPr>
          <w:rFonts w:ascii="Times New Roman" w:hAnsi="Times New Roman" w:cs="Times New Roman"/>
          <w:sz w:val="24"/>
          <w:szCs w:val="24"/>
          <w:lang w:val="es-ES"/>
        </w:rPr>
        <w:t xml:space="preserve"> de la gestión de acuerdos políticos orientadores y como agente responsable de ciertas garantías para la vida individual y colectiva. </w:t>
      </w:r>
    </w:p>
    <w:p w:rsidR="007F5695" w:rsidRDefault="000E3E03" w:rsidP="00863C8A">
      <w:pPr>
        <w:pStyle w:val="western"/>
        <w:spacing w:before="0" w:beforeAutospacing="0" w:after="0" w:line="360" w:lineRule="auto"/>
        <w:ind w:firstLine="567"/>
        <w:jc w:val="both"/>
        <w:rPr>
          <w:rFonts w:ascii="Times New Roman" w:hAnsi="Times New Roman" w:cs="Times New Roman"/>
          <w:sz w:val="24"/>
          <w:szCs w:val="24"/>
          <w:lang w:val="es-ES"/>
        </w:rPr>
      </w:pPr>
      <w:r>
        <w:rPr>
          <w:rFonts w:ascii="Times New Roman" w:hAnsi="Times New Roman" w:cs="Times New Roman"/>
          <w:sz w:val="24"/>
          <w:szCs w:val="24"/>
          <w:lang w:val="es-ES"/>
        </w:rPr>
        <w:t>Sus</w:t>
      </w:r>
      <w:r w:rsidR="007F5695">
        <w:rPr>
          <w:rFonts w:ascii="Times New Roman" w:hAnsi="Times New Roman" w:cs="Times New Roman"/>
          <w:sz w:val="24"/>
          <w:szCs w:val="24"/>
          <w:lang w:val="es-ES"/>
        </w:rPr>
        <w:t xml:space="preserve"> diagnósticos distinguían la dimensión social de la globalización mediante una </w:t>
      </w:r>
      <w:proofErr w:type="spellStart"/>
      <w:r w:rsidR="007F5695">
        <w:rPr>
          <w:rFonts w:ascii="Times New Roman" w:hAnsi="Times New Roman" w:cs="Times New Roman"/>
          <w:sz w:val="24"/>
          <w:szCs w:val="24"/>
          <w:lang w:val="es-ES"/>
        </w:rPr>
        <w:t>discursividad</w:t>
      </w:r>
      <w:proofErr w:type="spellEnd"/>
      <w:r w:rsidR="007F5695">
        <w:rPr>
          <w:rFonts w:ascii="Times New Roman" w:hAnsi="Times New Roman" w:cs="Times New Roman"/>
          <w:sz w:val="24"/>
          <w:szCs w:val="24"/>
          <w:lang w:val="es-ES"/>
        </w:rPr>
        <w:t xml:space="preserve"> atr</w:t>
      </w:r>
      <w:r w:rsidR="002D0A68">
        <w:rPr>
          <w:rFonts w:ascii="Times New Roman" w:hAnsi="Times New Roman" w:cs="Times New Roman"/>
          <w:sz w:val="24"/>
          <w:szCs w:val="24"/>
          <w:lang w:val="es-ES"/>
        </w:rPr>
        <w:t xml:space="preserve">avesada por la reflexión ética, poniendo de relieve las </w:t>
      </w:r>
      <w:r w:rsidR="007F5695">
        <w:rPr>
          <w:rFonts w:ascii="Times New Roman" w:hAnsi="Times New Roman" w:cs="Times New Roman"/>
          <w:sz w:val="24"/>
          <w:szCs w:val="24"/>
          <w:lang w:val="es-ES"/>
        </w:rPr>
        <w:t xml:space="preserve">desigualdades e injusticias que asediaban al modelo de globalización vigente. </w:t>
      </w:r>
      <w:r w:rsidR="002D0A68">
        <w:rPr>
          <w:rFonts w:ascii="Times New Roman" w:hAnsi="Times New Roman" w:cs="Times New Roman"/>
          <w:sz w:val="24"/>
          <w:szCs w:val="24"/>
          <w:lang w:val="es-ES"/>
        </w:rPr>
        <w:t xml:space="preserve">Además del fundamento económico de las protecciones, se destacaba que portaban un </w:t>
      </w:r>
      <w:r w:rsidR="007F5695">
        <w:rPr>
          <w:rFonts w:ascii="Times New Roman" w:hAnsi="Times New Roman" w:cs="Times New Roman"/>
          <w:sz w:val="24"/>
          <w:szCs w:val="24"/>
          <w:lang w:val="es-ES"/>
        </w:rPr>
        <w:t>valor en sí mismo</w:t>
      </w:r>
      <w:r w:rsidR="002D0A68">
        <w:rPr>
          <w:rFonts w:ascii="Times New Roman" w:hAnsi="Times New Roman" w:cs="Times New Roman"/>
          <w:sz w:val="24"/>
          <w:szCs w:val="24"/>
          <w:lang w:val="es-ES"/>
        </w:rPr>
        <w:t xml:space="preserve">: su contribución a la justicia social, su rol distributivo. </w:t>
      </w:r>
    </w:p>
    <w:p w:rsidR="007F5695" w:rsidRPr="002D0A68" w:rsidRDefault="007F5695" w:rsidP="002D0A68">
      <w:pPr>
        <w:spacing w:after="0" w:line="240" w:lineRule="auto"/>
        <w:ind w:left="708"/>
        <w:jc w:val="both"/>
        <w:rPr>
          <w:rFonts w:ascii="Times New Roman" w:hAnsi="Times New Roman"/>
        </w:rPr>
      </w:pPr>
      <w:r w:rsidRPr="002D0A68">
        <w:rPr>
          <w:rFonts w:ascii="Times New Roman" w:hAnsi="Times New Roman"/>
        </w:rPr>
        <w:t xml:space="preserve">Mientras que el éxito de una economía suele medirse mediante índices de crecimiento de la producción o de los ingresos, </w:t>
      </w:r>
      <w:r w:rsidRPr="002D0A68">
        <w:rPr>
          <w:rFonts w:ascii="Times New Roman" w:hAnsi="Times New Roman"/>
          <w:i/>
        </w:rPr>
        <w:t>el progreso social se calcula en base al</w:t>
      </w:r>
      <w:r w:rsidRPr="002D0A68">
        <w:rPr>
          <w:rFonts w:ascii="Times New Roman" w:hAnsi="Times New Roman"/>
        </w:rPr>
        <w:t xml:space="preserve"> </w:t>
      </w:r>
      <w:r w:rsidRPr="002D0A68">
        <w:rPr>
          <w:rFonts w:ascii="Times New Roman" w:hAnsi="Times New Roman"/>
          <w:i/>
        </w:rPr>
        <w:t>goce de ciertos derechos y libertades, de seguridad y de protección social</w:t>
      </w:r>
      <w:r w:rsidRPr="002D0A68">
        <w:rPr>
          <w:rFonts w:ascii="Times New Roman" w:hAnsi="Times New Roman"/>
        </w:rPr>
        <w:t xml:space="preserve">. </w:t>
      </w:r>
      <w:r w:rsidR="002D0A68" w:rsidRPr="002D0A68">
        <w:rPr>
          <w:rFonts w:ascii="Times New Roman" w:hAnsi="Times New Roman"/>
        </w:rPr>
        <w:t>(…)</w:t>
      </w:r>
      <w:r w:rsidRPr="002D0A68">
        <w:rPr>
          <w:rFonts w:ascii="Times New Roman" w:hAnsi="Times New Roman"/>
        </w:rPr>
        <w:t xml:space="preserve"> No obstante, (…) el trabajo realizado en condiciones decentes, recibiendo ingresos decentes, también puede contribuir a la </w:t>
      </w:r>
      <w:r w:rsidRPr="002D0A68">
        <w:rPr>
          <w:rFonts w:ascii="Times New Roman" w:hAnsi="Times New Roman"/>
          <w:i/>
        </w:rPr>
        <w:t>eficacia económica</w:t>
      </w:r>
      <w:r w:rsidRPr="002D0A68">
        <w:rPr>
          <w:rFonts w:ascii="Times New Roman" w:hAnsi="Times New Roman"/>
        </w:rPr>
        <w:t xml:space="preserve">. </w:t>
      </w:r>
      <w:r w:rsidR="002D0A68" w:rsidRPr="002D0A68">
        <w:rPr>
          <w:rFonts w:ascii="Times New Roman" w:hAnsi="Times New Roman"/>
        </w:rPr>
        <w:t xml:space="preserve">(…) </w:t>
      </w:r>
      <w:r w:rsidR="002D0A68" w:rsidRPr="002D0A68">
        <w:rPr>
          <w:rFonts w:ascii="Times New Roman" w:hAnsi="Times New Roman"/>
          <w:i/>
        </w:rPr>
        <w:t>E</w:t>
      </w:r>
      <w:r w:rsidRPr="002D0A68">
        <w:rPr>
          <w:rFonts w:ascii="Times New Roman" w:hAnsi="Times New Roman"/>
          <w:i/>
        </w:rPr>
        <w:t>l trabajo decente es a la larga rentable</w:t>
      </w:r>
      <w:r w:rsidRPr="002D0A68">
        <w:rPr>
          <w:rFonts w:ascii="Times New Roman" w:hAnsi="Times New Roman"/>
        </w:rPr>
        <w:t xml:space="preserve">. Evidentemente, esto no siempre ocurre así y los avances que se realicen en el ámbito del trabajo decente tendrán a veces un </w:t>
      </w:r>
      <w:r w:rsidRPr="002D0A68">
        <w:rPr>
          <w:rFonts w:ascii="Times New Roman" w:hAnsi="Times New Roman"/>
          <w:i/>
        </w:rPr>
        <w:t>costo</w:t>
      </w:r>
      <w:r w:rsidRPr="002D0A68">
        <w:rPr>
          <w:rFonts w:ascii="Times New Roman" w:hAnsi="Times New Roman"/>
        </w:rPr>
        <w:t xml:space="preserve">. Pero creo que con frecuencia estos costos se exageran, o los beneficios se subestiman. </w:t>
      </w:r>
      <w:r w:rsidRPr="002D0A68">
        <w:rPr>
          <w:rFonts w:ascii="Times New Roman" w:hAnsi="Times New Roman"/>
          <w:i/>
        </w:rPr>
        <w:t>El trabajo decente es un objetivo por derecho propio</w:t>
      </w:r>
      <w:r w:rsidRPr="002D0A68">
        <w:rPr>
          <w:rFonts w:ascii="Times New Roman" w:hAnsi="Times New Roman"/>
        </w:rPr>
        <w:t xml:space="preserve"> (…). </w:t>
      </w:r>
      <w:r w:rsidRPr="002D0A68">
        <w:rPr>
          <w:rFonts w:ascii="Times New Roman" w:hAnsi="Times New Roman"/>
          <w:i/>
        </w:rPr>
        <w:t xml:space="preserve">Ni la productividad ni la justicia social son «malas palabras» para la OIT. </w:t>
      </w:r>
      <w:r w:rsidRPr="002D0A68">
        <w:rPr>
          <w:rFonts w:ascii="Times New Roman" w:hAnsi="Times New Roman"/>
        </w:rPr>
        <w:t>(OIT, 2001a: 18; destacado propio)</w:t>
      </w:r>
    </w:p>
    <w:p w:rsidR="007469FE" w:rsidRDefault="002D0A68" w:rsidP="007469FE">
      <w:pPr>
        <w:spacing w:after="0" w:line="360" w:lineRule="auto"/>
        <w:ind w:firstLine="284"/>
        <w:jc w:val="both"/>
        <w:rPr>
          <w:rFonts w:ascii="Times New Roman" w:hAnsi="Times New Roman"/>
          <w:lang w:val="es-ES"/>
        </w:rPr>
      </w:pPr>
      <w:r>
        <w:rPr>
          <w:rFonts w:ascii="Times New Roman" w:hAnsi="Times New Roman"/>
          <w:sz w:val="24"/>
          <w:szCs w:val="24"/>
        </w:rPr>
        <w:t>En este sen</w:t>
      </w:r>
      <w:r w:rsidR="007469FE">
        <w:rPr>
          <w:rFonts w:ascii="Times New Roman" w:hAnsi="Times New Roman"/>
          <w:sz w:val="24"/>
          <w:szCs w:val="24"/>
        </w:rPr>
        <w:t xml:space="preserve">tido, los documentos </w:t>
      </w:r>
      <w:r>
        <w:rPr>
          <w:rFonts w:ascii="Times New Roman" w:hAnsi="Times New Roman"/>
          <w:sz w:val="24"/>
          <w:szCs w:val="24"/>
        </w:rPr>
        <w:t xml:space="preserve">de estas agencias </w:t>
      </w:r>
      <w:r w:rsidR="007469FE">
        <w:rPr>
          <w:rFonts w:ascii="Times New Roman" w:hAnsi="Times New Roman"/>
          <w:sz w:val="24"/>
          <w:szCs w:val="24"/>
        </w:rPr>
        <w:t>reconocían que, en el centro de la discusión sobre la reorientación de las políticas, yacía la distribución, que era una cuestión más política que técnica</w:t>
      </w:r>
      <w:r>
        <w:rPr>
          <w:rFonts w:ascii="Times New Roman" w:hAnsi="Times New Roman"/>
          <w:sz w:val="24"/>
          <w:szCs w:val="24"/>
        </w:rPr>
        <w:t xml:space="preserve">. </w:t>
      </w:r>
      <w:r w:rsidR="007469FE">
        <w:rPr>
          <w:rFonts w:ascii="Times New Roman" w:hAnsi="Times New Roman"/>
          <w:sz w:val="24"/>
          <w:szCs w:val="24"/>
        </w:rPr>
        <w:t xml:space="preserve">Y desde allí había que asumirla: las nuevas programáticas debían prever la construcción de acuerdos propiamente políticos, que se propusieran ir más allá de aparentes restricciones técnicas, como la presupuestaria. La política y el Estado no eran sustituibles (CEPAL, 2002). En este sentido, el saber producido por las AID estaría orientado a la construcción de saberes de Estado. </w:t>
      </w:r>
    </w:p>
    <w:p w:rsidR="007469FE" w:rsidRDefault="007469FE" w:rsidP="007469FE">
      <w:pPr>
        <w:tabs>
          <w:tab w:val="left" w:pos="2148"/>
        </w:tabs>
        <w:spacing w:after="0" w:line="240" w:lineRule="auto"/>
        <w:ind w:left="708"/>
        <w:jc w:val="both"/>
        <w:rPr>
          <w:rFonts w:ascii="Times New Roman" w:hAnsi="Times New Roman"/>
        </w:rPr>
      </w:pPr>
      <w:r w:rsidRPr="564C039A">
        <w:rPr>
          <w:rFonts w:ascii="Times New Roman" w:hAnsi="Times New Roman"/>
        </w:rPr>
        <w:t xml:space="preserve">De allí la </w:t>
      </w:r>
      <w:r w:rsidRPr="007469FE">
        <w:rPr>
          <w:rFonts w:ascii="Times New Roman" w:hAnsi="Times New Roman"/>
          <w:iCs/>
        </w:rPr>
        <w:t>importancia capital de la política y del Estado</w:t>
      </w:r>
      <w:r w:rsidRPr="564C039A">
        <w:rPr>
          <w:rFonts w:ascii="Times New Roman" w:hAnsi="Times New Roman"/>
        </w:rPr>
        <w:t xml:space="preserve">. De la política, porque la concurrencia de agentes para transformar el patrón productivo y seleccionar sectores a potenciar necesita de </w:t>
      </w:r>
      <w:r w:rsidRPr="564C039A">
        <w:rPr>
          <w:rFonts w:ascii="Times New Roman" w:hAnsi="Times New Roman"/>
          <w:i/>
          <w:iCs/>
        </w:rPr>
        <w:t>pactos políticos</w:t>
      </w:r>
      <w:r w:rsidRPr="564C039A">
        <w:rPr>
          <w:rFonts w:ascii="Times New Roman" w:hAnsi="Times New Roman"/>
        </w:rPr>
        <w:t xml:space="preserve"> que garanticen voluntad y </w:t>
      </w:r>
      <w:r w:rsidRPr="007469FE">
        <w:rPr>
          <w:rFonts w:ascii="Times New Roman" w:hAnsi="Times New Roman"/>
          <w:iCs/>
        </w:rPr>
        <w:t>sostenibilidad</w:t>
      </w:r>
      <w:r w:rsidRPr="564C039A">
        <w:rPr>
          <w:rFonts w:ascii="Times New Roman" w:hAnsi="Times New Roman"/>
        </w:rPr>
        <w:t xml:space="preserve"> para esta opción del desarrollo</w:t>
      </w:r>
      <w:r>
        <w:rPr>
          <w:rFonts w:ascii="Times New Roman" w:hAnsi="Times New Roman"/>
        </w:rPr>
        <w:t xml:space="preserve"> (…). </w:t>
      </w:r>
      <w:r w:rsidRPr="564C039A">
        <w:rPr>
          <w:rFonts w:ascii="Times New Roman" w:hAnsi="Times New Roman"/>
        </w:rPr>
        <w:t xml:space="preserve">La experiencia muestra que la autorregulación de los mercados no optimiza la asignación de factores, no promueve sinergias, no integra socialmente, no selecciona de la manera más adecuada ni asegura orientación sostenible en el desarrollo. (…) Quien puede regular, </w:t>
      </w:r>
      <w:r w:rsidRPr="564C039A">
        <w:rPr>
          <w:rFonts w:ascii="Times New Roman" w:hAnsi="Times New Roman"/>
        </w:rPr>
        <w:lastRenderedPageBreak/>
        <w:t>fiscalizar, seleccionar y coordinar en el ámbito nacional (...) es el Estado” (CEPAL, 2012: 291).</w:t>
      </w:r>
    </w:p>
    <w:p w:rsidR="00115B14" w:rsidRDefault="00115B14" w:rsidP="00115B14">
      <w:pPr>
        <w:tabs>
          <w:tab w:val="left" w:pos="2148"/>
        </w:tabs>
        <w:spacing w:after="0" w:line="240" w:lineRule="auto"/>
        <w:jc w:val="both"/>
        <w:rPr>
          <w:rFonts w:ascii="Times New Roman" w:hAnsi="Times New Roman"/>
        </w:rPr>
      </w:pPr>
    </w:p>
    <w:p w:rsidR="007469FE" w:rsidRDefault="007469FE" w:rsidP="007469FE">
      <w:pPr>
        <w:pStyle w:val="western"/>
        <w:spacing w:before="0" w:beforeAutospacing="0" w:after="0" w:line="360" w:lineRule="auto"/>
        <w:jc w:val="both"/>
        <w:rPr>
          <w:rFonts w:ascii="Times New Roman" w:hAnsi="Times New Roman" w:cs="Times New Roman"/>
          <w:i/>
          <w:lang w:val="es-ES"/>
        </w:rPr>
      </w:pPr>
      <w:proofErr w:type="gramStart"/>
      <w:r>
        <w:rPr>
          <w:rFonts w:ascii="Times New Roman" w:hAnsi="Times New Roman" w:cs="Times New Roman"/>
          <w:b/>
          <w:i/>
          <w:iCs/>
          <w:sz w:val="24"/>
          <w:szCs w:val="24"/>
          <w:lang w:val="es-ES"/>
        </w:rPr>
        <w:t>5.c</w:t>
      </w:r>
      <w:proofErr w:type="gramEnd"/>
      <w:r>
        <w:rPr>
          <w:rFonts w:ascii="Times New Roman" w:hAnsi="Times New Roman" w:cs="Times New Roman"/>
          <w:b/>
          <w:i/>
          <w:iCs/>
          <w:sz w:val="24"/>
          <w:szCs w:val="24"/>
          <w:lang w:val="es-ES"/>
        </w:rPr>
        <w:t xml:space="preserve">. </w:t>
      </w:r>
      <w:r w:rsidR="00443E85" w:rsidRPr="0044502E">
        <w:rPr>
          <w:rFonts w:ascii="Times New Roman" w:hAnsi="Times New Roman" w:cs="Times New Roman"/>
          <w:b/>
          <w:i/>
          <w:iCs/>
          <w:sz w:val="24"/>
          <w:szCs w:val="24"/>
          <w:lang w:val="es-ES"/>
        </w:rPr>
        <w:t>“Los comportamientos importan”. El individuo como eje de nuevos saberes disciplinares</w:t>
      </w:r>
    </w:p>
    <w:p w:rsidR="007469FE" w:rsidRDefault="0067777D" w:rsidP="007469FE">
      <w:pPr>
        <w:pStyle w:val="western"/>
        <w:spacing w:before="0" w:beforeAutospacing="0"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Como hemos señalado, nuestro trabajo de investigación prestó especial atención a los diagnósticos relativos a la informalidad laboral. El trabajo de archivo nos permitió ubicar un intenso debate por el cual el fenómeno fue redefinido y, dentro de las posiciones en discusión, las producciones del BM y del BID fueron las que introdujeron la voluntariedad como factor explicativo de la renovada magnitud que el mismo alcanzaba. </w:t>
      </w:r>
      <w:r w:rsidR="00E262FD">
        <w:rPr>
          <w:rFonts w:ascii="Times New Roman" w:hAnsi="Times New Roman" w:cs="Times New Roman"/>
          <w:sz w:val="24"/>
          <w:szCs w:val="24"/>
        </w:rPr>
        <w:t xml:space="preserve">En las </w:t>
      </w:r>
      <w:proofErr w:type="spellStart"/>
      <w:r w:rsidR="00E262FD">
        <w:rPr>
          <w:rFonts w:ascii="Times New Roman" w:hAnsi="Times New Roman" w:cs="Times New Roman"/>
          <w:sz w:val="24"/>
          <w:szCs w:val="24"/>
        </w:rPr>
        <w:t>reconceptualizaciones</w:t>
      </w:r>
      <w:proofErr w:type="spellEnd"/>
      <w:r w:rsidR="00E262FD">
        <w:rPr>
          <w:rFonts w:ascii="Times New Roman" w:hAnsi="Times New Roman" w:cs="Times New Roman"/>
          <w:sz w:val="24"/>
          <w:szCs w:val="24"/>
        </w:rPr>
        <w:t xml:space="preserve"> de la pobreza y de la cohesión social, ambos bancos también fueron punta de lanza para introducir categorías que analizaran las razones de las personas para sus comportamientos y que orientaban la interacción. </w:t>
      </w:r>
    </w:p>
    <w:p w:rsidR="00E262FD" w:rsidRDefault="00E262FD" w:rsidP="00E262FD">
      <w:pPr>
        <w:pStyle w:val="western"/>
        <w:spacing w:before="0" w:beforeAutospacing="0"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En un documento del BID encontramos una reconstrucción del enfoque propuesto para </w:t>
      </w:r>
      <w:r w:rsidR="0044502E">
        <w:rPr>
          <w:rFonts w:ascii="Times New Roman" w:hAnsi="Times New Roman" w:cs="Times New Roman"/>
          <w:sz w:val="24"/>
          <w:szCs w:val="24"/>
        </w:rPr>
        <w:t xml:space="preserve">“entender para reformar” (Bosch et al., 2013: 64). </w:t>
      </w:r>
      <w:r>
        <w:rPr>
          <w:rFonts w:ascii="Times New Roman" w:hAnsi="Times New Roman" w:cs="Times New Roman"/>
          <w:sz w:val="24"/>
          <w:szCs w:val="24"/>
        </w:rPr>
        <w:t xml:space="preserve">Se trataba de una nueva disciplina, </w:t>
      </w:r>
      <w:r w:rsidR="0044502E">
        <w:rPr>
          <w:rFonts w:ascii="Times New Roman" w:hAnsi="Times New Roman" w:cs="Times New Roman"/>
          <w:sz w:val="24"/>
          <w:szCs w:val="24"/>
        </w:rPr>
        <w:t xml:space="preserve">la economía del comportamiento, </w:t>
      </w:r>
      <w:r>
        <w:rPr>
          <w:rFonts w:ascii="Times New Roman" w:hAnsi="Times New Roman" w:cs="Times New Roman"/>
          <w:sz w:val="24"/>
          <w:szCs w:val="24"/>
        </w:rPr>
        <w:t>ubicada en la intersección</w:t>
      </w:r>
      <w:r w:rsidR="0044502E">
        <w:rPr>
          <w:rFonts w:ascii="Times New Roman" w:hAnsi="Times New Roman" w:cs="Times New Roman"/>
          <w:sz w:val="24"/>
          <w:szCs w:val="24"/>
        </w:rPr>
        <w:t xml:space="preserve"> entre economía y psicología</w:t>
      </w:r>
      <w:r>
        <w:rPr>
          <w:rFonts w:ascii="Times New Roman" w:hAnsi="Times New Roman" w:cs="Times New Roman"/>
          <w:sz w:val="24"/>
          <w:szCs w:val="24"/>
        </w:rPr>
        <w:t xml:space="preserve">. Su objeto </w:t>
      </w:r>
      <w:r w:rsidR="0044502E">
        <w:rPr>
          <w:rFonts w:ascii="Times New Roman" w:hAnsi="Times New Roman" w:cs="Times New Roman"/>
          <w:sz w:val="24"/>
          <w:szCs w:val="24"/>
        </w:rPr>
        <w:t>de análisis</w:t>
      </w:r>
      <w:r>
        <w:rPr>
          <w:rFonts w:ascii="Times New Roman" w:hAnsi="Times New Roman" w:cs="Times New Roman"/>
          <w:sz w:val="24"/>
          <w:szCs w:val="24"/>
        </w:rPr>
        <w:t xml:space="preserve"> son</w:t>
      </w:r>
      <w:r w:rsidR="0044502E">
        <w:rPr>
          <w:rFonts w:ascii="Times New Roman" w:hAnsi="Times New Roman" w:cs="Times New Roman"/>
          <w:sz w:val="24"/>
          <w:szCs w:val="24"/>
        </w:rPr>
        <w:t xml:space="preserve"> las decisiones de los individuos.</w:t>
      </w:r>
      <w:r>
        <w:rPr>
          <w:rFonts w:ascii="Times New Roman" w:hAnsi="Times New Roman" w:cs="Times New Roman"/>
          <w:sz w:val="24"/>
          <w:szCs w:val="24"/>
        </w:rPr>
        <w:t xml:space="preserve"> Su punto de partida era el redescubrimiento de que los comportamientos importan: la forma en que la economía neoclásica que los comprendía era insuficiente, pues </w:t>
      </w:r>
      <w:r w:rsidR="0044502E">
        <w:rPr>
          <w:rFonts w:ascii="Times New Roman" w:hAnsi="Times New Roman" w:cs="Times New Roman"/>
          <w:sz w:val="24"/>
          <w:szCs w:val="24"/>
        </w:rPr>
        <w:t>no todas las decis</w:t>
      </w:r>
      <w:r>
        <w:rPr>
          <w:rFonts w:ascii="Times New Roman" w:hAnsi="Times New Roman" w:cs="Times New Roman"/>
          <w:sz w:val="24"/>
          <w:szCs w:val="24"/>
        </w:rPr>
        <w:t>iones tomadas por los sujetos son “</w:t>
      </w:r>
      <w:r w:rsidR="0044502E">
        <w:rPr>
          <w:rFonts w:ascii="Times New Roman" w:hAnsi="Times New Roman" w:cs="Times New Roman"/>
          <w:sz w:val="24"/>
          <w:szCs w:val="24"/>
        </w:rPr>
        <w:t>racionales</w:t>
      </w:r>
      <w:r>
        <w:rPr>
          <w:rFonts w:ascii="Times New Roman" w:hAnsi="Times New Roman" w:cs="Times New Roman"/>
          <w:sz w:val="24"/>
          <w:szCs w:val="24"/>
        </w:rPr>
        <w:t xml:space="preserve">”. Esta disciplina argumentaba y demostraba, mediante situaciones experimentales, </w:t>
      </w:r>
      <w:r w:rsidR="0044502E">
        <w:rPr>
          <w:rFonts w:ascii="Times New Roman" w:hAnsi="Times New Roman" w:cs="Times New Roman"/>
          <w:sz w:val="24"/>
          <w:szCs w:val="24"/>
        </w:rPr>
        <w:t xml:space="preserve">que el contexto constituía un factor determinante en la definición de sus inclinaciones. </w:t>
      </w:r>
      <w:r>
        <w:rPr>
          <w:rFonts w:ascii="Times New Roman" w:hAnsi="Times New Roman" w:cs="Times New Roman"/>
          <w:sz w:val="24"/>
          <w:szCs w:val="24"/>
        </w:rPr>
        <w:t>Asimismo, en lo</w:t>
      </w:r>
      <w:r w:rsidR="0044502E">
        <w:rPr>
          <w:rFonts w:ascii="Times New Roman" w:hAnsi="Times New Roman" w:cs="Times New Roman"/>
          <w:sz w:val="24"/>
          <w:szCs w:val="24"/>
        </w:rPr>
        <w:t>s “cálculos” efectuados por los individuos</w:t>
      </w:r>
      <w:r>
        <w:rPr>
          <w:rFonts w:ascii="Times New Roman" w:hAnsi="Times New Roman" w:cs="Times New Roman"/>
          <w:sz w:val="24"/>
          <w:szCs w:val="24"/>
        </w:rPr>
        <w:t xml:space="preserve"> se</w:t>
      </w:r>
      <w:r w:rsidR="0044502E">
        <w:rPr>
          <w:rFonts w:ascii="Times New Roman" w:hAnsi="Times New Roman" w:cs="Times New Roman"/>
          <w:sz w:val="24"/>
          <w:szCs w:val="24"/>
        </w:rPr>
        <w:t xml:space="preserve"> ponderaban factores subjetivos como la inercia, la dejadez, la impaciencia, la aversión al riesgo.</w:t>
      </w:r>
      <w:r>
        <w:rPr>
          <w:rFonts w:ascii="Times New Roman" w:hAnsi="Times New Roman" w:cs="Times New Roman"/>
          <w:sz w:val="24"/>
          <w:szCs w:val="24"/>
        </w:rPr>
        <w:t xml:space="preserve"> Finalmente, estos estudios experimentales concluían que las decisiones solían orientarse</w:t>
      </w:r>
      <w:r w:rsidR="0044502E">
        <w:rPr>
          <w:rFonts w:ascii="Times New Roman" w:hAnsi="Times New Roman" w:cs="Times New Roman"/>
          <w:sz w:val="24"/>
          <w:szCs w:val="24"/>
        </w:rPr>
        <w:t xml:space="preserve"> por reglas simples, por lo cual las fallas en los canales de información podían ser cruciales para los comportamientos, incluyendo la decisión de no actuar. </w:t>
      </w:r>
    </w:p>
    <w:p w:rsidR="00007D4A" w:rsidRDefault="0044502E" w:rsidP="00007D4A">
      <w:pPr>
        <w:pStyle w:val="western"/>
        <w:spacing w:before="0" w:beforeAutospacing="0"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La importancia de esta disciplina se vinculaba a la idea predominante acerca del rol estatal: un moldeador de los incentivos mediante las reglas formales y sus consecuencias en las normas informales construidas por individuos y grupos. Era preciso entender los mecanismos subjetivos por los cuales los individuos determinaban sus acciones para poder incidir en ellas.</w:t>
      </w:r>
      <w:r w:rsidR="00007D4A">
        <w:rPr>
          <w:rFonts w:ascii="Times New Roman" w:hAnsi="Times New Roman" w:cs="Times New Roman"/>
          <w:sz w:val="24"/>
          <w:szCs w:val="24"/>
        </w:rPr>
        <w:t xml:space="preserve"> O, en palabras del documento citado, “lograr cambios de comportamiento a bajo costo” (Bosch et al., 2013: 136). En virtud de ello, los análisis sobre la cohesión social apuntaban a distinguir en qué condiciones los individuos de distintos grupos sociales decidían “cooperar” entre ellos y entre sí. Esto era especialmente relevante para pensar las reformas previsionales y los distintos mecanismos de ahorro a establecer: este documento recogía </w:t>
      </w:r>
      <w:r w:rsidR="00007D4A">
        <w:rPr>
          <w:rFonts w:ascii="Times New Roman" w:hAnsi="Times New Roman" w:cs="Times New Roman"/>
          <w:sz w:val="24"/>
          <w:szCs w:val="24"/>
        </w:rPr>
        <w:lastRenderedPageBreak/>
        <w:t>investigaciones en las que la economía del comportamiento se ponía “en acción” y permitía probar mecanismos cooperativos de aporte previsional, trasvasando los sistemas públicos.</w:t>
      </w:r>
    </w:p>
    <w:p w:rsidR="00007D4A" w:rsidRDefault="00C3318E" w:rsidP="00C3318E">
      <w:pPr>
        <w:pStyle w:val="western"/>
        <w:spacing w:before="0" w:beforeAutospacing="0"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La economía del comportamiento tiene antecedentes en la década de 1970 pero pasó a primera plana en el año 2002, cuando un psicólogo y un economista ganaron el Premio Nobel de Economía por introducir la investigación psicológica en el análisis económico de la toma de decisiones en contextos de incertidumbre. Aunque no hallamos referencias a ella en nuestros documentos, emparentada con la economía del comportamiento cobró visibilidad la economía de la felicidad, cuyo objeto de estudio económico es el bienestar emocional. Tal es la relevancia de estos enfoques que en el año 2015, el Informe de Desarrollo Mundial del BM, intitulado “Mente, sociedad y desarrollo”, se dedicó de lleno al análisis de los comportamientos individuales. Por otro lado, desde el año 2012 Naciones Unidas mide anualmente el Índice de Felicidad</w:t>
      </w:r>
      <w:r w:rsidR="00075467">
        <w:rPr>
          <w:rFonts w:ascii="Times New Roman" w:hAnsi="Times New Roman" w:cs="Times New Roman"/>
          <w:sz w:val="24"/>
          <w:szCs w:val="24"/>
        </w:rPr>
        <w:t xml:space="preserve"> y festeja el 20 de marzo el Día Mundial de la Felicidad. Dicho índice combina indicadores clásicos, como el PBI y la esperanza de vida, con otros que refieren a las redes sociales de apoyo de las personas, su confianza hacia los gobiernos y su libertad para “elegir” (</w:t>
      </w:r>
      <w:proofErr w:type="spellStart"/>
      <w:r w:rsidR="00075467">
        <w:rPr>
          <w:rFonts w:ascii="Times New Roman" w:hAnsi="Times New Roman" w:cs="Times New Roman"/>
          <w:sz w:val="24"/>
          <w:szCs w:val="24"/>
        </w:rPr>
        <w:t>Papalini</w:t>
      </w:r>
      <w:proofErr w:type="spellEnd"/>
      <w:r w:rsidR="00075467">
        <w:rPr>
          <w:rFonts w:ascii="Times New Roman" w:hAnsi="Times New Roman" w:cs="Times New Roman"/>
          <w:sz w:val="24"/>
          <w:szCs w:val="24"/>
        </w:rPr>
        <w:t xml:space="preserve"> y Echavarría, 2016). </w:t>
      </w:r>
    </w:p>
    <w:p w:rsidR="00075467" w:rsidRPr="00075467" w:rsidRDefault="00075467" w:rsidP="00C3318E">
      <w:pPr>
        <w:pStyle w:val="western"/>
        <w:spacing w:before="0" w:beforeAutospacing="0" w:after="0" w:line="360" w:lineRule="auto"/>
        <w:ind w:firstLine="567"/>
        <w:jc w:val="both"/>
        <w:rPr>
          <w:rFonts w:ascii="Times New Roman" w:hAnsi="Times New Roman" w:cs="Times New Roman"/>
          <w:sz w:val="24"/>
          <w:szCs w:val="24"/>
        </w:rPr>
      </w:pPr>
    </w:p>
    <w:p w:rsidR="00075467" w:rsidRPr="00075467" w:rsidRDefault="00075467" w:rsidP="00075467">
      <w:pPr>
        <w:pStyle w:val="western"/>
        <w:spacing w:before="0" w:beforeAutospacing="0" w:after="0" w:line="360" w:lineRule="auto"/>
        <w:jc w:val="both"/>
        <w:rPr>
          <w:rFonts w:ascii="Times New Roman" w:hAnsi="Times New Roman" w:cs="Times New Roman"/>
          <w:b/>
          <w:smallCaps/>
          <w:sz w:val="24"/>
          <w:szCs w:val="24"/>
        </w:rPr>
      </w:pPr>
      <w:r w:rsidRPr="00075467">
        <w:rPr>
          <w:rFonts w:ascii="Times New Roman" w:hAnsi="Times New Roman" w:cs="Times New Roman"/>
          <w:b/>
          <w:smallCaps/>
          <w:sz w:val="24"/>
          <w:szCs w:val="24"/>
        </w:rPr>
        <w:t>Conclusiones</w:t>
      </w:r>
    </w:p>
    <w:p w:rsidR="00BA16BB" w:rsidRDefault="00BA16BB" w:rsidP="00DE6DD6">
      <w:pPr>
        <w:pStyle w:val="western"/>
        <w:spacing w:before="0" w:beforeAutospacing="0"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L</w:t>
      </w:r>
      <w:r w:rsidR="00DE6DD6">
        <w:rPr>
          <w:rFonts w:ascii="Times New Roman" w:hAnsi="Times New Roman" w:cs="Times New Roman"/>
          <w:sz w:val="24"/>
          <w:szCs w:val="24"/>
        </w:rPr>
        <w:t xml:space="preserve">a </w:t>
      </w:r>
      <w:r w:rsidR="00DE6DD6" w:rsidRPr="00BA16BB">
        <w:rPr>
          <w:rFonts w:ascii="Times New Roman" w:hAnsi="Times New Roman" w:cs="Times New Roman"/>
          <w:sz w:val="24"/>
          <w:szCs w:val="24"/>
        </w:rPr>
        <w:t>fisonomía</w:t>
      </w:r>
      <w:r w:rsidR="00DE6DD6">
        <w:rPr>
          <w:rFonts w:ascii="Times New Roman" w:hAnsi="Times New Roman" w:cs="Times New Roman"/>
          <w:sz w:val="24"/>
          <w:szCs w:val="24"/>
        </w:rPr>
        <w:t xml:space="preserve"> que asumen los saberes expertos</w:t>
      </w:r>
      <w:r>
        <w:rPr>
          <w:rFonts w:ascii="Times New Roman" w:hAnsi="Times New Roman" w:cs="Times New Roman"/>
          <w:sz w:val="24"/>
          <w:szCs w:val="24"/>
        </w:rPr>
        <w:t xml:space="preserve">, sus bases epistemológicas, sus objetos, su </w:t>
      </w:r>
      <w:proofErr w:type="spellStart"/>
      <w:r w:rsidRPr="00BA16BB">
        <w:rPr>
          <w:rFonts w:ascii="Times New Roman" w:hAnsi="Times New Roman" w:cs="Times New Roman"/>
          <w:i/>
          <w:sz w:val="24"/>
          <w:szCs w:val="24"/>
        </w:rPr>
        <w:t>ethos</w:t>
      </w:r>
      <w:proofErr w:type="spellEnd"/>
      <w:r>
        <w:rPr>
          <w:rFonts w:ascii="Times New Roman" w:hAnsi="Times New Roman" w:cs="Times New Roman"/>
          <w:sz w:val="24"/>
          <w:szCs w:val="24"/>
        </w:rPr>
        <w:t xml:space="preserve">, es determinante en las transformaciones </w:t>
      </w:r>
      <w:r w:rsidR="00DE6DD6">
        <w:rPr>
          <w:rFonts w:ascii="Times New Roman" w:hAnsi="Times New Roman" w:cs="Times New Roman"/>
          <w:sz w:val="24"/>
          <w:szCs w:val="24"/>
        </w:rPr>
        <w:t>de las programáticas</w:t>
      </w:r>
      <w:r>
        <w:rPr>
          <w:rFonts w:ascii="Times New Roman" w:hAnsi="Times New Roman" w:cs="Times New Roman"/>
          <w:sz w:val="24"/>
          <w:szCs w:val="24"/>
        </w:rPr>
        <w:t xml:space="preserve"> de las AID. C</w:t>
      </w:r>
      <w:r w:rsidR="00DE6DD6">
        <w:rPr>
          <w:rFonts w:ascii="Times New Roman" w:hAnsi="Times New Roman" w:cs="Times New Roman"/>
          <w:sz w:val="24"/>
          <w:szCs w:val="24"/>
        </w:rPr>
        <w:t>omo en otros momentos de la historia, los métodos científicos –esta vez centrados en los comportamientos- habilitan el pensamiento y la intervención sobre nuevos objetos, demandados por las programáticas mismas.</w:t>
      </w:r>
      <w:r>
        <w:rPr>
          <w:rFonts w:ascii="Times New Roman" w:hAnsi="Times New Roman" w:cs="Times New Roman"/>
          <w:sz w:val="24"/>
          <w:szCs w:val="24"/>
        </w:rPr>
        <w:t xml:space="preserve"> </w:t>
      </w:r>
      <w:r w:rsidR="00DE6DD6">
        <w:rPr>
          <w:rFonts w:ascii="Times New Roman" w:hAnsi="Times New Roman" w:cs="Times New Roman"/>
          <w:sz w:val="24"/>
          <w:szCs w:val="24"/>
        </w:rPr>
        <w:t>El planteo con el que iniciamos nuestro trabajo se vuelve más concreto: los saberes expertos se hallan en la intersección entre ciencia y política y sus reconfiguraciones se entienden a parti</w:t>
      </w:r>
      <w:r>
        <w:rPr>
          <w:rFonts w:ascii="Times New Roman" w:hAnsi="Times New Roman" w:cs="Times New Roman"/>
          <w:sz w:val="24"/>
          <w:szCs w:val="24"/>
        </w:rPr>
        <w:t>r</w:t>
      </w:r>
      <w:r w:rsidR="00DE6DD6">
        <w:rPr>
          <w:rFonts w:ascii="Times New Roman" w:hAnsi="Times New Roman" w:cs="Times New Roman"/>
          <w:sz w:val="24"/>
          <w:szCs w:val="24"/>
        </w:rPr>
        <w:t xml:space="preserve"> de ambas lógicas. Hemos podido identificar que la reconfiguración de estos saberes comprende tanto un cambio de objeto, como de fundamento de legitimidad, lo cual repercute no solo en los métodos y lenguajes con los que se problematiza la realidad sino en las justificaciones del rol que estos saberes</w:t>
      </w:r>
      <w:r>
        <w:rPr>
          <w:rFonts w:ascii="Times New Roman" w:hAnsi="Times New Roman" w:cs="Times New Roman"/>
          <w:sz w:val="24"/>
          <w:szCs w:val="24"/>
        </w:rPr>
        <w:t xml:space="preserve"> y las AID</w:t>
      </w:r>
      <w:r w:rsidR="00DE6DD6">
        <w:rPr>
          <w:rFonts w:ascii="Times New Roman" w:hAnsi="Times New Roman" w:cs="Times New Roman"/>
          <w:sz w:val="24"/>
          <w:szCs w:val="24"/>
        </w:rPr>
        <w:t xml:space="preserve"> pretenden ocupar, próximos y fieles a los sujetos afectados. </w:t>
      </w:r>
    </w:p>
    <w:p w:rsidR="00DE6DD6" w:rsidRDefault="00DE6DD6" w:rsidP="00DE6DD6">
      <w:pPr>
        <w:pStyle w:val="western"/>
        <w:spacing w:before="0" w:beforeAutospacing="0"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Pudimos identificar que, al tiempo que se desplegaron diálogos polémicos sobre ciertos contenidos de la programática, también se dieron </w:t>
      </w:r>
      <w:proofErr w:type="spellStart"/>
      <w:r>
        <w:rPr>
          <w:rFonts w:ascii="Times New Roman" w:hAnsi="Times New Roman" w:cs="Times New Roman"/>
          <w:sz w:val="24"/>
          <w:szCs w:val="24"/>
        </w:rPr>
        <w:t>transversalidades</w:t>
      </w:r>
      <w:proofErr w:type="spellEnd"/>
      <w:r>
        <w:rPr>
          <w:rFonts w:ascii="Times New Roman" w:hAnsi="Times New Roman" w:cs="Times New Roman"/>
          <w:sz w:val="24"/>
          <w:szCs w:val="24"/>
        </w:rPr>
        <w:t xml:space="preserve"> fuertes, que se expresan en </w:t>
      </w:r>
      <w:r w:rsidR="00473C48">
        <w:rPr>
          <w:rFonts w:ascii="Times New Roman" w:hAnsi="Times New Roman" w:cs="Times New Roman"/>
          <w:sz w:val="24"/>
          <w:szCs w:val="24"/>
        </w:rPr>
        <w:t>la</w:t>
      </w:r>
      <w:r>
        <w:rPr>
          <w:rFonts w:ascii="Times New Roman" w:hAnsi="Times New Roman" w:cs="Times New Roman"/>
          <w:sz w:val="24"/>
          <w:szCs w:val="24"/>
        </w:rPr>
        <w:t xml:space="preserve"> generalización de la impronta cualitativa y subjetivista de los conocimientos. </w:t>
      </w:r>
      <w:r w:rsidR="00BA16BB">
        <w:rPr>
          <w:rFonts w:ascii="Times New Roman" w:hAnsi="Times New Roman" w:cs="Times New Roman"/>
          <w:sz w:val="24"/>
          <w:szCs w:val="24"/>
        </w:rPr>
        <w:t xml:space="preserve">Esta </w:t>
      </w:r>
      <w:proofErr w:type="spellStart"/>
      <w:r w:rsidR="00BA16BB">
        <w:rPr>
          <w:rFonts w:ascii="Times New Roman" w:hAnsi="Times New Roman" w:cs="Times New Roman"/>
          <w:sz w:val="24"/>
          <w:szCs w:val="24"/>
        </w:rPr>
        <w:t>transversalidad</w:t>
      </w:r>
      <w:proofErr w:type="spellEnd"/>
      <w:r w:rsidR="00BA16BB">
        <w:rPr>
          <w:rFonts w:ascii="Times New Roman" w:hAnsi="Times New Roman" w:cs="Times New Roman"/>
          <w:sz w:val="24"/>
          <w:szCs w:val="24"/>
        </w:rPr>
        <w:t xml:space="preserve"> se extiende pese a un disenso importante que se mantiene abierto: ¿cuál es el lugar que ocupa la política en las orientaciones sobre lo social? </w:t>
      </w:r>
    </w:p>
    <w:p w:rsidR="00007D4A" w:rsidRDefault="00007D4A" w:rsidP="00007D4A">
      <w:pPr>
        <w:pStyle w:val="western"/>
        <w:spacing w:before="0" w:beforeAutospacing="0" w:after="0" w:line="360" w:lineRule="auto"/>
        <w:ind w:firstLine="567"/>
        <w:jc w:val="both"/>
        <w:rPr>
          <w:rFonts w:ascii="Times New Roman" w:hAnsi="Times New Roman" w:cs="Times New Roman"/>
          <w:sz w:val="24"/>
          <w:szCs w:val="24"/>
        </w:rPr>
      </w:pPr>
    </w:p>
    <w:p w:rsidR="00CD6790" w:rsidRPr="00B747B7" w:rsidRDefault="00CD6790" w:rsidP="007A6BCA">
      <w:pPr>
        <w:pStyle w:val="western"/>
        <w:spacing w:before="0" w:beforeAutospacing="0" w:after="0" w:line="360" w:lineRule="auto"/>
        <w:jc w:val="both"/>
        <w:rPr>
          <w:rFonts w:ascii="Times New Roman" w:hAnsi="Times New Roman" w:cs="Times New Roman"/>
          <w:b/>
          <w:smallCaps/>
          <w:sz w:val="24"/>
          <w:szCs w:val="24"/>
        </w:rPr>
      </w:pPr>
      <w:r w:rsidRPr="00B747B7">
        <w:rPr>
          <w:rFonts w:ascii="Times New Roman" w:hAnsi="Times New Roman" w:cs="Times New Roman"/>
          <w:b/>
          <w:smallCaps/>
          <w:sz w:val="24"/>
          <w:szCs w:val="24"/>
        </w:rPr>
        <w:lastRenderedPageBreak/>
        <w:t>Bibliografía</w:t>
      </w:r>
    </w:p>
    <w:p w:rsidR="00CD6790" w:rsidRPr="00B747B7" w:rsidRDefault="00CD6790" w:rsidP="007A6BCA">
      <w:pPr>
        <w:pStyle w:val="paragraph"/>
        <w:spacing w:before="0" w:beforeAutospacing="0" w:after="0" w:afterAutospacing="0"/>
        <w:ind w:left="709" w:hanging="709"/>
        <w:jc w:val="both"/>
        <w:textAlignment w:val="baseline"/>
        <w:rPr>
          <w:color w:val="00000A"/>
          <w:sz w:val="20"/>
          <w:szCs w:val="20"/>
        </w:rPr>
      </w:pPr>
      <w:r w:rsidRPr="00B747B7">
        <w:rPr>
          <w:rStyle w:val="normaltextrun"/>
          <w:color w:val="00000A"/>
          <w:sz w:val="20"/>
          <w:szCs w:val="20"/>
        </w:rPr>
        <w:t>Álvarez Leguizamón, S. (2005). </w:t>
      </w:r>
      <w:r w:rsidRPr="00552BF6">
        <w:rPr>
          <w:rStyle w:val="normaltextrun"/>
          <w:i/>
          <w:color w:val="00000A"/>
          <w:sz w:val="20"/>
          <w:szCs w:val="20"/>
        </w:rPr>
        <w:t>Trabajo y producción de la pobreza en Latinoamérica y El Caribe: estructuras, discursos y actores</w:t>
      </w:r>
      <w:r w:rsidRPr="00B747B7">
        <w:rPr>
          <w:rStyle w:val="normaltextrun"/>
          <w:color w:val="00000A"/>
          <w:sz w:val="20"/>
          <w:szCs w:val="20"/>
        </w:rPr>
        <w:t>. Buenos Aires: CLACSO.</w:t>
      </w:r>
      <w:r w:rsidRPr="00B747B7">
        <w:rPr>
          <w:rStyle w:val="eop"/>
          <w:color w:val="00000A"/>
          <w:sz w:val="20"/>
          <w:szCs w:val="20"/>
        </w:rPr>
        <w:t> </w:t>
      </w:r>
    </w:p>
    <w:p w:rsidR="00CD6790" w:rsidRPr="00B747B7" w:rsidRDefault="00CD6790" w:rsidP="007A6BCA">
      <w:pPr>
        <w:pStyle w:val="paragraph"/>
        <w:spacing w:before="0" w:beforeAutospacing="0" w:after="0" w:afterAutospacing="0"/>
        <w:ind w:left="709" w:hanging="709"/>
        <w:jc w:val="both"/>
        <w:textAlignment w:val="baseline"/>
        <w:rPr>
          <w:rStyle w:val="normaltextrun"/>
          <w:color w:val="00000A"/>
          <w:sz w:val="20"/>
          <w:szCs w:val="20"/>
        </w:rPr>
      </w:pPr>
      <w:r w:rsidRPr="00B747B7">
        <w:rPr>
          <w:rStyle w:val="normaltextrun"/>
          <w:color w:val="00000A"/>
          <w:sz w:val="20"/>
          <w:szCs w:val="20"/>
        </w:rPr>
        <w:t>Álvarez Leguizamón, S. (2013). La Nueva Economía Política de la Pobreza. </w:t>
      </w:r>
      <w:r w:rsidRPr="00552BF6">
        <w:rPr>
          <w:rStyle w:val="normaltextrun"/>
          <w:i/>
          <w:color w:val="00000A"/>
          <w:sz w:val="20"/>
          <w:szCs w:val="20"/>
        </w:rPr>
        <w:t>Voces en el Fénix</w:t>
      </w:r>
      <w:r w:rsidRPr="00B747B7">
        <w:rPr>
          <w:rStyle w:val="normaltextrun"/>
          <w:color w:val="00000A"/>
          <w:sz w:val="20"/>
          <w:szCs w:val="20"/>
        </w:rPr>
        <w:t xml:space="preserve">, </w:t>
      </w:r>
      <w:r w:rsidRPr="00552BF6">
        <w:rPr>
          <w:rStyle w:val="normaltextrun"/>
          <w:i/>
          <w:color w:val="00000A"/>
          <w:sz w:val="20"/>
          <w:szCs w:val="20"/>
        </w:rPr>
        <w:t>4</w:t>
      </w:r>
      <w:r w:rsidR="00552BF6">
        <w:rPr>
          <w:rStyle w:val="normaltextrun"/>
          <w:color w:val="00000A"/>
          <w:sz w:val="20"/>
          <w:szCs w:val="20"/>
        </w:rPr>
        <w:t>(</w:t>
      </w:r>
      <w:r w:rsidRPr="00B747B7">
        <w:rPr>
          <w:rStyle w:val="normaltextrun"/>
          <w:color w:val="00000A"/>
          <w:sz w:val="20"/>
          <w:szCs w:val="20"/>
        </w:rPr>
        <w:t>22</w:t>
      </w:r>
      <w:r w:rsidR="00552BF6">
        <w:rPr>
          <w:rStyle w:val="normaltextrun"/>
          <w:color w:val="00000A"/>
          <w:sz w:val="20"/>
          <w:szCs w:val="20"/>
        </w:rPr>
        <w:t>)</w:t>
      </w:r>
      <w:r w:rsidRPr="00B747B7">
        <w:rPr>
          <w:rStyle w:val="normaltextrun"/>
          <w:color w:val="00000A"/>
          <w:sz w:val="20"/>
          <w:szCs w:val="20"/>
        </w:rPr>
        <w:t xml:space="preserve">, pp. 26-36. </w:t>
      </w:r>
    </w:p>
    <w:p w:rsidR="00CD6790" w:rsidRDefault="00CD6790" w:rsidP="007A6BCA">
      <w:pPr>
        <w:pStyle w:val="paragraph"/>
        <w:spacing w:before="0" w:beforeAutospacing="0" w:after="0" w:afterAutospacing="0"/>
        <w:ind w:left="709" w:hanging="709"/>
        <w:jc w:val="both"/>
        <w:textAlignment w:val="baseline"/>
        <w:rPr>
          <w:rStyle w:val="eop"/>
          <w:color w:val="00000A"/>
          <w:sz w:val="20"/>
          <w:szCs w:val="20"/>
          <w:shd w:val="clear" w:color="auto" w:fill="FFFFFF"/>
        </w:rPr>
      </w:pPr>
      <w:r w:rsidRPr="00B747B7">
        <w:rPr>
          <w:rStyle w:val="normaltextrun"/>
          <w:color w:val="00000A"/>
          <w:sz w:val="20"/>
          <w:szCs w:val="20"/>
          <w:shd w:val="clear" w:color="auto" w:fill="FFFFFF"/>
        </w:rPr>
        <w:t xml:space="preserve">Corbalán, A. (2002). </w:t>
      </w:r>
      <w:r w:rsidRPr="00552BF6">
        <w:rPr>
          <w:rStyle w:val="normaltextrun"/>
          <w:i/>
          <w:color w:val="00000A"/>
          <w:sz w:val="20"/>
          <w:szCs w:val="20"/>
          <w:shd w:val="clear" w:color="auto" w:fill="FFFFFF"/>
        </w:rPr>
        <w:t>El Banco Mundial, intervención y </w:t>
      </w:r>
      <w:proofErr w:type="spellStart"/>
      <w:r w:rsidRPr="00552BF6">
        <w:rPr>
          <w:rStyle w:val="spellingerror"/>
          <w:i/>
          <w:color w:val="00000A"/>
          <w:sz w:val="20"/>
          <w:szCs w:val="20"/>
          <w:shd w:val="clear" w:color="auto" w:fill="FFFFFF"/>
        </w:rPr>
        <w:t>disciplinamiento</w:t>
      </w:r>
      <w:proofErr w:type="spellEnd"/>
      <w:r w:rsidRPr="00552BF6">
        <w:rPr>
          <w:rStyle w:val="normaltextrun"/>
          <w:i/>
          <w:color w:val="00000A"/>
          <w:sz w:val="20"/>
          <w:szCs w:val="20"/>
          <w:shd w:val="clear" w:color="auto" w:fill="FFFFFF"/>
        </w:rPr>
        <w:t>. El caso argentino, enseñanzas para América Latina</w:t>
      </w:r>
      <w:r w:rsidRPr="00B747B7">
        <w:rPr>
          <w:rStyle w:val="normaltextrun"/>
          <w:color w:val="00000A"/>
          <w:sz w:val="20"/>
          <w:szCs w:val="20"/>
          <w:shd w:val="clear" w:color="auto" w:fill="FFFFFF"/>
        </w:rPr>
        <w:t>. Buenos Aires: </w:t>
      </w:r>
      <w:proofErr w:type="spellStart"/>
      <w:r w:rsidRPr="00B747B7">
        <w:rPr>
          <w:rStyle w:val="spellingerror"/>
          <w:color w:val="00000A"/>
          <w:sz w:val="20"/>
          <w:szCs w:val="20"/>
          <w:shd w:val="clear" w:color="auto" w:fill="FFFFFF"/>
        </w:rPr>
        <w:t>Biblós</w:t>
      </w:r>
      <w:proofErr w:type="spellEnd"/>
      <w:r w:rsidRPr="00B747B7">
        <w:rPr>
          <w:rStyle w:val="normaltextrun"/>
          <w:color w:val="00000A"/>
          <w:sz w:val="20"/>
          <w:szCs w:val="20"/>
          <w:shd w:val="clear" w:color="auto" w:fill="FFFFFF"/>
        </w:rPr>
        <w:t>.</w:t>
      </w:r>
      <w:r w:rsidRPr="00B747B7">
        <w:rPr>
          <w:rStyle w:val="eop"/>
          <w:color w:val="00000A"/>
          <w:sz w:val="20"/>
          <w:szCs w:val="20"/>
          <w:shd w:val="clear" w:color="auto" w:fill="FFFFFF"/>
        </w:rPr>
        <w:t> </w:t>
      </w:r>
    </w:p>
    <w:p w:rsidR="004366B3" w:rsidRPr="00B747B7" w:rsidRDefault="004366B3" w:rsidP="007A6BCA">
      <w:pPr>
        <w:pStyle w:val="paragraph"/>
        <w:spacing w:before="0" w:beforeAutospacing="0" w:after="0" w:afterAutospacing="0"/>
        <w:ind w:left="709" w:hanging="709"/>
        <w:jc w:val="both"/>
        <w:textAlignment w:val="baseline"/>
        <w:rPr>
          <w:rStyle w:val="eop"/>
          <w:color w:val="00000A"/>
          <w:sz w:val="20"/>
          <w:szCs w:val="20"/>
          <w:shd w:val="clear" w:color="auto" w:fill="FFFFFF"/>
        </w:rPr>
      </w:pPr>
      <w:proofErr w:type="spellStart"/>
      <w:r>
        <w:rPr>
          <w:rStyle w:val="eop"/>
          <w:color w:val="00000A"/>
          <w:sz w:val="20"/>
          <w:szCs w:val="20"/>
          <w:shd w:val="clear" w:color="auto" w:fill="FFFFFF"/>
        </w:rPr>
        <w:t>Danani</w:t>
      </w:r>
      <w:proofErr w:type="spellEnd"/>
      <w:r>
        <w:rPr>
          <w:rStyle w:val="eop"/>
          <w:color w:val="00000A"/>
          <w:sz w:val="20"/>
          <w:szCs w:val="20"/>
          <w:shd w:val="clear" w:color="auto" w:fill="FFFFFF"/>
        </w:rPr>
        <w:t xml:space="preserve">, C. (2016). Sociedad y Estado en la discusión del bienestar social. A propósito de los procesos latinoamericanos de principios del siglo XXI. </w:t>
      </w:r>
      <w:r w:rsidRPr="004366B3">
        <w:rPr>
          <w:rStyle w:val="eop"/>
          <w:i/>
          <w:color w:val="00000A"/>
          <w:sz w:val="20"/>
          <w:szCs w:val="20"/>
          <w:shd w:val="clear" w:color="auto" w:fill="FFFFFF"/>
        </w:rPr>
        <w:t>Revista Ensambles</w:t>
      </w:r>
      <w:r>
        <w:rPr>
          <w:rStyle w:val="eop"/>
          <w:color w:val="00000A"/>
          <w:sz w:val="20"/>
          <w:szCs w:val="20"/>
          <w:shd w:val="clear" w:color="auto" w:fill="FFFFFF"/>
        </w:rPr>
        <w:t xml:space="preserve">, </w:t>
      </w:r>
      <w:r w:rsidRPr="004366B3">
        <w:rPr>
          <w:rStyle w:val="eop"/>
          <w:i/>
          <w:color w:val="00000A"/>
          <w:sz w:val="20"/>
          <w:szCs w:val="20"/>
          <w:shd w:val="clear" w:color="auto" w:fill="FFFFFF"/>
        </w:rPr>
        <w:t>III</w:t>
      </w:r>
      <w:r>
        <w:rPr>
          <w:rStyle w:val="eop"/>
          <w:color w:val="00000A"/>
          <w:sz w:val="20"/>
          <w:szCs w:val="20"/>
          <w:shd w:val="clear" w:color="auto" w:fill="FFFFFF"/>
        </w:rPr>
        <w:t xml:space="preserve"> (4-5), pp. 21-32.</w:t>
      </w:r>
    </w:p>
    <w:p w:rsidR="00CD6790" w:rsidRPr="00B747B7" w:rsidRDefault="00CD6790" w:rsidP="007A6BCA">
      <w:pPr>
        <w:pStyle w:val="paragraph"/>
        <w:spacing w:before="0" w:beforeAutospacing="0" w:after="0" w:afterAutospacing="0"/>
        <w:ind w:left="709" w:hanging="709"/>
        <w:jc w:val="both"/>
        <w:textAlignment w:val="baseline"/>
        <w:rPr>
          <w:rStyle w:val="normaltextrun"/>
          <w:color w:val="00000A"/>
          <w:sz w:val="20"/>
          <w:szCs w:val="20"/>
          <w:shd w:val="clear" w:color="auto" w:fill="FFFFFF"/>
        </w:rPr>
      </w:pPr>
      <w:r w:rsidRPr="00B747B7">
        <w:rPr>
          <w:rStyle w:val="normaltextrun"/>
          <w:color w:val="00000A"/>
          <w:sz w:val="20"/>
          <w:szCs w:val="20"/>
          <w:shd w:val="clear" w:color="auto" w:fill="FFFFFF"/>
        </w:rPr>
        <w:t>Escobar, A. (2005). El </w:t>
      </w:r>
      <w:proofErr w:type="spellStart"/>
      <w:r w:rsidRPr="00B747B7">
        <w:rPr>
          <w:rStyle w:val="normaltextrun"/>
          <w:sz w:val="20"/>
          <w:szCs w:val="20"/>
          <w:shd w:val="clear" w:color="auto" w:fill="FFFFFF"/>
        </w:rPr>
        <w:t>postdesarrollo</w:t>
      </w:r>
      <w:proofErr w:type="spellEnd"/>
      <w:r w:rsidRPr="00B747B7">
        <w:rPr>
          <w:rStyle w:val="normaltextrun"/>
          <w:color w:val="00000A"/>
          <w:sz w:val="20"/>
          <w:szCs w:val="20"/>
          <w:shd w:val="clear" w:color="auto" w:fill="FFFFFF"/>
        </w:rPr>
        <w:t> como</w:t>
      </w:r>
      <w:r w:rsidR="00552BF6">
        <w:rPr>
          <w:rStyle w:val="normaltextrun"/>
          <w:color w:val="00000A"/>
          <w:sz w:val="20"/>
          <w:szCs w:val="20"/>
          <w:shd w:val="clear" w:color="auto" w:fill="FFFFFF"/>
        </w:rPr>
        <w:t xml:space="preserve"> concepto y práctica social. En: </w:t>
      </w:r>
      <w:r w:rsidRPr="00B747B7">
        <w:rPr>
          <w:rStyle w:val="normaltextrun"/>
          <w:color w:val="00000A"/>
          <w:sz w:val="20"/>
          <w:szCs w:val="20"/>
          <w:shd w:val="clear" w:color="auto" w:fill="FFFFFF"/>
        </w:rPr>
        <w:t>Mato</w:t>
      </w:r>
      <w:r w:rsidR="00552BF6">
        <w:rPr>
          <w:rStyle w:val="normaltextrun"/>
          <w:sz w:val="20"/>
          <w:szCs w:val="20"/>
          <w:shd w:val="clear" w:color="auto" w:fill="FFFFFF"/>
        </w:rPr>
        <w:t xml:space="preserve">, D. </w:t>
      </w:r>
      <w:r w:rsidR="00552BF6">
        <w:rPr>
          <w:rStyle w:val="normaltextrun"/>
          <w:color w:val="00000A"/>
          <w:sz w:val="20"/>
          <w:szCs w:val="20"/>
          <w:shd w:val="clear" w:color="auto" w:fill="FFFFFF"/>
        </w:rPr>
        <w:t>(coord.).</w:t>
      </w:r>
      <w:r w:rsidRPr="00B747B7">
        <w:rPr>
          <w:rStyle w:val="normaltextrun"/>
          <w:color w:val="00000A"/>
          <w:sz w:val="20"/>
          <w:szCs w:val="20"/>
          <w:shd w:val="clear" w:color="auto" w:fill="FFFFFF"/>
        </w:rPr>
        <w:t xml:space="preserve"> </w:t>
      </w:r>
      <w:r w:rsidRPr="00552BF6">
        <w:rPr>
          <w:rStyle w:val="normaltextrun"/>
          <w:i/>
          <w:color w:val="00000A"/>
          <w:sz w:val="20"/>
          <w:szCs w:val="20"/>
          <w:shd w:val="clear" w:color="auto" w:fill="FFFFFF"/>
        </w:rPr>
        <w:t>Políticas de economía, ambiente y sociedad en tiempos de globalización</w:t>
      </w:r>
      <w:r w:rsidRPr="00B747B7">
        <w:rPr>
          <w:rStyle w:val="normaltextrun"/>
          <w:color w:val="00000A"/>
          <w:sz w:val="20"/>
          <w:szCs w:val="20"/>
          <w:shd w:val="clear" w:color="auto" w:fill="FFFFFF"/>
        </w:rPr>
        <w:t>. Caracas: Facultad de Ciencias Económicas y Sociales, Universidad Central de Venezuela, pp. 17-31</w:t>
      </w:r>
      <w:r w:rsidR="00552BF6">
        <w:rPr>
          <w:rStyle w:val="normaltextrun"/>
          <w:color w:val="00000A"/>
          <w:sz w:val="20"/>
          <w:szCs w:val="20"/>
          <w:shd w:val="clear" w:color="auto" w:fill="FFFFFF"/>
        </w:rPr>
        <w:t>.</w:t>
      </w:r>
    </w:p>
    <w:p w:rsidR="00982E2E" w:rsidRPr="00B747B7" w:rsidRDefault="00982E2E" w:rsidP="007A6BCA">
      <w:pPr>
        <w:pStyle w:val="paragraph"/>
        <w:spacing w:before="0" w:beforeAutospacing="0" w:after="0" w:afterAutospacing="0"/>
        <w:ind w:left="709" w:hanging="709"/>
        <w:jc w:val="both"/>
        <w:textAlignment w:val="baseline"/>
        <w:rPr>
          <w:rStyle w:val="normaltextrun"/>
          <w:color w:val="00000A"/>
          <w:sz w:val="20"/>
          <w:szCs w:val="20"/>
          <w:shd w:val="clear" w:color="auto" w:fill="FFFFFF"/>
        </w:rPr>
      </w:pPr>
      <w:r w:rsidRPr="00B747B7">
        <w:rPr>
          <w:sz w:val="20"/>
          <w:szCs w:val="20"/>
        </w:rPr>
        <w:t>F</w:t>
      </w:r>
      <w:r w:rsidR="00B1304F">
        <w:rPr>
          <w:sz w:val="20"/>
          <w:szCs w:val="20"/>
        </w:rPr>
        <w:t>oucault</w:t>
      </w:r>
      <w:r w:rsidRPr="00B747B7">
        <w:rPr>
          <w:sz w:val="20"/>
          <w:szCs w:val="20"/>
        </w:rPr>
        <w:t>, M.</w:t>
      </w:r>
      <w:r w:rsidR="00552BF6">
        <w:rPr>
          <w:sz w:val="20"/>
          <w:szCs w:val="20"/>
        </w:rPr>
        <w:t xml:space="preserve"> (2008)</w:t>
      </w:r>
      <w:r w:rsidRPr="00B747B7">
        <w:rPr>
          <w:sz w:val="20"/>
          <w:szCs w:val="20"/>
        </w:rPr>
        <w:t xml:space="preserve"> </w:t>
      </w:r>
      <w:r w:rsidRPr="00552BF6">
        <w:rPr>
          <w:i/>
          <w:sz w:val="20"/>
          <w:szCs w:val="20"/>
        </w:rPr>
        <w:t>La arqueología del saber</w:t>
      </w:r>
      <w:r w:rsidRPr="00B747B7">
        <w:rPr>
          <w:sz w:val="20"/>
          <w:szCs w:val="20"/>
        </w:rPr>
        <w:t>. Buenos Aires: Siglo XXI</w:t>
      </w:r>
      <w:r w:rsidR="00552BF6">
        <w:rPr>
          <w:sz w:val="20"/>
          <w:szCs w:val="20"/>
        </w:rPr>
        <w:t>,</w:t>
      </w:r>
    </w:p>
    <w:p w:rsidR="00CD6790" w:rsidRPr="00B747B7" w:rsidRDefault="00CD6790" w:rsidP="007A6BCA">
      <w:pPr>
        <w:pStyle w:val="paragraph"/>
        <w:spacing w:before="0" w:beforeAutospacing="0" w:after="0" w:afterAutospacing="0"/>
        <w:ind w:left="709" w:hanging="709"/>
        <w:jc w:val="both"/>
        <w:textAlignment w:val="baseline"/>
        <w:rPr>
          <w:rStyle w:val="eop"/>
          <w:color w:val="00000A"/>
          <w:sz w:val="20"/>
          <w:szCs w:val="20"/>
          <w:shd w:val="clear" w:color="auto" w:fill="FFFFFF"/>
        </w:rPr>
      </w:pPr>
      <w:r w:rsidRPr="00B747B7">
        <w:rPr>
          <w:rStyle w:val="normaltextrun"/>
          <w:color w:val="00000A"/>
          <w:sz w:val="20"/>
          <w:szCs w:val="20"/>
          <w:shd w:val="clear" w:color="auto" w:fill="FFFFFF"/>
        </w:rPr>
        <w:t>González, C. et al. (2003)</w:t>
      </w:r>
      <w:r w:rsidR="00552BF6">
        <w:rPr>
          <w:rStyle w:val="normaltextrun"/>
          <w:color w:val="00000A"/>
          <w:sz w:val="20"/>
          <w:szCs w:val="20"/>
          <w:shd w:val="clear" w:color="auto" w:fill="FFFFFF"/>
        </w:rPr>
        <w:t xml:space="preserve">. </w:t>
      </w:r>
      <w:r w:rsidRPr="00B747B7">
        <w:rPr>
          <w:rStyle w:val="normaltextrun"/>
          <w:color w:val="00000A"/>
          <w:sz w:val="20"/>
          <w:szCs w:val="20"/>
          <w:shd w:val="clear" w:color="auto" w:fill="FFFFFF"/>
        </w:rPr>
        <w:t>La familia como objeto de las políticas asistenciales: los programas de combate a la pobreza y el papel d</w:t>
      </w:r>
      <w:r w:rsidR="00552BF6">
        <w:rPr>
          <w:rStyle w:val="normaltextrun"/>
          <w:color w:val="00000A"/>
          <w:sz w:val="20"/>
          <w:szCs w:val="20"/>
          <w:shd w:val="clear" w:color="auto" w:fill="FFFFFF"/>
        </w:rPr>
        <w:t>e los organismos multilaterales</w:t>
      </w:r>
      <w:r w:rsidRPr="00B747B7">
        <w:rPr>
          <w:rStyle w:val="normaltextrun"/>
          <w:color w:val="00000A"/>
          <w:sz w:val="20"/>
          <w:szCs w:val="20"/>
          <w:shd w:val="clear" w:color="auto" w:fill="FFFFFF"/>
        </w:rPr>
        <w:t>. En</w:t>
      </w:r>
      <w:r w:rsidR="00552BF6">
        <w:rPr>
          <w:rStyle w:val="normaltextrun"/>
          <w:color w:val="00000A"/>
          <w:sz w:val="20"/>
          <w:szCs w:val="20"/>
          <w:shd w:val="clear" w:color="auto" w:fill="FFFFFF"/>
        </w:rPr>
        <w:t xml:space="preserve">: </w:t>
      </w:r>
      <w:proofErr w:type="spellStart"/>
      <w:r w:rsidRPr="00B747B7">
        <w:rPr>
          <w:rStyle w:val="spellingerror"/>
          <w:color w:val="00000A"/>
          <w:sz w:val="20"/>
          <w:szCs w:val="20"/>
          <w:shd w:val="clear" w:color="auto" w:fill="FFFFFF"/>
        </w:rPr>
        <w:t>Aquín</w:t>
      </w:r>
      <w:proofErr w:type="spellEnd"/>
      <w:r w:rsidRPr="00B747B7">
        <w:rPr>
          <w:rStyle w:val="normaltextrun"/>
          <w:color w:val="00000A"/>
          <w:sz w:val="20"/>
          <w:szCs w:val="20"/>
          <w:shd w:val="clear" w:color="auto" w:fill="FFFFFF"/>
        </w:rPr>
        <w:t xml:space="preserve">, N. </w:t>
      </w:r>
      <w:r w:rsidRPr="00552BF6">
        <w:rPr>
          <w:rStyle w:val="normaltextrun"/>
          <w:i/>
          <w:color w:val="00000A"/>
          <w:sz w:val="20"/>
          <w:szCs w:val="20"/>
          <w:shd w:val="clear" w:color="auto" w:fill="FFFFFF"/>
        </w:rPr>
        <w:t>Trabajo Social, Estado y Sociedad: Cuestión Social, políticas públicas y Trabajo Social</w:t>
      </w:r>
      <w:r w:rsidRPr="00B747B7">
        <w:rPr>
          <w:rStyle w:val="normaltextrun"/>
          <w:color w:val="00000A"/>
          <w:sz w:val="20"/>
          <w:szCs w:val="20"/>
          <w:shd w:val="clear" w:color="auto" w:fill="FFFFFF"/>
        </w:rPr>
        <w:t>. Buenos Aires: Espacio Editorial.</w:t>
      </w:r>
      <w:r w:rsidRPr="00B747B7">
        <w:rPr>
          <w:rStyle w:val="eop"/>
          <w:color w:val="00000A"/>
          <w:sz w:val="20"/>
          <w:szCs w:val="20"/>
          <w:shd w:val="clear" w:color="auto" w:fill="FFFFFF"/>
        </w:rPr>
        <w:t> </w:t>
      </w:r>
    </w:p>
    <w:p w:rsidR="00CD6790" w:rsidRPr="00B747B7" w:rsidRDefault="00CD6790" w:rsidP="007A6BCA">
      <w:pPr>
        <w:pStyle w:val="paragraph"/>
        <w:spacing w:before="0" w:beforeAutospacing="0" w:after="0" w:afterAutospacing="0"/>
        <w:ind w:left="709" w:hanging="709"/>
        <w:jc w:val="both"/>
        <w:textAlignment w:val="baseline"/>
        <w:rPr>
          <w:rStyle w:val="normaltextrun"/>
          <w:sz w:val="20"/>
          <w:szCs w:val="20"/>
        </w:rPr>
      </w:pPr>
      <w:proofErr w:type="spellStart"/>
      <w:r w:rsidRPr="00B747B7">
        <w:rPr>
          <w:rStyle w:val="normaltextrun"/>
          <w:sz w:val="20"/>
          <w:szCs w:val="20"/>
        </w:rPr>
        <w:t>Golbert</w:t>
      </w:r>
      <w:proofErr w:type="spellEnd"/>
      <w:r w:rsidRPr="00B747B7">
        <w:rPr>
          <w:rStyle w:val="normaltextrun"/>
          <w:color w:val="00000A"/>
          <w:sz w:val="20"/>
          <w:szCs w:val="20"/>
          <w:shd w:val="clear" w:color="auto" w:fill="FFFFFF"/>
        </w:rPr>
        <w:t>, L. y </w:t>
      </w:r>
      <w:proofErr w:type="spellStart"/>
      <w:r w:rsidRPr="00B747B7">
        <w:rPr>
          <w:rStyle w:val="normaltextrun"/>
          <w:sz w:val="20"/>
          <w:szCs w:val="20"/>
        </w:rPr>
        <w:t>Kessler</w:t>
      </w:r>
      <w:proofErr w:type="spellEnd"/>
      <w:r w:rsidRPr="00B747B7">
        <w:rPr>
          <w:rStyle w:val="normaltextrun"/>
          <w:color w:val="00000A"/>
          <w:sz w:val="20"/>
          <w:szCs w:val="20"/>
          <w:shd w:val="clear" w:color="auto" w:fill="FFFFFF"/>
        </w:rPr>
        <w:t>, G. (1996). </w:t>
      </w:r>
      <w:proofErr w:type="spellStart"/>
      <w:r w:rsidRPr="00B747B7">
        <w:rPr>
          <w:rStyle w:val="normaltextrun"/>
          <w:sz w:val="20"/>
          <w:szCs w:val="20"/>
        </w:rPr>
        <w:t>Latin</w:t>
      </w:r>
      <w:proofErr w:type="spellEnd"/>
      <w:r w:rsidRPr="00B747B7">
        <w:rPr>
          <w:rStyle w:val="normaltextrun"/>
          <w:color w:val="00000A"/>
          <w:sz w:val="20"/>
          <w:szCs w:val="20"/>
          <w:shd w:val="clear" w:color="auto" w:fill="FFFFFF"/>
        </w:rPr>
        <w:t> </w:t>
      </w:r>
      <w:proofErr w:type="spellStart"/>
      <w:r w:rsidRPr="00B747B7">
        <w:rPr>
          <w:rStyle w:val="normaltextrun"/>
          <w:sz w:val="20"/>
          <w:szCs w:val="20"/>
        </w:rPr>
        <w:t>America</w:t>
      </w:r>
      <w:proofErr w:type="spellEnd"/>
      <w:r w:rsidRPr="00B747B7">
        <w:rPr>
          <w:rStyle w:val="normaltextrun"/>
          <w:color w:val="00000A"/>
          <w:sz w:val="20"/>
          <w:szCs w:val="20"/>
          <w:shd w:val="clear" w:color="auto" w:fill="FFFFFF"/>
        </w:rPr>
        <w:t>: </w:t>
      </w:r>
      <w:proofErr w:type="spellStart"/>
      <w:r w:rsidRPr="00B747B7">
        <w:rPr>
          <w:rStyle w:val="normaltextrun"/>
          <w:sz w:val="20"/>
          <w:szCs w:val="20"/>
        </w:rPr>
        <w:t>Poverty</w:t>
      </w:r>
      <w:proofErr w:type="spellEnd"/>
      <w:r w:rsidRPr="00B747B7">
        <w:rPr>
          <w:rStyle w:val="normaltextrun"/>
          <w:color w:val="00000A"/>
          <w:sz w:val="20"/>
          <w:szCs w:val="20"/>
          <w:shd w:val="clear" w:color="auto" w:fill="FFFFFF"/>
        </w:rPr>
        <w:t> as a </w:t>
      </w:r>
      <w:proofErr w:type="spellStart"/>
      <w:r w:rsidRPr="00B747B7">
        <w:rPr>
          <w:rStyle w:val="normaltextrun"/>
          <w:sz w:val="20"/>
          <w:szCs w:val="20"/>
        </w:rPr>
        <w:t>Challenge</w:t>
      </w:r>
      <w:proofErr w:type="spellEnd"/>
      <w:r w:rsidRPr="00B747B7">
        <w:rPr>
          <w:rStyle w:val="normaltextrun"/>
          <w:color w:val="00000A"/>
          <w:sz w:val="20"/>
          <w:szCs w:val="20"/>
          <w:shd w:val="clear" w:color="auto" w:fill="FFFFFF"/>
        </w:rPr>
        <w:t> </w:t>
      </w:r>
      <w:proofErr w:type="spellStart"/>
      <w:r w:rsidRPr="00B747B7">
        <w:rPr>
          <w:rStyle w:val="normaltextrun"/>
          <w:sz w:val="20"/>
          <w:szCs w:val="20"/>
        </w:rPr>
        <w:t>for</w:t>
      </w:r>
      <w:proofErr w:type="spellEnd"/>
      <w:r w:rsidRPr="00B747B7">
        <w:rPr>
          <w:rStyle w:val="normaltextrun"/>
          <w:color w:val="00000A"/>
          <w:sz w:val="20"/>
          <w:szCs w:val="20"/>
          <w:shd w:val="clear" w:color="auto" w:fill="FFFFFF"/>
        </w:rPr>
        <w:t> </w:t>
      </w:r>
      <w:proofErr w:type="spellStart"/>
      <w:r w:rsidRPr="00B747B7">
        <w:rPr>
          <w:rStyle w:val="normaltextrun"/>
          <w:sz w:val="20"/>
          <w:szCs w:val="20"/>
        </w:rPr>
        <w:t>Goverment</w:t>
      </w:r>
      <w:proofErr w:type="spellEnd"/>
      <w:r w:rsidRPr="00B747B7">
        <w:rPr>
          <w:rStyle w:val="normaltextrun"/>
          <w:color w:val="00000A"/>
          <w:sz w:val="20"/>
          <w:szCs w:val="20"/>
          <w:shd w:val="clear" w:color="auto" w:fill="FFFFFF"/>
        </w:rPr>
        <w:t> and </w:t>
      </w:r>
      <w:proofErr w:type="spellStart"/>
      <w:r w:rsidRPr="00B747B7">
        <w:rPr>
          <w:rStyle w:val="normaltextrun"/>
          <w:sz w:val="20"/>
          <w:szCs w:val="20"/>
        </w:rPr>
        <w:t>Society</w:t>
      </w:r>
      <w:proofErr w:type="spellEnd"/>
      <w:r w:rsidRPr="00B747B7">
        <w:rPr>
          <w:rStyle w:val="normaltextrun"/>
          <w:color w:val="00000A"/>
          <w:sz w:val="20"/>
          <w:szCs w:val="20"/>
          <w:shd w:val="clear" w:color="auto" w:fill="FFFFFF"/>
        </w:rPr>
        <w:t>. En: Oyen, M</w:t>
      </w:r>
      <w:r w:rsidR="00552BF6">
        <w:rPr>
          <w:rStyle w:val="normaltextrun"/>
          <w:color w:val="00000A"/>
          <w:sz w:val="20"/>
          <w:szCs w:val="20"/>
          <w:shd w:val="clear" w:color="auto" w:fill="FFFFFF"/>
        </w:rPr>
        <w:t>.</w:t>
      </w:r>
      <w:r w:rsidRPr="00B747B7">
        <w:rPr>
          <w:rStyle w:val="normaltextrun"/>
          <w:color w:val="00000A"/>
          <w:sz w:val="20"/>
          <w:szCs w:val="20"/>
          <w:shd w:val="clear" w:color="auto" w:fill="FFFFFF"/>
        </w:rPr>
        <w:t> </w:t>
      </w:r>
      <w:proofErr w:type="spellStart"/>
      <w:r w:rsidRPr="00552BF6">
        <w:rPr>
          <w:rStyle w:val="normaltextrun"/>
          <w:i/>
          <w:sz w:val="20"/>
          <w:szCs w:val="20"/>
        </w:rPr>
        <w:t>Pover</w:t>
      </w:r>
      <w:r w:rsidR="00552BF6" w:rsidRPr="00552BF6">
        <w:rPr>
          <w:rStyle w:val="normaltextrun"/>
          <w:i/>
          <w:sz w:val="20"/>
          <w:szCs w:val="20"/>
        </w:rPr>
        <w:t>t</w:t>
      </w:r>
      <w:r w:rsidRPr="00552BF6">
        <w:rPr>
          <w:rStyle w:val="normaltextrun"/>
          <w:i/>
          <w:sz w:val="20"/>
          <w:szCs w:val="20"/>
        </w:rPr>
        <w:t>y</w:t>
      </w:r>
      <w:proofErr w:type="spellEnd"/>
      <w:r w:rsidRPr="00552BF6">
        <w:rPr>
          <w:rStyle w:val="normaltextrun"/>
          <w:i/>
          <w:color w:val="00000A"/>
          <w:sz w:val="20"/>
          <w:szCs w:val="20"/>
          <w:shd w:val="clear" w:color="auto" w:fill="FFFFFF"/>
        </w:rPr>
        <w:t>. A global </w:t>
      </w:r>
      <w:proofErr w:type="spellStart"/>
      <w:r w:rsidRPr="00552BF6">
        <w:rPr>
          <w:rStyle w:val="normaltextrun"/>
          <w:i/>
          <w:sz w:val="20"/>
          <w:szCs w:val="20"/>
        </w:rPr>
        <w:t>Review</w:t>
      </w:r>
      <w:proofErr w:type="spellEnd"/>
      <w:r w:rsidRPr="00B747B7">
        <w:rPr>
          <w:rStyle w:val="normaltextrun"/>
          <w:color w:val="00000A"/>
          <w:sz w:val="20"/>
          <w:szCs w:val="20"/>
          <w:shd w:val="clear" w:color="auto" w:fill="FFFFFF"/>
        </w:rPr>
        <w:t>. Oslo. </w:t>
      </w:r>
      <w:r w:rsidRPr="00B747B7">
        <w:rPr>
          <w:rStyle w:val="normaltextrun"/>
          <w:sz w:val="20"/>
          <w:szCs w:val="20"/>
        </w:rPr>
        <w:t> </w:t>
      </w:r>
    </w:p>
    <w:p w:rsidR="00CD6790" w:rsidRPr="00B747B7" w:rsidRDefault="00CD6790" w:rsidP="007A6BCA">
      <w:pPr>
        <w:pStyle w:val="paragraph"/>
        <w:spacing w:before="0" w:beforeAutospacing="0" w:after="0" w:afterAutospacing="0"/>
        <w:ind w:left="709" w:hanging="709"/>
        <w:jc w:val="both"/>
        <w:textAlignment w:val="baseline"/>
        <w:rPr>
          <w:color w:val="00000A"/>
          <w:sz w:val="20"/>
          <w:szCs w:val="20"/>
        </w:rPr>
      </w:pPr>
      <w:proofErr w:type="spellStart"/>
      <w:r w:rsidRPr="00B747B7">
        <w:rPr>
          <w:rStyle w:val="spellingerror"/>
          <w:color w:val="00000A"/>
          <w:sz w:val="20"/>
          <w:szCs w:val="20"/>
        </w:rPr>
        <w:t>Grassi</w:t>
      </w:r>
      <w:proofErr w:type="spellEnd"/>
      <w:r w:rsidRPr="00B747B7">
        <w:rPr>
          <w:rStyle w:val="normaltextrun"/>
          <w:color w:val="00000A"/>
          <w:sz w:val="20"/>
          <w:szCs w:val="20"/>
        </w:rPr>
        <w:t xml:space="preserve">, E. (2003). </w:t>
      </w:r>
      <w:r w:rsidRPr="00552BF6">
        <w:rPr>
          <w:rStyle w:val="normaltextrun"/>
          <w:i/>
          <w:color w:val="00000A"/>
          <w:sz w:val="20"/>
          <w:szCs w:val="20"/>
        </w:rPr>
        <w:t>Políticas</w:t>
      </w:r>
      <w:r w:rsidRPr="00B747B7">
        <w:rPr>
          <w:rStyle w:val="normaltextrun"/>
          <w:color w:val="00000A"/>
          <w:sz w:val="20"/>
          <w:szCs w:val="20"/>
        </w:rPr>
        <w:t xml:space="preserve"> </w:t>
      </w:r>
      <w:r w:rsidRPr="00552BF6">
        <w:rPr>
          <w:rStyle w:val="normaltextrun"/>
          <w:i/>
          <w:color w:val="00000A"/>
          <w:sz w:val="20"/>
          <w:szCs w:val="20"/>
        </w:rPr>
        <w:t>y problemas sociales en la sociedad neoliberal. La otra década infame (I)</w:t>
      </w:r>
      <w:r w:rsidRPr="00B747B7">
        <w:rPr>
          <w:rStyle w:val="normaltextrun"/>
          <w:color w:val="00000A"/>
          <w:sz w:val="20"/>
          <w:szCs w:val="20"/>
        </w:rPr>
        <w:t>. Buenos Aires: Espacio Editorial.</w:t>
      </w:r>
      <w:r w:rsidRPr="00B747B7">
        <w:rPr>
          <w:rStyle w:val="eop"/>
          <w:color w:val="00000A"/>
          <w:sz w:val="20"/>
          <w:szCs w:val="20"/>
        </w:rPr>
        <w:t> </w:t>
      </w:r>
    </w:p>
    <w:p w:rsidR="00CD6790" w:rsidRPr="00B747B7" w:rsidRDefault="00CD6790" w:rsidP="007A6BCA">
      <w:pPr>
        <w:pStyle w:val="paragraph"/>
        <w:spacing w:before="0" w:beforeAutospacing="0" w:after="0" w:afterAutospacing="0"/>
        <w:ind w:left="709" w:hanging="709"/>
        <w:jc w:val="both"/>
        <w:textAlignment w:val="baseline"/>
        <w:rPr>
          <w:color w:val="00000A"/>
          <w:sz w:val="20"/>
          <w:szCs w:val="20"/>
        </w:rPr>
      </w:pPr>
      <w:proofErr w:type="spellStart"/>
      <w:r w:rsidRPr="00B747B7">
        <w:rPr>
          <w:rStyle w:val="normaltextrun"/>
          <w:color w:val="00000A"/>
          <w:sz w:val="20"/>
          <w:szCs w:val="20"/>
        </w:rPr>
        <w:t>Grondona</w:t>
      </w:r>
      <w:proofErr w:type="spellEnd"/>
      <w:r w:rsidRPr="00B747B7">
        <w:rPr>
          <w:rStyle w:val="normaltextrun"/>
          <w:color w:val="00000A"/>
          <w:sz w:val="20"/>
          <w:szCs w:val="20"/>
        </w:rPr>
        <w:t>, A. (2014). </w:t>
      </w:r>
      <w:r w:rsidRPr="00552BF6">
        <w:rPr>
          <w:rStyle w:val="normaltextrun"/>
          <w:i/>
          <w:color w:val="00000A"/>
          <w:sz w:val="20"/>
          <w:szCs w:val="20"/>
        </w:rPr>
        <w:t xml:space="preserve">Saber de la pobreza. Discursos expertos y subclases en la Argentina entre 1956 y 2006. </w:t>
      </w:r>
      <w:r w:rsidRPr="00B747B7">
        <w:rPr>
          <w:rStyle w:val="normaltextrun"/>
          <w:color w:val="00000A"/>
          <w:sz w:val="20"/>
          <w:szCs w:val="20"/>
        </w:rPr>
        <w:t>Buenos Aires: Ediciones del CCC. </w:t>
      </w:r>
      <w:r w:rsidRPr="00B747B7">
        <w:rPr>
          <w:rStyle w:val="eop"/>
          <w:color w:val="00000A"/>
          <w:sz w:val="20"/>
          <w:szCs w:val="20"/>
        </w:rPr>
        <w:t> </w:t>
      </w:r>
    </w:p>
    <w:p w:rsidR="00CD6790" w:rsidRDefault="00CD6790" w:rsidP="007A6BCA">
      <w:pPr>
        <w:pStyle w:val="paragraph"/>
        <w:spacing w:before="0" w:beforeAutospacing="0" w:after="0" w:afterAutospacing="0"/>
        <w:ind w:left="709" w:hanging="709"/>
        <w:jc w:val="both"/>
        <w:textAlignment w:val="baseline"/>
        <w:rPr>
          <w:rStyle w:val="normaltextrun"/>
          <w:color w:val="00000A"/>
          <w:sz w:val="20"/>
          <w:szCs w:val="20"/>
        </w:rPr>
      </w:pPr>
      <w:proofErr w:type="spellStart"/>
      <w:r w:rsidRPr="00B747B7">
        <w:rPr>
          <w:rStyle w:val="normaltextrun"/>
          <w:sz w:val="20"/>
          <w:szCs w:val="20"/>
        </w:rPr>
        <w:t>Guiller</w:t>
      </w:r>
      <w:proofErr w:type="spellEnd"/>
      <w:r w:rsidR="00552BF6">
        <w:rPr>
          <w:rStyle w:val="normaltextrun"/>
          <w:color w:val="00000A"/>
          <w:sz w:val="20"/>
          <w:szCs w:val="20"/>
        </w:rPr>
        <w:t xml:space="preserve">, D. (2014). </w:t>
      </w:r>
      <w:r w:rsidRPr="00B747B7">
        <w:rPr>
          <w:rStyle w:val="normaltextrun"/>
          <w:color w:val="00000A"/>
          <w:sz w:val="20"/>
          <w:szCs w:val="20"/>
        </w:rPr>
        <w:t>¿Teoría de la dependencia? Orígenes y discusiones en torn</w:t>
      </w:r>
      <w:r w:rsidR="00552BF6">
        <w:rPr>
          <w:rStyle w:val="normaltextrun"/>
          <w:color w:val="00000A"/>
          <w:sz w:val="20"/>
          <w:szCs w:val="20"/>
        </w:rPr>
        <w:t>o de una categoría problemática</w:t>
      </w:r>
      <w:r w:rsidRPr="00B747B7">
        <w:rPr>
          <w:rStyle w:val="normaltextrun"/>
          <w:color w:val="00000A"/>
          <w:sz w:val="20"/>
          <w:szCs w:val="20"/>
        </w:rPr>
        <w:t>. </w:t>
      </w:r>
      <w:r w:rsidRPr="00552BF6">
        <w:rPr>
          <w:rStyle w:val="normaltextrun"/>
          <w:i/>
          <w:color w:val="00000A"/>
          <w:sz w:val="20"/>
          <w:szCs w:val="20"/>
        </w:rPr>
        <w:t>Revista del CCC</w:t>
      </w:r>
      <w:r w:rsidRPr="00B747B7">
        <w:rPr>
          <w:rStyle w:val="normaltextrun"/>
          <w:color w:val="00000A"/>
          <w:sz w:val="20"/>
          <w:szCs w:val="20"/>
        </w:rPr>
        <w:t>, </w:t>
      </w:r>
      <w:r w:rsidR="00552BF6">
        <w:rPr>
          <w:rStyle w:val="normaltextrun"/>
          <w:color w:val="00000A"/>
          <w:sz w:val="20"/>
          <w:szCs w:val="20"/>
        </w:rPr>
        <w:t>8(21).</w:t>
      </w:r>
    </w:p>
    <w:p w:rsidR="00D37E1B" w:rsidRDefault="00D37E1B" w:rsidP="007A6BCA">
      <w:pPr>
        <w:pStyle w:val="paragraph"/>
        <w:spacing w:before="0" w:beforeAutospacing="0" w:after="0" w:afterAutospacing="0"/>
        <w:ind w:left="709" w:hanging="709"/>
        <w:jc w:val="both"/>
        <w:textAlignment w:val="baseline"/>
        <w:rPr>
          <w:rStyle w:val="normaltextrun"/>
          <w:color w:val="00000A"/>
          <w:sz w:val="20"/>
          <w:szCs w:val="20"/>
        </w:rPr>
      </w:pPr>
      <w:proofErr w:type="spellStart"/>
      <w:r>
        <w:rPr>
          <w:rStyle w:val="normaltextrun"/>
          <w:sz w:val="20"/>
          <w:szCs w:val="20"/>
        </w:rPr>
        <w:t>Lijterman</w:t>
      </w:r>
      <w:proofErr w:type="spellEnd"/>
      <w:r>
        <w:rPr>
          <w:rStyle w:val="normaltextrun"/>
          <w:sz w:val="20"/>
          <w:szCs w:val="20"/>
        </w:rPr>
        <w:t xml:space="preserve">, E. (2017). La informalidad como campo de discusión en el contexto de emergencia del concepto. Yuxtaposiciones entre problemas de empleo y pobreza. </w:t>
      </w:r>
      <w:r w:rsidRPr="00D37E1B">
        <w:rPr>
          <w:rStyle w:val="normaltextrun"/>
          <w:i/>
          <w:sz w:val="20"/>
          <w:szCs w:val="20"/>
        </w:rPr>
        <w:t>Trabajo y Sociedad</w:t>
      </w:r>
      <w:r>
        <w:rPr>
          <w:rStyle w:val="normaltextrun"/>
          <w:sz w:val="20"/>
          <w:szCs w:val="20"/>
        </w:rPr>
        <w:t>, n° 29, pp. 391- 411.</w:t>
      </w:r>
    </w:p>
    <w:p w:rsidR="00CD6790" w:rsidRPr="00B747B7" w:rsidRDefault="00CD6790" w:rsidP="007A6BCA">
      <w:pPr>
        <w:pStyle w:val="paragraph"/>
        <w:spacing w:before="0" w:beforeAutospacing="0" w:after="0" w:afterAutospacing="0"/>
        <w:ind w:left="709" w:hanging="709"/>
        <w:jc w:val="both"/>
        <w:textAlignment w:val="baseline"/>
        <w:rPr>
          <w:rStyle w:val="eop"/>
          <w:color w:val="00000A"/>
          <w:sz w:val="20"/>
          <w:szCs w:val="20"/>
          <w:shd w:val="clear" w:color="auto" w:fill="FFFFFF"/>
        </w:rPr>
      </w:pPr>
      <w:proofErr w:type="spellStart"/>
      <w:r w:rsidRPr="00B747B7">
        <w:rPr>
          <w:rStyle w:val="spellingerror"/>
          <w:color w:val="00000A"/>
          <w:sz w:val="20"/>
          <w:szCs w:val="20"/>
          <w:shd w:val="clear" w:color="auto" w:fill="FFFFFF"/>
        </w:rPr>
        <w:t>Merklen</w:t>
      </w:r>
      <w:proofErr w:type="spellEnd"/>
      <w:r w:rsidRPr="00B747B7">
        <w:rPr>
          <w:rStyle w:val="normaltextrun"/>
          <w:color w:val="00000A"/>
          <w:sz w:val="20"/>
          <w:szCs w:val="20"/>
          <w:shd w:val="clear" w:color="auto" w:fill="FFFFFF"/>
        </w:rPr>
        <w:t>, D. (2010). El impacto de la cooperación ¿Qué tipo de relaciones sociales genera la solidaridad internacional? En: </w:t>
      </w:r>
      <w:proofErr w:type="spellStart"/>
      <w:r w:rsidR="00552BF6">
        <w:rPr>
          <w:rStyle w:val="normaltextrun"/>
          <w:color w:val="00000A"/>
          <w:sz w:val="20"/>
          <w:szCs w:val="20"/>
          <w:shd w:val="clear" w:color="auto" w:fill="FFFFFF"/>
        </w:rPr>
        <w:t>V</w:t>
      </w:r>
      <w:r w:rsidRPr="00B747B7">
        <w:rPr>
          <w:rStyle w:val="spellingerror"/>
          <w:color w:val="00000A"/>
          <w:sz w:val="20"/>
          <w:szCs w:val="20"/>
          <w:shd w:val="clear" w:color="auto" w:fill="FFFFFF"/>
        </w:rPr>
        <w:t>allone</w:t>
      </w:r>
      <w:proofErr w:type="spellEnd"/>
      <w:r w:rsidRPr="00B747B7">
        <w:rPr>
          <w:rStyle w:val="normaltextrun"/>
          <w:color w:val="00000A"/>
          <w:sz w:val="20"/>
          <w:szCs w:val="20"/>
          <w:shd w:val="clear" w:color="auto" w:fill="FFFFFF"/>
        </w:rPr>
        <w:t>, M. y Arias, A</w:t>
      </w:r>
      <w:r w:rsidR="00552BF6">
        <w:rPr>
          <w:rStyle w:val="normaltextrun"/>
          <w:color w:val="00000A"/>
          <w:sz w:val="20"/>
          <w:szCs w:val="20"/>
          <w:shd w:val="clear" w:color="auto" w:fill="FFFFFF"/>
        </w:rPr>
        <w:t xml:space="preserve">. </w:t>
      </w:r>
      <w:r w:rsidRPr="00552BF6">
        <w:rPr>
          <w:rStyle w:val="normaltextrun"/>
          <w:i/>
          <w:color w:val="00000A"/>
          <w:sz w:val="20"/>
          <w:szCs w:val="20"/>
          <w:shd w:val="clear" w:color="auto" w:fill="FFFFFF"/>
        </w:rPr>
        <w:t>La dimensión social de la cooperación internacional. Aportes para la construcción de una agenda post-neoliberal</w:t>
      </w:r>
      <w:r w:rsidRPr="00B747B7">
        <w:rPr>
          <w:rStyle w:val="normaltextrun"/>
          <w:color w:val="00000A"/>
          <w:sz w:val="20"/>
          <w:szCs w:val="20"/>
          <w:shd w:val="clear" w:color="auto" w:fill="FFFFFF"/>
        </w:rPr>
        <w:t>. Buenos Aires: CICCUS.</w:t>
      </w:r>
      <w:r w:rsidRPr="00B747B7">
        <w:rPr>
          <w:rStyle w:val="eop"/>
          <w:color w:val="00000A"/>
          <w:sz w:val="20"/>
          <w:szCs w:val="20"/>
          <w:shd w:val="clear" w:color="auto" w:fill="FFFFFF"/>
        </w:rPr>
        <w:t> </w:t>
      </w:r>
    </w:p>
    <w:p w:rsidR="008F7455" w:rsidRDefault="008F7455" w:rsidP="007A6BCA">
      <w:pPr>
        <w:pStyle w:val="paragraph"/>
        <w:spacing w:before="0" w:beforeAutospacing="0" w:after="0" w:afterAutospacing="0"/>
        <w:ind w:left="709" w:hanging="709"/>
        <w:jc w:val="both"/>
        <w:textAlignment w:val="baseline"/>
        <w:rPr>
          <w:rStyle w:val="spellingerror"/>
          <w:color w:val="00000A"/>
          <w:sz w:val="20"/>
          <w:szCs w:val="20"/>
        </w:rPr>
      </w:pPr>
      <w:proofErr w:type="spellStart"/>
      <w:r>
        <w:rPr>
          <w:color w:val="00000A"/>
          <w:sz w:val="20"/>
          <w:szCs w:val="20"/>
        </w:rPr>
        <w:t>Minteguiaga</w:t>
      </w:r>
      <w:proofErr w:type="spellEnd"/>
      <w:r>
        <w:rPr>
          <w:color w:val="00000A"/>
          <w:sz w:val="20"/>
          <w:szCs w:val="20"/>
        </w:rPr>
        <w:t xml:space="preserve">, A. </w:t>
      </w:r>
      <w:r w:rsidRPr="008F7455">
        <w:rPr>
          <w:color w:val="00000A"/>
          <w:sz w:val="20"/>
          <w:szCs w:val="20"/>
        </w:rPr>
        <w:t xml:space="preserve">(2009): </w:t>
      </w:r>
      <w:r w:rsidRPr="008F7455">
        <w:rPr>
          <w:i/>
          <w:iCs/>
          <w:color w:val="00000A"/>
          <w:sz w:val="20"/>
          <w:szCs w:val="20"/>
        </w:rPr>
        <w:t xml:space="preserve">Lo público de la educación pública: la reforma educativa de los noventa en Argentina. </w:t>
      </w:r>
      <w:r>
        <w:rPr>
          <w:color w:val="00000A"/>
          <w:sz w:val="20"/>
          <w:szCs w:val="20"/>
        </w:rPr>
        <w:t>México: FLACSO.</w:t>
      </w:r>
    </w:p>
    <w:p w:rsidR="00CD6790" w:rsidRDefault="00CD6790" w:rsidP="007A6BCA">
      <w:pPr>
        <w:pStyle w:val="paragraph"/>
        <w:spacing w:before="0" w:beforeAutospacing="0" w:after="0" w:afterAutospacing="0"/>
        <w:ind w:left="709" w:hanging="709"/>
        <w:jc w:val="both"/>
        <w:textAlignment w:val="baseline"/>
        <w:rPr>
          <w:rStyle w:val="eop"/>
          <w:color w:val="00000A"/>
          <w:sz w:val="20"/>
          <w:szCs w:val="20"/>
        </w:rPr>
      </w:pPr>
      <w:proofErr w:type="spellStart"/>
      <w:r w:rsidRPr="00B747B7">
        <w:rPr>
          <w:rStyle w:val="spellingerror"/>
          <w:color w:val="00000A"/>
          <w:sz w:val="20"/>
          <w:szCs w:val="20"/>
        </w:rPr>
        <w:t>Molyneux</w:t>
      </w:r>
      <w:proofErr w:type="spellEnd"/>
      <w:r w:rsidR="00552BF6">
        <w:rPr>
          <w:rStyle w:val="normaltextrun"/>
          <w:color w:val="00000A"/>
          <w:sz w:val="20"/>
          <w:szCs w:val="20"/>
        </w:rPr>
        <w:t xml:space="preserve">, </w:t>
      </w:r>
      <w:r w:rsidRPr="00B747B7">
        <w:rPr>
          <w:rStyle w:val="normaltextrun"/>
          <w:color w:val="00000A"/>
          <w:sz w:val="20"/>
          <w:szCs w:val="20"/>
        </w:rPr>
        <w:t>M.</w:t>
      </w:r>
      <w:r w:rsidR="00552BF6">
        <w:rPr>
          <w:rStyle w:val="normaltextrun"/>
          <w:color w:val="00000A"/>
          <w:sz w:val="20"/>
          <w:szCs w:val="20"/>
        </w:rPr>
        <w:t xml:space="preserve"> (2006). </w:t>
      </w:r>
      <w:proofErr w:type="spellStart"/>
      <w:r w:rsidR="00552BF6">
        <w:rPr>
          <w:rStyle w:val="normaltextrun"/>
          <w:color w:val="00000A"/>
          <w:sz w:val="20"/>
          <w:szCs w:val="20"/>
        </w:rPr>
        <w:t>Mothers</w:t>
      </w:r>
      <w:proofErr w:type="spellEnd"/>
      <w:r w:rsidR="00552BF6">
        <w:rPr>
          <w:rStyle w:val="normaltextrun"/>
          <w:color w:val="00000A"/>
          <w:sz w:val="20"/>
          <w:szCs w:val="20"/>
        </w:rPr>
        <w:t xml:space="preserve"> at </w:t>
      </w:r>
      <w:proofErr w:type="spellStart"/>
      <w:r w:rsidR="00552BF6">
        <w:rPr>
          <w:rStyle w:val="normaltextrun"/>
          <w:color w:val="00000A"/>
          <w:sz w:val="20"/>
          <w:szCs w:val="20"/>
        </w:rPr>
        <w:t>the</w:t>
      </w:r>
      <w:proofErr w:type="spellEnd"/>
      <w:r w:rsidR="00552BF6">
        <w:rPr>
          <w:rStyle w:val="normaltextrun"/>
          <w:color w:val="00000A"/>
          <w:sz w:val="20"/>
          <w:szCs w:val="20"/>
        </w:rPr>
        <w:t xml:space="preserve"> </w:t>
      </w:r>
      <w:proofErr w:type="spellStart"/>
      <w:r w:rsidR="00552BF6">
        <w:rPr>
          <w:rStyle w:val="normaltextrun"/>
          <w:color w:val="00000A"/>
          <w:sz w:val="20"/>
          <w:szCs w:val="20"/>
        </w:rPr>
        <w:t>Service</w:t>
      </w:r>
      <w:proofErr w:type="spellEnd"/>
      <w:r w:rsidR="00552BF6">
        <w:rPr>
          <w:rStyle w:val="normaltextrun"/>
          <w:color w:val="00000A"/>
          <w:sz w:val="20"/>
          <w:szCs w:val="20"/>
        </w:rPr>
        <w:t xml:space="preserve"> of </w:t>
      </w:r>
      <w:proofErr w:type="spellStart"/>
      <w:r w:rsidR="00552BF6">
        <w:rPr>
          <w:rStyle w:val="normaltextrun"/>
          <w:color w:val="00000A"/>
          <w:sz w:val="20"/>
          <w:szCs w:val="20"/>
        </w:rPr>
        <w:t>the</w:t>
      </w:r>
      <w:proofErr w:type="spellEnd"/>
      <w:r w:rsidR="00552BF6">
        <w:rPr>
          <w:rStyle w:val="normaltextrun"/>
          <w:color w:val="00000A"/>
          <w:sz w:val="20"/>
          <w:szCs w:val="20"/>
        </w:rPr>
        <w:t xml:space="preserve"> New </w:t>
      </w:r>
      <w:proofErr w:type="spellStart"/>
      <w:r w:rsidR="00552BF6">
        <w:rPr>
          <w:rStyle w:val="normaltextrun"/>
          <w:color w:val="00000A"/>
          <w:sz w:val="20"/>
          <w:szCs w:val="20"/>
        </w:rPr>
        <w:t>Poverty</w:t>
      </w:r>
      <w:proofErr w:type="spellEnd"/>
      <w:r w:rsidR="00552BF6">
        <w:rPr>
          <w:rStyle w:val="normaltextrun"/>
          <w:color w:val="00000A"/>
          <w:sz w:val="20"/>
          <w:szCs w:val="20"/>
        </w:rPr>
        <w:t xml:space="preserve"> Agenda: Progresa/Oportunidades, </w:t>
      </w:r>
      <w:proofErr w:type="spellStart"/>
      <w:r w:rsidR="00552BF6">
        <w:rPr>
          <w:rStyle w:val="normaltextrun"/>
          <w:color w:val="00000A"/>
          <w:sz w:val="20"/>
          <w:szCs w:val="20"/>
        </w:rPr>
        <w:t>Mexico’s</w:t>
      </w:r>
      <w:proofErr w:type="spellEnd"/>
      <w:r w:rsidR="00552BF6">
        <w:rPr>
          <w:rStyle w:val="normaltextrun"/>
          <w:color w:val="00000A"/>
          <w:sz w:val="20"/>
          <w:szCs w:val="20"/>
        </w:rPr>
        <w:t xml:space="preserve"> </w:t>
      </w:r>
      <w:proofErr w:type="spellStart"/>
      <w:r w:rsidR="00552BF6">
        <w:rPr>
          <w:rStyle w:val="normaltextrun"/>
          <w:color w:val="00000A"/>
          <w:sz w:val="20"/>
          <w:szCs w:val="20"/>
        </w:rPr>
        <w:t>Conditional</w:t>
      </w:r>
      <w:proofErr w:type="spellEnd"/>
      <w:r w:rsidR="00552BF6">
        <w:rPr>
          <w:rStyle w:val="normaltextrun"/>
          <w:color w:val="00000A"/>
          <w:sz w:val="20"/>
          <w:szCs w:val="20"/>
        </w:rPr>
        <w:t xml:space="preserve"> </w:t>
      </w:r>
      <w:r w:rsidRPr="00B747B7">
        <w:rPr>
          <w:rStyle w:val="normaltextrun"/>
          <w:color w:val="00000A"/>
          <w:sz w:val="20"/>
          <w:szCs w:val="20"/>
        </w:rPr>
        <w:t>Transfer </w:t>
      </w:r>
      <w:proofErr w:type="spellStart"/>
      <w:r w:rsidRPr="00B747B7">
        <w:rPr>
          <w:rStyle w:val="spellingerror"/>
          <w:color w:val="00000A"/>
          <w:sz w:val="20"/>
          <w:szCs w:val="20"/>
        </w:rPr>
        <w:t>Programme</w:t>
      </w:r>
      <w:proofErr w:type="spellEnd"/>
      <w:r w:rsidRPr="00B747B7">
        <w:rPr>
          <w:rStyle w:val="normaltextrun"/>
          <w:color w:val="00000A"/>
          <w:sz w:val="20"/>
          <w:szCs w:val="20"/>
        </w:rPr>
        <w:t>. </w:t>
      </w:r>
      <w:r w:rsidRPr="00552BF6">
        <w:rPr>
          <w:rStyle w:val="normaltextrun"/>
          <w:i/>
          <w:color w:val="00000A"/>
          <w:sz w:val="20"/>
          <w:szCs w:val="20"/>
        </w:rPr>
        <w:t>Social </w:t>
      </w:r>
      <w:proofErr w:type="spellStart"/>
      <w:r w:rsidRPr="00552BF6">
        <w:rPr>
          <w:rStyle w:val="spellingerror"/>
          <w:i/>
          <w:color w:val="00000A"/>
          <w:sz w:val="20"/>
          <w:szCs w:val="20"/>
        </w:rPr>
        <w:t>Policy</w:t>
      </w:r>
      <w:proofErr w:type="spellEnd"/>
      <w:r w:rsidRPr="00552BF6">
        <w:rPr>
          <w:rStyle w:val="normaltextrun"/>
          <w:i/>
          <w:color w:val="00000A"/>
          <w:sz w:val="20"/>
          <w:szCs w:val="20"/>
        </w:rPr>
        <w:t> and </w:t>
      </w:r>
      <w:proofErr w:type="spellStart"/>
      <w:r w:rsidRPr="00552BF6">
        <w:rPr>
          <w:rStyle w:val="spellingerror"/>
          <w:i/>
          <w:color w:val="00000A"/>
          <w:sz w:val="20"/>
          <w:szCs w:val="20"/>
        </w:rPr>
        <w:t>Administration</w:t>
      </w:r>
      <w:proofErr w:type="spellEnd"/>
      <w:r w:rsidRPr="00B747B7">
        <w:rPr>
          <w:rStyle w:val="normaltextrun"/>
          <w:color w:val="00000A"/>
          <w:sz w:val="20"/>
          <w:szCs w:val="20"/>
        </w:rPr>
        <w:t>,</w:t>
      </w:r>
      <w:r w:rsidR="00552BF6" w:rsidRPr="00B747B7">
        <w:rPr>
          <w:rStyle w:val="normaltextrun"/>
          <w:color w:val="00000A"/>
          <w:sz w:val="20"/>
          <w:szCs w:val="20"/>
        </w:rPr>
        <w:t xml:space="preserve"> </w:t>
      </w:r>
      <w:r w:rsidRPr="00552BF6">
        <w:rPr>
          <w:rStyle w:val="normaltextrun"/>
          <w:i/>
          <w:color w:val="00000A"/>
          <w:sz w:val="20"/>
          <w:szCs w:val="20"/>
        </w:rPr>
        <w:t>40</w:t>
      </w:r>
      <w:r w:rsidR="00552BF6">
        <w:rPr>
          <w:rStyle w:val="normaltextrun"/>
          <w:color w:val="00000A"/>
          <w:sz w:val="20"/>
          <w:szCs w:val="20"/>
        </w:rPr>
        <w:t>(</w:t>
      </w:r>
      <w:r w:rsidRPr="00B747B7">
        <w:rPr>
          <w:rStyle w:val="normaltextrun"/>
          <w:color w:val="00000A"/>
          <w:sz w:val="20"/>
          <w:szCs w:val="20"/>
        </w:rPr>
        <w:t>4</w:t>
      </w:r>
      <w:r w:rsidR="00552BF6">
        <w:rPr>
          <w:rStyle w:val="normaltextrun"/>
          <w:color w:val="00000A"/>
          <w:sz w:val="20"/>
          <w:szCs w:val="20"/>
        </w:rPr>
        <w:t>)</w:t>
      </w:r>
      <w:r w:rsidRPr="00B747B7">
        <w:rPr>
          <w:rStyle w:val="normaltextrun"/>
          <w:color w:val="00000A"/>
          <w:sz w:val="20"/>
          <w:szCs w:val="20"/>
        </w:rPr>
        <w:t>, pp. 425- 449. </w:t>
      </w:r>
      <w:r w:rsidRPr="00B747B7">
        <w:rPr>
          <w:rStyle w:val="eop"/>
          <w:color w:val="00000A"/>
          <w:sz w:val="20"/>
          <w:szCs w:val="20"/>
        </w:rPr>
        <w:t> </w:t>
      </w:r>
    </w:p>
    <w:p w:rsidR="00384E85" w:rsidRDefault="00384E85" w:rsidP="007A6BCA">
      <w:pPr>
        <w:pStyle w:val="paragraph"/>
        <w:spacing w:before="0" w:beforeAutospacing="0" w:after="0" w:afterAutospacing="0"/>
        <w:ind w:left="709" w:hanging="709"/>
        <w:jc w:val="both"/>
        <w:textAlignment w:val="baseline"/>
        <w:rPr>
          <w:rStyle w:val="eop"/>
          <w:color w:val="00000A"/>
          <w:sz w:val="20"/>
          <w:szCs w:val="20"/>
        </w:rPr>
      </w:pPr>
      <w:r>
        <w:rPr>
          <w:rStyle w:val="eop"/>
          <w:color w:val="00000A"/>
          <w:sz w:val="20"/>
          <w:szCs w:val="20"/>
        </w:rPr>
        <w:t xml:space="preserve">Montero, S. (2011). Los ‘usos’ del </w:t>
      </w:r>
      <w:proofErr w:type="spellStart"/>
      <w:r>
        <w:rPr>
          <w:rStyle w:val="eop"/>
          <w:color w:val="00000A"/>
          <w:sz w:val="20"/>
          <w:szCs w:val="20"/>
        </w:rPr>
        <w:t>ethos</w:t>
      </w:r>
      <w:proofErr w:type="spellEnd"/>
      <w:r>
        <w:rPr>
          <w:rStyle w:val="eop"/>
          <w:color w:val="00000A"/>
          <w:sz w:val="20"/>
          <w:szCs w:val="20"/>
        </w:rPr>
        <w:t xml:space="preserve">: acepciones lingüístico-discursivas y sociológicas. </w:t>
      </w:r>
      <w:r w:rsidRPr="00384E85">
        <w:rPr>
          <w:rStyle w:val="eop"/>
          <w:i/>
          <w:color w:val="00000A"/>
          <w:sz w:val="20"/>
          <w:szCs w:val="20"/>
        </w:rPr>
        <w:t>VI Jornadas de Jóvenes Investigadores</w:t>
      </w:r>
      <w:r>
        <w:rPr>
          <w:rStyle w:val="eop"/>
          <w:color w:val="00000A"/>
          <w:sz w:val="20"/>
          <w:szCs w:val="20"/>
        </w:rPr>
        <w:t>. IIGG, FCS, UBA.</w:t>
      </w:r>
    </w:p>
    <w:p w:rsidR="004366B3" w:rsidRPr="00B747B7" w:rsidRDefault="004366B3" w:rsidP="007A6BCA">
      <w:pPr>
        <w:pStyle w:val="paragraph"/>
        <w:spacing w:before="0" w:beforeAutospacing="0" w:after="0" w:afterAutospacing="0"/>
        <w:ind w:left="709" w:hanging="709"/>
        <w:jc w:val="both"/>
        <w:textAlignment w:val="baseline"/>
        <w:rPr>
          <w:color w:val="00000A"/>
          <w:sz w:val="20"/>
          <w:szCs w:val="20"/>
        </w:rPr>
      </w:pPr>
      <w:proofErr w:type="spellStart"/>
      <w:r>
        <w:rPr>
          <w:rStyle w:val="eop"/>
          <w:color w:val="00000A"/>
          <w:sz w:val="20"/>
          <w:szCs w:val="20"/>
        </w:rPr>
        <w:t>Morresi</w:t>
      </w:r>
      <w:proofErr w:type="spellEnd"/>
      <w:r>
        <w:rPr>
          <w:rStyle w:val="eop"/>
          <w:color w:val="00000A"/>
          <w:sz w:val="20"/>
          <w:szCs w:val="20"/>
        </w:rPr>
        <w:t xml:space="preserve">, S. y </w:t>
      </w:r>
      <w:proofErr w:type="spellStart"/>
      <w:r>
        <w:rPr>
          <w:rStyle w:val="eop"/>
          <w:color w:val="00000A"/>
          <w:sz w:val="20"/>
          <w:szCs w:val="20"/>
        </w:rPr>
        <w:t>Vommaro</w:t>
      </w:r>
      <w:proofErr w:type="spellEnd"/>
      <w:r>
        <w:rPr>
          <w:rStyle w:val="eop"/>
          <w:color w:val="00000A"/>
          <w:sz w:val="20"/>
          <w:szCs w:val="20"/>
        </w:rPr>
        <w:t xml:space="preserve">, G. (2012). </w:t>
      </w:r>
      <w:r w:rsidRPr="004366B3">
        <w:rPr>
          <w:i/>
          <w:color w:val="00000A"/>
          <w:sz w:val="20"/>
          <w:szCs w:val="20"/>
        </w:rPr>
        <w:t>Saber lo que se hace. Expertos y Política en Argentina</w:t>
      </w:r>
      <w:r>
        <w:rPr>
          <w:color w:val="00000A"/>
          <w:sz w:val="20"/>
          <w:szCs w:val="20"/>
        </w:rPr>
        <w:t>. Buenos Aires. Prometeo.</w:t>
      </w:r>
    </w:p>
    <w:p w:rsidR="00CD6790" w:rsidRPr="00B747B7" w:rsidRDefault="00CD6790" w:rsidP="007A6BCA">
      <w:pPr>
        <w:pStyle w:val="paragraph"/>
        <w:spacing w:before="0" w:beforeAutospacing="0" w:after="0" w:afterAutospacing="0"/>
        <w:ind w:left="709" w:hanging="709"/>
        <w:jc w:val="both"/>
        <w:textAlignment w:val="baseline"/>
        <w:rPr>
          <w:color w:val="00000A"/>
          <w:sz w:val="20"/>
          <w:szCs w:val="20"/>
        </w:rPr>
      </w:pPr>
      <w:r w:rsidRPr="00B747B7">
        <w:rPr>
          <w:rStyle w:val="normaltextrun"/>
          <w:color w:val="00000A"/>
          <w:sz w:val="20"/>
          <w:szCs w:val="20"/>
        </w:rPr>
        <w:t>Murillo, S. (2005). “Del par normal- patológico a la gestión del riesgo social. Viejos y nuevos significantes del sujeto y la cuestión social”.</w:t>
      </w:r>
      <w:r w:rsidR="00552BF6">
        <w:rPr>
          <w:rStyle w:val="normaltextrun"/>
          <w:color w:val="00000A"/>
          <w:sz w:val="20"/>
          <w:szCs w:val="20"/>
        </w:rPr>
        <w:t xml:space="preserve"> En: Murillo, S. (</w:t>
      </w:r>
      <w:proofErr w:type="spellStart"/>
      <w:r w:rsidR="00552BF6">
        <w:rPr>
          <w:rStyle w:val="normaltextrun"/>
          <w:color w:val="00000A"/>
          <w:sz w:val="20"/>
          <w:szCs w:val="20"/>
        </w:rPr>
        <w:t>Coord</w:t>
      </w:r>
      <w:proofErr w:type="spellEnd"/>
      <w:r w:rsidR="00552BF6">
        <w:rPr>
          <w:rStyle w:val="normaltextrun"/>
          <w:color w:val="00000A"/>
          <w:sz w:val="20"/>
          <w:szCs w:val="20"/>
        </w:rPr>
        <w:t xml:space="preserve">). </w:t>
      </w:r>
      <w:r w:rsidR="00552BF6" w:rsidRPr="00552BF6">
        <w:rPr>
          <w:color w:val="00000A"/>
          <w:sz w:val="20"/>
          <w:szCs w:val="20"/>
        </w:rPr>
        <w:t xml:space="preserve">Banco Mundial. </w:t>
      </w:r>
      <w:r w:rsidR="00552BF6" w:rsidRPr="00552BF6">
        <w:rPr>
          <w:i/>
          <w:color w:val="00000A"/>
          <w:sz w:val="20"/>
          <w:szCs w:val="20"/>
        </w:rPr>
        <w:t>Estado, Mercado y Sujetos en las nuevas estrategias frente a la cuestión social</w:t>
      </w:r>
      <w:r w:rsidR="00552BF6">
        <w:rPr>
          <w:color w:val="00000A"/>
          <w:sz w:val="20"/>
          <w:szCs w:val="20"/>
        </w:rPr>
        <w:t>.</w:t>
      </w:r>
      <w:r w:rsidR="00552BF6" w:rsidRPr="00552BF6">
        <w:rPr>
          <w:color w:val="00000A"/>
          <w:sz w:val="20"/>
          <w:szCs w:val="20"/>
        </w:rPr>
        <w:t xml:space="preserve"> </w:t>
      </w:r>
      <w:r w:rsidR="00552BF6">
        <w:rPr>
          <w:color w:val="00000A"/>
          <w:sz w:val="20"/>
          <w:szCs w:val="20"/>
        </w:rPr>
        <w:t>Buenos Aires: Ediciones del CCC.</w:t>
      </w:r>
    </w:p>
    <w:p w:rsidR="00CD6790" w:rsidRPr="00B747B7" w:rsidRDefault="00CD6790" w:rsidP="007A6BCA">
      <w:pPr>
        <w:pStyle w:val="paragraph"/>
        <w:spacing w:before="0" w:beforeAutospacing="0" w:after="0" w:afterAutospacing="0"/>
        <w:ind w:left="709" w:hanging="709"/>
        <w:jc w:val="both"/>
        <w:textAlignment w:val="baseline"/>
        <w:rPr>
          <w:rStyle w:val="eop"/>
          <w:color w:val="00000A"/>
          <w:sz w:val="20"/>
          <w:szCs w:val="20"/>
          <w:shd w:val="clear" w:color="auto" w:fill="FFFFFF"/>
        </w:rPr>
      </w:pPr>
      <w:proofErr w:type="spellStart"/>
      <w:r w:rsidRPr="00B747B7">
        <w:rPr>
          <w:rStyle w:val="spellingerror"/>
          <w:color w:val="00000A"/>
          <w:sz w:val="20"/>
          <w:szCs w:val="20"/>
          <w:shd w:val="clear" w:color="auto" w:fill="FFFFFF"/>
        </w:rPr>
        <w:t>Orlansky</w:t>
      </w:r>
      <w:proofErr w:type="spellEnd"/>
      <w:r w:rsidR="00D37E1B">
        <w:rPr>
          <w:rStyle w:val="normaltextrun"/>
          <w:color w:val="00000A"/>
          <w:sz w:val="20"/>
          <w:szCs w:val="20"/>
          <w:shd w:val="clear" w:color="auto" w:fill="FFFFFF"/>
        </w:rPr>
        <w:t>, D. (2005</w:t>
      </w:r>
      <w:r w:rsidR="00552BF6">
        <w:rPr>
          <w:rStyle w:val="normaltextrun"/>
          <w:color w:val="00000A"/>
          <w:sz w:val="20"/>
          <w:szCs w:val="20"/>
          <w:shd w:val="clear" w:color="auto" w:fill="FFFFFF"/>
        </w:rPr>
        <w:t xml:space="preserve">). </w:t>
      </w:r>
      <w:r w:rsidRPr="00B747B7">
        <w:rPr>
          <w:rStyle w:val="normaltextrun"/>
          <w:color w:val="00000A"/>
          <w:sz w:val="20"/>
          <w:szCs w:val="20"/>
          <w:shd w:val="clear" w:color="auto" w:fill="FFFFFF"/>
        </w:rPr>
        <w:t>El concepto de desarrollo y las reformas est</w:t>
      </w:r>
      <w:r w:rsidR="00552BF6">
        <w:rPr>
          <w:rStyle w:val="normaltextrun"/>
          <w:color w:val="00000A"/>
          <w:sz w:val="20"/>
          <w:szCs w:val="20"/>
          <w:shd w:val="clear" w:color="auto" w:fill="FFFFFF"/>
        </w:rPr>
        <w:t>atales: visiones de los noventa</w:t>
      </w:r>
      <w:r w:rsidRPr="00B747B7">
        <w:rPr>
          <w:rStyle w:val="normaltextrun"/>
          <w:color w:val="00000A"/>
          <w:sz w:val="20"/>
          <w:szCs w:val="20"/>
          <w:shd w:val="clear" w:color="auto" w:fill="FFFFFF"/>
        </w:rPr>
        <w:t xml:space="preserve">. </w:t>
      </w:r>
      <w:r w:rsidRPr="00552BF6">
        <w:rPr>
          <w:rStyle w:val="normaltextrun"/>
          <w:i/>
          <w:color w:val="00000A"/>
          <w:sz w:val="20"/>
          <w:szCs w:val="20"/>
          <w:shd w:val="clear" w:color="auto" w:fill="FFFFFF"/>
        </w:rPr>
        <w:t>Documentos Aportes a la Administración Pública y la Gestión Estatal</w:t>
      </w:r>
      <w:r w:rsidR="00552BF6">
        <w:rPr>
          <w:rStyle w:val="normaltextrun"/>
          <w:color w:val="00000A"/>
          <w:sz w:val="20"/>
          <w:szCs w:val="20"/>
          <w:shd w:val="clear" w:color="auto" w:fill="FFFFFF"/>
        </w:rPr>
        <w:t>,</w:t>
      </w:r>
      <w:r w:rsidRPr="00B747B7">
        <w:rPr>
          <w:rStyle w:val="normaltextrun"/>
          <w:color w:val="00000A"/>
          <w:sz w:val="20"/>
          <w:szCs w:val="20"/>
          <w:shd w:val="clear" w:color="auto" w:fill="FFFFFF"/>
        </w:rPr>
        <w:t xml:space="preserve"> Nº6, CABA.</w:t>
      </w:r>
      <w:r w:rsidRPr="00B747B7">
        <w:rPr>
          <w:rStyle w:val="eop"/>
          <w:color w:val="00000A"/>
          <w:sz w:val="20"/>
          <w:szCs w:val="20"/>
          <w:shd w:val="clear" w:color="auto" w:fill="FFFFFF"/>
        </w:rPr>
        <w:t> </w:t>
      </w:r>
    </w:p>
    <w:p w:rsidR="004366B3" w:rsidRDefault="004366B3" w:rsidP="007A6BCA">
      <w:pPr>
        <w:pStyle w:val="paragraph"/>
        <w:spacing w:before="0" w:beforeAutospacing="0" w:after="0" w:afterAutospacing="0"/>
        <w:ind w:left="709" w:hanging="709"/>
        <w:jc w:val="both"/>
        <w:textAlignment w:val="baseline"/>
        <w:rPr>
          <w:sz w:val="20"/>
          <w:szCs w:val="20"/>
        </w:rPr>
      </w:pPr>
      <w:proofErr w:type="spellStart"/>
      <w:r>
        <w:rPr>
          <w:sz w:val="20"/>
          <w:szCs w:val="20"/>
        </w:rPr>
        <w:t>Papalini</w:t>
      </w:r>
      <w:proofErr w:type="spellEnd"/>
      <w:r>
        <w:rPr>
          <w:sz w:val="20"/>
          <w:szCs w:val="20"/>
        </w:rPr>
        <w:t xml:space="preserve">, V. y Echavarría, C. (2016). Los significados contrapuestos del bienestar: de la felicidad al </w:t>
      </w:r>
      <w:proofErr w:type="spellStart"/>
      <w:r>
        <w:rPr>
          <w:sz w:val="20"/>
          <w:szCs w:val="20"/>
        </w:rPr>
        <w:t>wellness</w:t>
      </w:r>
      <w:proofErr w:type="spellEnd"/>
      <w:r>
        <w:rPr>
          <w:sz w:val="20"/>
          <w:szCs w:val="20"/>
        </w:rPr>
        <w:t xml:space="preserve">. </w:t>
      </w:r>
      <w:r w:rsidRPr="004366B3">
        <w:rPr>
          <w:i/>
          <w:sz w:val="20"/>
          <w:szCs w:val="20"/>
        </w:rPr>
        <w:t>Revista Ensambles</w:t>
      </w:r>
      <w:r>
        <w:rPr>
          <w:sz w:val="20"/>
          <w:szCs w:val="20"/>
        </w:rPr>
        <w:t xml:space="preserve">, </w:t>
      </w:r>
      <w:r w:rsidRPr="004366B3">
        <w:rPr>
          <w:i/>
          <w:sz w:val="20"/>
          <w:szCs w:val="20"/>
        </w:rPr>
        <w:t>III</w:t>
      </w:r>
      <w:r>
        <w:rPr>
          <w:sz w:val="20"/>
          <w:szCs w:val="20"/>
        </w:rPr>
        <w:t xml:space="preserve"> (4-5), pp. 35-53.</w:t>
      </w:r>
    </w:p>
    <w:p w:rsidR="00CD6790" w:rsidRPr="00B747B7" w:rsidRDefault="00B1304F" w:rsidP="007A6BCA">
      <w:pPr>
        <w:pStyle w:val="paragraph"/>
        <w:spacing w:before="0" w:beforeAutospacing="0" w:after="0" w:afterAutospacing="0"/>
        <w:ind w:left="709" w:hanging="709"/>
        <w:jc w:val="both"/>
        <w:textAlignment w:val="baseline"/>
        <w:rPr>
          <w:sz w:val="20"/>
          <w:szCs w:val="20"/>
        </w:rPr>
      </w:pPr>
      <w:proofErr w:type="spellStart"/>
      <w:r>
        <w:rPr>
          <w:sz w:val="20"/>
          <w:szCs w:val="20"/>
        </w:rPr>
        <w:t>Pêcheux</w:t>
      </w:r>
      <w:proofErr w:type="spellEnd"/>
      <w:r>
        <w:rPr>
          <w:sz w:val="20"/>
          <w:szCs w:val="20"/>
        </w:rPr>
        <w:t xml:space="preserve">, M, </w:t>
      </w:r>
      <w:proofErr w:type="spellStart"/>
      <w:r>
        <w:rPr>
          <w:sz w:val="20"/>
          <w:szCs w:val="20"/>
        </w:rPr>
        <w:t>Fuchs</w:t>
      </w:r>
      <w:proofErr w:type="spellEnd"/>
      <w:r>
        <w:rPr>
          <w:sz w:val="20"/>
          <w:szCs w:val="20"/>
        </w:rPr>
        <w:t>, S. (1975). M</w:t>
      </w:r>
      <w:r w:rsidR="00CD6790" w:rsidRPr="00B747B7">
        <w:rPr>
          <w:sz w:val="20"/>
          <w:szCs w:val="20"/>
        </w:rPr>
        <w:t xml:space="preserve">ises </w:t>
      </w:r>
      <w:proofErr w:type="spellStart"/>
      <w:r w:rsidR="00CD6790" w:rsidRPr="00B747B7">
        <w:rPr>
          <w:sz w:val="20"/>
          <w:szCs w:val="20"/>
        </w:rPr>
        <w:t>au</w:t>
      </w:r>
      <w:proofErr w:type="spellEnd"/>
      <w:r w:rsidR="00CD6790" w:rsidRPr="00B747B7">
        <w:rPr>
          <w:sz w:val="20"/>
          <w:szCs w:val="20"/>
        </w:rPr>
        <w:t xml:space="preserve"> </w:t>
      </w:r>
      <w:proofErr w:type="spellStart"/>
      <w:r w:rsidR="00CD6790" w:rsidRPr="00B747B7">
        <w:rPr>
          <w:sz w:val="20"/>
          <w:szCs w:val="20"/>
        </w:rPr>
        <w:t>point</w:t>
      </w:r>
      <w:proofErr w:type="spellEnd"/>
      <w:r w:rsidR="00CD6790" w:rsidRPr="00B747B7">
        <w:rPr>
          <w:sz w:val="20"/>
          <w:szCs w:val="20"/>
        </w:rPr>
        <w:t xml:space="preserve"> et </w:t>
      </w:r>
      <w:proofErr w:type="spellStart"/>
      <w:r w:rsidR="00CD6790" w:rsidRPr="00B747B7">
        <w:rPr>
          <w:sz w:val="20"/>
          <w:szCs w:val="20"/>
        </w:rPr>
        <w:t>perspectives</w:t>
      </w:r>
      <w:proofErr w:type="spellEnd"/>
      <w:r w:rsidR="00CD6790" w:rsidRPr="00B747B7">
        <w:rPr>
          <w:sz w:val="20"/>
          <w:szCs w:val="20"/>
        </w:rPr>
        <w:t xml:space="preserve"> à </w:t>
      </w:r>
      <w:proofErr w:type="spellStart"/>
      <w:r w:rsidR="00CD6790" w:rsidRPr="00B747B7">
        <w:rPr>
          <w:sz w:val="20"/>
          <w:szCs w:val="20"/>
        </w:rPr>
        <w:t>propos</w:t>
      </w:r>
      <w:proofErr w:type="spellEnd"/>
      <w:r w:rsidR="00CD6790" w:rsidRPr="00B747B7">
        <w:rPr>
          <w:sz w:val="20"/>
          <w:szCs w:val="20"/>
        </w:rPr>
        <w:t xml:space="preserve"> de </w:t>
      </w:r>
      <w:proofErr w:type="spellStart"/>
      <w:r w:rsidR="00CD6790" w:rsidRPr="00B747B7">
        <w:rPr>
          <w:sz w:val="20"/>
          <w:szCs w:val="20"/>
        </w:rPr>
        <w:t>l'analyse</w:t>
      </w:r>
      <w:proofErr w:type="spellEnd"/>
      <w:r w:rsidR="00CD6790" w:rsidRPr="00B747B7">
        <w:rPr>
          <w:sz w:val="20"/>
          <w:szCs w:val="20"/>
        </w:rPr>
        <w:t xml:space="preserve"> </w:t>
      </w:r>
      <w:proofErr w:type="spellStart"/>
      <w:r w:rsidR="00CD6790" w:rsidRPr="00B747B7">
        <w:rPr>
          <w:sz w:val="20"/>
          <w:szCs w:val="20"/>
        </w:rPr>
        <w:t>automatique</w:t>
      </w:r>
      <w:proofErr w:type="spellEnd"/>
      <w:r w:rsidR="00CD6790" w:rsidRPr="00B747B7">
        <w:rPr>
          <w:sz w:val="20"/>
          <w:szCs w:val="20"/>
        </w:rPr>
        <w:t xml:space="preserve"> du </w:t>
      </w:r>
      <w:proofErr w:type="spellStart"/>
      <w:r w:rsidR="00CD6790" w:rsidRPr="00B747B7">
        <w:rPr>
          <w:sz w:val="20"/>
          <w:szCs w:val="20"/>
        </w:rPr>
        <w:t>di</w:t>
      </w:r>
      <w:r>
        <w:rPr>
          <w:sz w:val="20"/>
          <w:szCs w:val="20"/>
        </w:rPr>
        <w:t>scours</w:t>
      </w:r>
      <w:proofErr w:type="spellEnd"/>
      <w:r>
        <w:rPr>
          <w:sz w:val="20"/>
          <w:szCs w:val="20"/>
        </w:rPr>
        <w:t xml:space="preserve">. </w:t>
      </w:r>
      <w:proofErr w:type="spellStart"/>
      <w:r w:rsidRPr="00552BF6">
        <w:rPr>
          <w:i/>
          <w:sz w:val="20"/>
          <w:szCs w:val="20"/>
        </w:rPr>
        <w:t>Lan</w:t>
      </w:r>
      <w:r w:rsidR="00552BF6" w:rsidRPr="00552BF6">
        <w:rPr>
          <w:i/>
          <w:sz w:val="20"/>
          <w:szCs w:val="20"/>
        </w:rPr>
        <w:t>gages</w:t>
      </w:r>
      <w:proofErr w:type="spellEnd"/>
      <w:r>
        <w:rPr>
          <w:sz w:val="20"/>
          <w:szCs w:val="20"/>
        </w:rPr>
        <w:t>, Nº 37</w:t>
      </w:r>
      <w:r w:rsidR="00CD6790" w:rsidRPr="00B747B7">
        <w:rPr>
          <w:sz w:val="20"/>
          <w:szCs w:val="20"/>
        </w:rPr>
        <w:t>, p.7-80</w:t>
      </w:r>
    </w:p>
    <w:p w:rsidR="00204B1B" w:rsidRPr="00B747B7" w:rsidRDefault="00204B1B" w:rsidP="00204B1B">
      <w:pPr>
        <w:pStyle w:val="paragraph"/>
        <w:spacing w:before="0" w:beforeAutospacing="0" w:after="0" w:afterAutospacing="0"/>
        <w:ind w:left="709" w:hanging="709"/>
        <w:jc w:val="both"/>
        <w:textAlignment w:val="baseline"/>
        <w:rPr>
          <w:color w:val="00000A"/>
          <w:sz w:val="20"/>
          <w:szCs w:val="20"/>
        </w:rPr>
      </w:pPr>
      <w:r>
        <w:rPr>
          <w:rStyle w:val="normaltextrun"/>
          <w:color w:val="00000A"/>
          <w:sz w:val="20"/>
          <w:szCs w:val="20"/>
        </w:rPr>
        <w:t>Ramírez, R. (2016). Adiós desarrollo, bienvenida vida buena</w:t>
      </w:r>
      <w:r w:rsidRPr="00B747B7">
        <w:rPr>
          <w:rStyle w:val="normaltextrun"/>
          <w:color w:val="00000A"/>
          <w:sz w:val="20"/>
          <w:szCs w:val="20"/>
        </w:rPr>
        <w:t xml:space="preserve">. En: </w:t>
      </w:r>
      <w:proofErr w:type="spellStart"/>
      <w:r w:rsidRPr="00B747B7">
        <w:rPr>
          <w:rStyle w:val="normaltextrun"/>
          <w:color w:val="00000A"/>
          <w:sz w:val="20"/>
          <w:szCs w:val="20"/>
        </w:rPr>
        <w:t>Grondona</w:t>
      </w:r>
      <w:proofErr w:type="spellEnd"/>
      <w:r w:rsidRPr="00B747B7">
        <w:rPr>
          <w:rStyle w:val="normaltextrun"/>
          <w:color w:val="00000A"/>
          <w:sz w:val="20"/>
          <w:szCs w:val="20"/>
        </w:rPr>
        <w:t xml:space="preserve">, A. et al. </w:t>
      </w:r>
      <w:r w:rsidRPr="00552BF6">
        <w:rPr>
          <w:rStyle w:val="normaltextrun"/>
          <w:i/>
          <w:color w:val="00000A"/>
          <w:sz w:val="20"/>
          <w:szCs w:val="20"/>
        </w:rPr>
        <w:t>Estilos de desarrollo y Buen Vivir</w:t>
      </w:r>
      <w:r w:rsidRPr="00B747B7">
        <w:rPr>
          <w:rStyle w:val="normaltextrun"/>
          <w:color w:val="00000A"/>
          <w:sz w:val="20"/>
          <w:szCs w:val="20"/>
        </w:rPr>
        <w:t>. Buenos Aires: Ediciones del CCC. </w:t>
      </w:r>
      <w:r w:rsidRPr="00B747B7">
        <w:rPr>
          <w:rStyle w:val="eop"/>
          <w:color w:val="00000A"/>
          <w:sz w:val="20"/>
          <w:szCs w:val="20"/>
        </w:rPr>
        <w:t> </w:t>
      </w:r>
    </w:p>
    <w:p w:rsidR="00CD6790" w:rsidRPr="00B747B7" w:rsidRDefault="00B1304F" w:rsidP="007A6BCA">
      <w:pPr>
        <w:pStyle w:val="paragraph"/>
        <w:spacing w:before="0" w:beforeAutospacing="0" w:after="0" w:afterAutospacing="0"/>
        <w:ind w:left="709" w:hanging="709"/>
        <w:jc w:val="both"/>
        <w:textAlignment w:val="baseline"/>
        <w:rPr>
          <w:sz w:val="20"/>
          <w:szCs w:val="20"/>
        </w:rPr>
      </w:pPr>
      <w:proofErr w:type="spellStart"/>
      <w:r w:rsidRPr="00384E85">
        <w:rPr>
          <w:sz w:val="20"/>
          <w:szCs w:val="20"/>
        </w:rPr>
        <w:t>Revel</w:t>
      </w:r>
      <w:proofErr w:type="spellEnd"/>
      <w:r w:rsidRPr="00384E85">
        <w:rPr>
          <w:sz w:val="20"/>
          <w:szCs w:val="20"/>
        </w:rPr>
        <w:t xml:space="preserve">, J. (2008). </w:t>
      </w:r>
      <w:r w:rsidR="00384E85" w:rsidRPr="00384E85">
        <w:rPr>
          <w:i/>
          <w:sz w:val="20"/>
          <w:szCs w:val="20"/>
        </w:rPr>
        <w:t>Diccionario Foucault</w:t>
      </w:r>
      <w:r w:rsidR="00384E85">
        <w:rPr>
          <w:sz w:val="20"/>
          <w:szCs w:val="20"/>
        </w:rPr>
        <w:t>. Buenos Aires: Nueva Visión.</w:t>
      </w:r>
    </w:p>
    <w:p w:rsidR="00982E2E" w:rsidRPr="00B747B7" w:rsidRDefault="00982E2E" w:rsidP="00384E85">
      <w:pPr>
        <w:pStyle w:val="paragraph"/>
        <w:spacing w:before="0" w:beforeAutospacing="0" w:after="0" w:afterAutospacing="0"/>
        <w:ind w:left="709" w:hanging="709"/>
        <w:jc w:val="both"/>
        <w:textAlignment w:val="baseline"/>
        <w:rPr>
          <w:sz w:val="20"/>
          <w:szCs w:val="20"/>
        </w:rPr>
      </w:pPr>
      <w:proofErr w:type="spellStart"/>
      <w:r w:rsidRPr="00B747B7">
        <w:rPr>
          <w:sz w:val="20"/>
          <w:szCs w:val="20"/>
        </w:rPr>
        <w:t>R</w:t>
      </w:r>
      <w:r w:rsidR="00B1304F">
        <w:rPr>
          <w:sz w:val="20"/>
          <w:szCs w:val="20"/>
        </w:rPr>
        <w:t>obin</w:t>
      </w:r>
      <w:proofErr w:type="spellEnd"/>
      <w:r w:rsidR="00B1304F">
        <w:rPr>
          <w:sz w:val="20"/>
          <w:szCs w:val="20"/>
        </w:rPr>
        <w:t xml:space="preserve">, R., </w:t>
      </w:r>
      <w:proofErr w:type="spellStart"/>
      <w:r w:rsidR="00B1304F">
        <w:rPr>
          <w:sz w:val="20"/>
          <w:szCs w:val="20"/>
        </w:rPr>
        <w:t>Normand</w:t>
      </w:r>
      <w:proofErr w:type="spellEnd"/>
      <w:r w:rsidR="00B1304F">
        <w:rPr>
          <w:sz w:val="20"/>
          <w:szCs w:val="20"/>
        </w:rPr>
        <w:t xml:space="preserve">, C., </w:t>
      </w:r>
      <w:proofErr w:type="spellStart"/>
      <w:r w:rsidR="00B1304F">
        <w:rPr>
          <w:sz w:val="20"/>
          <w:szCs w:val="20"/>
        </w:rPr>
        <w:t>Maldidier</w:t>
      </w:r>
      <w:proofErr w:type="spellEnd"/>
      <w:r w:rsidR="00B1304F">
        <w:rPr>
          <w:sz w:val="20"/>
          <w:szCs w:val="20"/>
        </w:rPr>
        <w:t xml:space="preserve"> </w:t>
      </w:r>
      <w:r w:rsidRPr="00B747B7">
        <w:rPr>
          <w:sz w:val="20"/>
          <w:szCs w:val="20"/>
        </w:rPr>
        <w:t>D.</w:t>
      </w:r>
      <w:r w:rsidR="00B1304F">
        <w:rPr>
          <w:sz w:val="20"/>
          <w:szCs w:val="20"/>
        </w:rPr>
        <w:t xml:space="preserve"> (1972)</w:t>
      </w:r>
      <w:r w:rsidR="00552BF6">
        <w:rPr>
          <w:sz w:val="20"/>
          <w:szCs w:val="20"/>
        </w:rPr>
        <w:t>.</w:t>
      </w:r>
      <w:r w:rsidRPr="00B747B7">
        <w:rPr>
          <w:sz w:val="20"/>
          <w:szCs w:val="20"/>
        </w:rPr>
        <w:t xml:space="preserve"> </w:t>
      </w:r>
      <w:proofErr w:type="spellStart"/>
      <w:r w:rsidRPr="00B747B7">
        <w:rPr>
          <w:sz w:val="20"/>
          <w:szCs w:val="20"/>
        </w:rPr>
        <w:t>Discours</w:t>
      </w:r>
      <w:proofErr w:type="spellEnd"/>
      <w:r w:rsidRPr="00B747B7">
        <w:rPr>
          <w:sz w:val="20"/>
          <w:szCs w:val="20"/>
        </w:rPr>
        <w:t xml:space="preserve"> et </w:t>
      </w:r>
      <w:proofErr w:type="spellStart"/>
      <w:r w:rsidRPr="00B747B7">
        <w:rPr>
          <w:sz w:val="20"/>
          <w:szCs w:val="20"/>
        </w:rPr>
        <w:t>idéologie</w:t>
      </w:r>
      <w:proofErr w:type="spellEnd"/>
      <w:r w:rsidRPr="00B747B7">
        <w:rPr>
          <w:sz w:val="20"/>
          <w:szCs w:val="20"/>
        </w:rPr>
        <w:t xml:space="preserve">: </w:t>
      </w:r>
      <w:proofErr w:type="spellStart"/>
      <w:r w:rsidRPr="00B747B7">
        <w:rPr>
          <w:sz w:val="20"/>
          <w:szCs w:val="20"/>
        </w:rPr>
        <w:t>quelques</w:t>
      </w:r>
      <w:proofErr w:type="spellEnd"/>
      <w:r w:rsidRPr="00B747B7">
        <w:rPr>
          <w:sz w:val="20"/>
          <w:szCs w:val="20"/>
        </w:rPr>
        <w:t xml:space="preserve"> bases </w:t>
      </w:r>
      <w:proofErr w:type="spellStart"/>
      <w:r w:rsidRPr="00B747B7">
        <w:rPr>
          <w:sz w:val="20"/>
          <w:szCs w:val="20"/>
        </w:rPr>
        <w:t>pour</w:t>
      </w:r>
      <w:proofErr w:type="spellEnd"/>
      <w:r w:rsidRPr="00B747B7">
        <w:rPr>
          <w:sz w:val="20"/>
          <w:szCs w:val="20"/>
        </w:rPr>
        <w:t xml:space="preserve"> une </w:t>
      </w:r>
      <w:proofErr w:type="spellStart"/>
      <w:r w:rsidRPr="00B747B7">
        <w:rPr>
          <w:sz w:val="20"/>
          <w:szCs w:val="20"/>
        </w:rPr>
        <w:t>recherche</w:t>
      </w:r>
      <w:proofErr w:type="spellEnd"/>
      <w:r w:rsidRPr="00B747B7">
        <w:rPr>
          <w:sz w:val="20"/>
          <w:szCs w:val="20"/>
        </w:rPr>
        <w:t xml:space="preserve">. </w:t>
      </w:r>
      <w:proofErr w:type="spellStart"/>
      <w:r w:rsidR="00B1304F" w:rsidRPr="00552BF6">
        <w:rPr>
          <w:i/>
          <w:sz w:val="20"/>
          <w:szCs w:val="20"/>
        </w:rPr>
        <w:t>Langue</w:t>
      </w:r>
      <w:proofErr w:type="spellEnd"/>
      <w:r w:rsidR="00B1304F" w:rsidRPr="00552BF6">
        <w:rPr>
          <w:i/>
          <w:sz w:val="20"/>
          <w:szCs w:val="20"/>
        </w:rPr>
        <w:t xml:space="preserve"> </w:t>
      </w:r>
      <w:proofErr w:type="spellStart"/>
      <w:r w:rsidR="00B1304F" w:rsidRPr="00552BF6">
        <w:rPr>
          <w:i/>
          <w:sz w:val="20"/>
          <w:szCs w:val="20"/>
        </w:rPr>
        <w:t>française</w:t>
      </w:r>
      <w:proofErr w:type="spellEnd"/>
      <w:r w:rsidR="00B1304F" w:rsidRPr="00552BF6">
        <w:rPr>
          <w:i/>
          <w:sz w:val="20"/>
          <w:szCs w:val="20"/>
        </w:rPr>
        <w:t>,</w:t>
      </w:r>
      <w:r w:rsidR="00B1304F">
        <w:rPr>
          <w:sz w:val="20"/>
          <w:szCs w:val="20"/>
        </w:rPr>
        <w:t xml:space="preserve"> Nº 15</w:t>
      </w:r>
      <w:r w:rsidRPr="00B747B7">
        <w:rPr>
          <w:sz w:val="20"/>
          <w:szCs w:val="20"/>
        </w:rPr>
        <w:t>, p.116-142.</w:t>
      </w:r>
    </w:p>
    <w:p w:rsidR="00384E85" w:rsidRPr="00384E85" w:rsidRDefault="00AC7696" w:rsidP="00384E85">
      <w:pPr>
        <w:pStyle w:val="paragraph"/>
        <w:spacing w:before="0" w:beforeAutospacing="0" w:after="0" w:afterAutospacing="0"/>
        <w:ind w:left="709" w:hanging="709"/>
        <w:jc w:val="both"/>
        <w:textAlignment w:val="baseline"/>
        <w:rPr>
          <w:sz w:val="20"/>
          <w:szCs w:val="20"/>
          <w:lang w:val="es-ES"/>
        </w:rPr>
      </w:pPr>
      <w:proofErr w:type="spellStart"/>
      <w:r w:rsidRPr="00384E85">
        <w:rPr>
          <w:sz w:val="20"/>
          <w:szCs w:val="20"/>
        </w:rPr>
        <w:t>Robin</w:t>
      </w:r>
      <w:proofErr w:type="spellEnd"/>
      <w:r w:rsidRPr="00384E85">
        <w:rPr>
          <w:sz w:val="20"/>
          <w:szCs w:val="20"/>
        </w:rPr>
        <w:t xml:space="preserve">, R. (1976). </w:t>
      </w:r>
      <w:r w:rsidR="00384E85" w:rsidRPr="00384E85">
        <w:rPr>
          <w:sz w:val="20"/>
          <w:szCs w:val="20"/>
          <w:lang w:val="es-MX"/>
        </w:rPr>
        <w:t>Discurso</w:t>
      </w:r>
      <w:r w:rsidR="00384E85">
        <w:rPr>
          <w:sz w:val="20"/>
          <w:szCs w:val="20"/>
          <w:lang w:val="es-MX"/>
        </w:rPr>
        <w:t xml:space="preserve"> político y coyuntura</w:t>
      </w:r>
      <w:r w:rsidR="00384E85" w:rsidRPr="00384E85">
        <w:rPr>
          <w:sz w:val="20"/>
          <w:szCs w:val="20"/>
          <w:lang w:val="es-MX"/>
        </w:rPr>
        <w:t xml:space="preserve">. </w:t>
      </w:r>
      <w:r w:rsidR="00384E85" w:rsidRPr="00384E85">
        <w:rPr>
          <w:sz w:val="20"/>
          <w:szCs w:val="20"/>
          <w:lang w:val="fr-FR"/>
        </w:rPr>
        <w:t xml:space="preserve">En: </w:t>
      </w:r>
      <w:r w:rsidR="00384E85">
        <w:rPr>
          <w:sz w:val="20"/>
          <w:szCs w:val="20"/>
          <w:lang w:val="fr-FR"/>
        </w:rPr>
        <w:t xml:space="preserve">León, P., </w:t>
      </w:r>
      <w:proofErr w:type="spellStart"/>
      <w:r w:rsidR="00384E85">
        <w:rPr>
          <w:sz w:val="20"/>
          <w:szCs w:val="20"/>
          <w:lang w:val="fr-FR"/>
        </w:rPr>
        <w:t>Miterrand</w:t>
      </w:r>
      <w:proofErr w:type="spellEnd"/>
      <w:r w:rsidR="00384E85">
        <w:rPr>
          <w:sz w:val="20"/>
          <w:szCs w:val="20"/>
          <w:lang w:val="fr-FR"/>
        </w:rPr>
        <w:t>, H. (</w:t>
      </w:r>
      <w:proofErr w:type="spellStart"/>
      <w:r w:rsidR="00384E85">
        <w:rPr>
          <w:sz w:val="20"/>
          <w:szCs w:val="20"/>
          <w:lang w:val="fr-FR"/>
        </w:rPr>
        <w:t>comp</w:t>
      </w:r>
      <w:proofErr w:type="spellEnd"/>
      <w:r w:rsidR="00384E85">
        <w:rPr>
          <w:sz w:val="20"/>
          <w:szCs w:val="20"/>
          <w:lang w:val="fr-FR"/>
        </w:rPr>
        <w:t>.)</w:t>
      </w:r>
      <w:r w:rsidR="00384E85" w:rsidRPr="00384E85">
        <w:rPr>
          <w:sz w:val="20"/>
          <w:szCs w:val="20"/>
          <w:lang w:val="fr-FR"/>
        </w:rPr>
        <w:t xml:space="preserve"> </w:t>
      </w:r>
      <w:r w:rsidR="00384E85" w:rsidRPr="00384E85">
        <w:rPr>
          <w:i/>
          <w:iCs/>
          <w:sz w:val="20"/>
          <w:szCs w:val="20"/>
          <w:lang w:val="fr-FR"/>
        </w:rPr>
        <w:t>L´analyse du discours</w:t>
      </w:r>
      <w:r w:rsidR="00384E85">
        <w:rPr>
          <w:sz w:val="20"/>
          <w:szCs w:val="20"/>
          <w:lang w:val="fr-FR"/>
        </w:rPr>
        <w:t xml:space="preserve">, </w:t>
      </w:r>
      <w:proofErr w:type="spellStart"/>
      <w:r w:rsidR="00384E85">
        <w:rPr>
          <w:sz w:val="20"/>
          <w:szCs w:val="20"/>
          <w:lang w:val="fr-FR"/>
        </w:rPr>
        <w:t>Montreal</w:t>
      </w:r>
      <w:proofErr w:type="spellEnd"/>
      <w:r w:rsidR="00384E85" w:rsidRPr="00384E85">
        <w:rPr>
          <w:sz w:val="20"/>
          <w:szCs w:val="20"/>
          <w:lang w:val="fr-FR"/>
        </w:rPr>
        <w:t>: Centre Educatif et Culturel.</w:t>
      </w:r>
    </w:p>
    <w:p w:rsidR="00CD6790" w:rsidRPr="00B747B7" w:rsidRDefault="00552BF6" w:rsidP="007A6BCA">
      <w:pPr>
        <w:pStyle w:val="paragraph"/>
        <w:spacing w:before="0" w:beforeAutospacing="0" w:after="0" w:afterAutospacing="0"/>
        <w:ind w:left="709" w:hanging="709"/>
        <w:jc w:val="both"/>
        <w:textAlignment w:val="baseline"/>
        <w:rPr>
          <w:rStyle w:val="eop"/>
          <w:color w:val="00000A"/>
          <w:sz w:val="20"/>
          <w:szCs w:val="20"/>
          <w:shd w:val="clear" w:color="auto" w:fill="FFFFFF"/>
        </w:rPr>
      </w:pPr>
      <w:r>
        <w:rPr>
          <w:rStyle w:val="normaltextrun"/>
          <w:color w:val="00000A"/>
          <w:sz w:val="20"/>
          <w:szCs w:val="20"/>
          <w:shd w:val="clear" w:color="auto" w:fill="FFFFFF"/>
        </w:rPr>
        <w:t>Terán, O. (1991).</w:t>
      </w:r>
      <w:r w:rsidR="00CD6790" w:rsidRPr="00B747B7">
        <w:rPr>
          <w:rStyle w:val="normaltextrun"/>
          <w:color w:val="00000A"/>
          <w:sz w:val="20"/>
          <w:szCs w:val="20"/>
          <w:shd w:val="clear" w:color="auto" w:fill="FFFFFF"/>
        </w:rPr>
        <w:t> </w:t>
      </w:r>
      <w:r w:rsidR="00CD6790" w:rsidRPr="00B747B7">
        <w:rPr>
          <w:rStyle w:val="normaltextrun"/>
          <w:i/>
          <w:iCs/>
          <w:color w:val="00000A"/>
          <w:sz w:val="20"/>
          <w:szCs w:val="20"/>
          <w:shd w:val="clear" w:color="auto" w:fill="FFFFFF"/>
        </w:rPr>
        <w:t>Nuestros años sesenta. La formación de la nueva izquierda intelectual argentina. </w:t>
      </w:r>
      <w:r w:rsidR="00CD6790" w:rsidRPr="00B747B7">
        <w:rPr>
          <w:rStyle w:val="normaltextrun"/>
          <w:color w:val="00000A"/>
          <w:sz w:val="20"/>
          <w:szCs w:val="20"/>
          <w:shd w:val="clear" w:color="auto" w:fill="FFFFFF"/>
        </w:rPr>
        <w:t>Buenos Aires: Siglo XXI.</w:t>
      </w:r>
      <w:r w:rsidR="00CD6790" w:rsidRPr="00B747B7">
        <w:rPr>
          <w:rStyle w:val="eop"/>
          <w:color w:val="00000A"/>
          <w:sz w:val="20"/>
          <w:szCs w:val="20"/>
          <w:shd w:val="clear" w:color="auto" w:fill="FFFFFF"/>
        </w:rPr>
        <w:t> </w:t>
      </w:r>
    </w:p>
    <w:p w:rsidR="00CD6790" w:rsidRPr="00B747B7" w:rsidRDefault="00CD6790" w:rsidP="007A6BCA">
      <w:pPr>
        <w:pStyle w:val="paragraph"/>
        <w:spacing w:before="0" w:beforeAutospacing="0" w:after="0" w:afterAutospacing="0"/>
        <w:ind w:left="709" w:hanging="709"/>
        <w:jc w:val="both"/>
        <w:textAlignment w:val="baseline"/>
        <w:rPr>
          <w:rStyle w:val="normaltextrun"/>
          <w:color w:val="00000A"/>
          <w:sz w:val="20"/>
          <w:szCs w:val="20"/>
        </w:rPr>
      </w:pPr>
      <w:proofErr w:type="spellStart"/>
      <w:r w:rsidRPr="00B747B7">
        <w:rPr>
          <w:rStyle w:val="spellingerror"/>
          <w:color w:val="00000A"/>
          <w:sz w:val="20"/>
          <w:szCs w:val="20"/>
          <w:shd w:val="clear" w:color="auto" w:fill="FFFFFF"/>
        </w:rPr>
        <w:t>Vallone</w:t>
      </w:r>
      <w:proofErr w:type="spellEnd"/>
      <w:r w:rsidRPr="00B747B7">
        <w:rPr>
          <w:rStyle w:val="normaltextrun"/>
          <w:color w:val="00000A"/>
          <w:sz w:val="20"/>
          <w:szCs w:val="20"/>
          <w:shd w:val="clear" w:color="auto" w:fill="FFFFFF"/>
        </w:rPr>
        <w:t xml:space="preserve">, M. y Arias, A. (2010). </w:t>
      </w:r>
      <w:r w:rsidRPr="00552BF6">
        <w:rPr>
          <w:rStyle w:val="normaltextrun"/>
          <w:i/>
          <w:color w:val="00000A"/>
          <w:sz w:val="20"/>
          <w:szCs w:val="20"/>
          <w:shd w:val="clear" w:color="auto" w:fill="FFFFFF"/>
        </w:rPr>
        <w:t>La dimensión social de la cooperación internacional. Aportes para la construcción de una agenda post-neoliberal</w:t>
      </w:r>
      <w:r w:rsidRPr="00B747B7">
        <w:rPr>
          <w:rStyle w:val="normaltextrun"/>
          <w:color w:val="00000A"/>
          <w:sz w:val="20"/>
          <w:szCs w:val="20"/>
          <w:shd w:val="clear" w:color="auto" w:fill="FFFFFF"/>
        </w:rPr>
        <w:t>. Buenos Aires: CICCUS.</w:t>
      </w:r>
      <w:r w:rsidRPr="00B747B7">
        <w:rPr>
          <w:rStyle w:val="eop"/>
          <w:color w:val="00000A"/>
          <w:sz w:val="20"/>
          <w:szCs w:val="20"/>
          <w:shd w:val="clear" w:color="auto" w:fill="FFFFFF"/>
        </w:rPr>
        <w:t> </w:t>
      </w:r>
    </w:p>
    <w:p w:rsidR="00CD6790" w:rsidRPr="00DC1C23" w:rsidRDefault="00CD6790" w:rsidP="007A6BCA">
      <w:pPr>
        <w:pStyle w:val="paragraph"/>
        <w:spacing w:before="0" w:beforeAutospacing="0" w:after="0" w:afterAutospacing="0"/>
        <w:ind w:left="709" w:hanging="709"/>
        <w:jc w:val="both"/>
        <w:textAlignment w:val="baseline"/>
        <w:rPr>
          <w:color w:val="00000A"/>
          <w:sz w:val="10"/>
          <w:szCs w:val="10"/>
        </w:rPr>
      </w:pPr>
    </w:p>
    <w:p w:rsidR="00F925A2" w:rsidRPr="00F925A2" w:rsidRDefault="00F925A2" w:rsidP="00F925A2">
      <w:pPr>
        <w:pStyle w:val="western"/>
        <w:spacing w:after="0" w:line="360" w:lineRule="auto"/>
        <w:ind w:left="709" w:hanging="709"/>
        <w:jc w:val="both"/>
        <w:rPr>
          <w:rFonts w:ascii="Times New Roman" w:hAnsi="Times New Roman" w:cs="Times New Roman"/>
          <w:b/>
          <w:smallCaps/>
        </w:rPr>
      </w:pPr>
      <w:r w:rsidRPr="00F925A2">
        <w:rPr>
          <w:rFonts w:ascii="Times New Roman" w:hAnsi="Times New Roman" w:cs="Times New Roman"/>
          <w:b/>
          <w:smallCaps/>
        </w:rPr>
        <w:t>Fuentes documentales</w:t>
      </w:r>
    </w:p>
    <w:p w:rsidR="00F925A2" w:rsidRPr="00F925A2" w:rsidRDefault="00F925A2" w:rsidP="00F925A2">
      <w:pPr>
        <w:pStyle w:val="western"/>
        <w:spacing w:before="0" w:beforeAutospacing="0" w:after="0" w:line="240" w:lineRule="auto"/>
        <w:rPr>
          <w:rFonts w:ascii="Times New Roman" w:hAnsi="Times New Roman" w:cs="Times New Roman"/>
          <w:sz w:val="20"/>
          <w:szCs w:val="20"/>
        </w:rPr>
      </w:pPr>
      <w:r w:rsidRPr="00F925A2">
        <w:rPr>
          <w:rFonts w:ascii="Times New Roman" w:hAnsi="Times New Roman" w:cs="Times New Roman"/>
          <w:sz w:val="20"/>
          <w:szCs w:val="20"/>
        </w:rPr>
        <w:lastRenderedPageBreak/>
        <w:t>Banco Mundial (2002a). Empoderar a los pobres y promover la rendición de cuentas en </w:t>
      </w:r>
      <w:proofErr w:type="spellStart"/>
      <w:r w:rsidRPr="00F925A2">
        <w:rPr>
          <w:rFonts w:ascii="Times New Roman" w:hAnsi="Times New Roman" w:cs="Times New Roman"/>
          <w:sz w:val="20"/>
          <w:szCs w:val="20"/>
        </w:rPr>
        <w:t>LatinoAmérica</w:t>
      </w:r>
      <w:proofErr w:type="spellEnd"/>
      <w:r w:rsidRPr="00F925A2">
        <w:rPr>
          <w:rFonts w:ascii="Times New Roman" w:hAnsi="Times New Roman" w:cs="Times New Roman"/>
          <w:sz w:val="20"/>
          <w:szCs w:val="20"/>
        </w:rPr>
        <w:t> y el Caribe. Marco y estrategia regionales para el trabajo con la sociedad civil. Civil </w:t>
      </w:r>
      <w:proofErr w:type="spellStart"/>
      <w:r w:rsidRPr="00F925A2">
        <w:rPr>
          <w:rFonts w:ascii="Times New Roman" w:hAnsi="Times New Roman" w:cs="Times New Roman"/>
          <w:sz w:val="20"/>
          <w:szCs w:val="20"/>
        </w:rPr>
        <w:t>Society</w:t>
      </w:r>
      <w:proofErr w:type="spellEnd"/>
      <w:r w:rsidRPr="00F925A2">
        <w:rPr>
          <w:rFonts w:ascii="Times New Roman" w:hAnsi="Times New Roman" w:cs="Times New Roman"/>
          <w:sz w:val="20"/>
          <w:szCs w:val="20"/>
        </w:rPr>
        <w:t> </w:t>
      </w:r>
      <w:proofErr w:type="spellStart"/>
      <w:r w:rsidRPr="00F925A2">
        <w:rPr>
          <w:rFonts w:ascii="Times New Roman" w:hAnsi="Times New Roman" w:cs="Times New Roman"/>
          <w:sz w:val="20"/>
          <w:szCs w:val="20"/>
        </w:rPr>
        <w:t>Team</w:t>
      </w:r>
      <w:proofErr w:type="spellEnd"/>
      <w:r w:rsidRPr="00F925A2">
        <w:rPr>
          <w:rFonts w:ascii="Times New Roman" w:hAnsi="Times New Roman" w:cs="Times New Roman"/>
          <w:sz w:val="20"/>
          <w:szCs w:val="20"/>
        </w:rPr>
        <w:t>: Washington. </w:t>
      </w:r>
    </w:p>
    <w:p w:rsidR="00F925A2" w:rsidRPr="00F925A2" w:rsidRDefault="00F925A2" w:rsidP="00F925A2">
      <w:pPr>
        <w:pStyle w:val="western"/>
        <w:spacing w:before="0" w:beforeAutospacing="0" w:after="0" w:line="240" w:lineRule="auto"/>
        <w:ind w:left="709" w:hanging="709"/>
        <w:rPr>
          <w:rFonts w:ascii="Times New Roman" w:hAnsi="Times New Roman" w:cs="Times New Roman"/>
          <w:sz w:val="20"/>
          <w:szCs w:val="20"/>
        </w:rPr>
      </w:pPr>
      <w:r w:rsidRPr="00F925A2">
        <w:rPr>
          <w:rFonts w:ascii="Times New Roman" w:hAnsi="Times New Roman" w:cs="Times New Roman"/>
          <w:sz w:val="20"/>
          <w:szCs w:val="20"/>
        </w:rPr>
        <w:t xml:space="preserve">Banco Mundial (2002b). Globalización, crecimiento y pobreza. Construyendo una economía mundial incluyente. </w:t>
      </w:r>
      <w:proofErr w:type="spellStart"/>
      <w:r w:rsidRPr="00F925A2">
        <w:rPr>
          <w:rFonts w:ascii="Times New Roman" w:hAnsi="Times New Roman" w:cs="Times New Roman"/>
          <w:sz w:val="20"/>
          <w:szCs w:val="20"/>
        </w:rPr>
        <w:t>Alfaomega</w:t>
      </w:r>
      <w:proofErr w:type="spellEnd"/>
      <w:r w:rsidRPr="00F925A2">
        <w:rPr>
          <w:rFonts w:ascii="Times New Roman" w:hAnsi="Times New Roman" w:cs="Times New Roman"/>
          <w:sz w:val="20"/>
          <w:szCs w:val="20"/>
        </w:rPr>
        <w:t>: México.</w:t>
      </w:r>
    </w:p>
    <w:p w:rsidR="00F925A2" w:rsidRPr="00F925A2" w:rsidRDefault="008F7455" w:rsidP="00F925A2">
      <w:pPr>
        <w:pStyle w:val="western"/>
        <w:spacing w:before="0" w:beforeAutospacing="0" w:after="0" w:line="240" w:lineRule="auto"/>
        <w:ind w:left="709" w:hanging="709"/>
        <w:rPr>
          <w:rFonts w:ascii="Times New Roman" w:hAnsi="Times New Roman" w:cs="Times New Roman"/>
          <w:sz w:val="20"/>
          <w:szCs w:val="20"/>
        </w:rPr>
      </w:pPr>
      <w:r>
        <w:rPr>
          <w:rFonts w:ascii="Times New Roman" w:hAnsi="Times New Roman" w:cs="Times New Roman"/>
          <w:sz w:val="20"/>
          <w:szCs w:val="20"/>
        </w:rPr>
        <w:t>Banco Mundial (2004)</w:t>
      </w:r>
      <w:r w:rsidR="00F925A2" w:rsidRPr="00F925A2">
        <w:rPr>
          <w:rFonts w:ascii="Times New Roman" w:hAnsi="Times New Roman" w:cs="Times New Roman"/>
          <w:sz w:val="20"/>
          <w:szCs w:val="20"/>
        </w:rPr>
        <w:t>. Servicios para los pobres. Informe sobre el Desarrollo Mundial 2004. </w:t>
      </w:r>
      <w:proofErr w:type="spellStart"/>
      <w:r w:rsidR="00F925A2" w:rsidRPr="00F925A2">
        <w:rPr>
          <w:rFonts w:ascii="Times New Roman" w:hAnsi="Times New Roman" w:cs="Times New Roman"/>
          <w:sz w:val="20"/>
          <w:szCs w:val="20"/>
        </w:rPr>
        <w:t>Mundi</w:t>
      </w:r>
      <w:proofErr w:type="spellEnd"/>
      <w:r w:rsidR="00F925A2" w:rsidRPr="00F925A2">
        <w:rPr>
          <w:rFonts w:ascii="Times New Roman" w:hAnsi="Times New Roman" w:cs="Times New Roman"/>
          <w:sz w:val="20"/>
          <w:szCs w:val="20"/>
        </w:rPr>
        <w:t>-Prensa: Madrid.</w:t>
      </w:r>
    </w:p>
    <w:p w:rsidR="00F925A2" w:rsidRPr="00F925A2" w:rsidRDefault="00F925A2" w:rsidP="00F925A2">
      <w:pPr>
        <w:pStyle w:val="western"/>
        <w:spacing w:before="0" w:beforeAutospacing="0" w:after="0" w:line="240" w:lineRule="auto"/>
        <w:ind w:left="709" w:hanging="709"/>
        <w:rPr>
          <w:rFonts w:ascii="Times New Roman" w:hAnsi="Times New Roman" w:cs="Times New Roman"/>
          <w:sz w:val="20"/>
          <w:szCs w:val="20"/>
        </w:rPr>
      </w:pPr>
      <w:r w:rsidRPr="00F925A2">
        <w:rPr>
          <w:rFonts w:ascii="Times New Roman" w:hAnsi="Times New Roman" w:cs="Times New Roman"/>
          <w:sz w:val="20"/>
          <w:szCs w:val="20"/>
        </w:rPr>
        <w:t>Banco Mundial (2005). Un mejor clima de inversión para todos. Informe sobre el Desarrollo Mundial 2005. </w:t>
      </w:r>
      <w:proofErr w:type="spellStart"/>
      <w:r w:rsidRPr="00F925A2">
        <w:rPr>
          <w:rFonts w:ascii="Times New Roman" w:hAnsi="Times New Roman" w:cs="Times New Roman"/>
          <w:sz w:val="20"/>
          <w:szCs w:val="20"/>
        </w:rPr>
        <w:t>Mundi</w:t>
      </w:r>
      <w:proofErr w:type="spellEnd"/>
      <w:r w:rsidRPr="00F925A2">
        <w:rPr>
          <w:rFonts w:ascii="Times New Roman" w:hAnsi="Times New Roman" w:cs="Times New Roman"/>
          <w:sz w:val="20"/>
          <w:szCs w:val="20"/>
        </w:rPr>
        <w:t>-Prensa: Madrid.</w:t>
      </w:r>
    </w:p>
    <w:p w:rsidR="00F925A2" w:rsidRPr="00F925A2" w:rsidRDefault="00F925A2" w:rsidP="00F925A2">
      <w:pPr>
        <w:pStyle w:val="western"/>
        <w:spacing w:before="0" w:beforeAutospacing="0" w:after="0" w:line="240" w:lineRule="auto"/>
        <w:ind w:left="709" w:hanging="709"/>
        <w:rPr>
          <w:rFonts w:ascii="Times New Roman" w:hAnsi="Times New Roman" w:cs="Times New Roman"/>
          <w:sz w:val="20"/>
          <w:szCs w:val="20"/>
        </w:rPr>
      </w:pPr>
      <w:r w:rsidRPr="00F925A2">
        <w:rPr>
          <w:rFonts w:ascii="Times New Roman" w:hAnsi="Times New Roman" w:cs="Times New Roman"/>
          <w:sz w:val="20"/>
          <w:szCs w:val="20"/>
        </w:rPr>
        <w:t>Banco Mundial (2012). Capacidad de recuperación, equidad y oportunidad. Estrategia para la protección social y el trabajo. Informe sobre el Desarrollo Mundial 2012. </w:t>
      </w:r>
      <w:proofErr w:type="spellStart"/>
      <w:r w:rsidRPr="00F925A2">
        <w:rPr>
          <w:rFonts w:ascii="Times New Roman" w:hAnsi="Times New Roman" w:cs="Times New Roman"/>
          <w:sz w:val="20"/>
          <w:szCs w:val="20"/>
        </w:rPr>
        <w:t>Mundi</w:t>
      </w:r>
      <w:proofErr w:type="spellEnd"/>
      <w:r w:rsidRPr="00F925A2">
        <w:rPr>
          <w:rFonts w:ascii="Times New Roman" w:hAnsi="Times New Roman" w:cs="Times New Roman"/>
          <w:sz w:val="20"/>
          <w:szCs w:val="20"/>
        </w:rPr>
        <w:t>-Prensa: Madrid. </w:t>
      </w:r>
    </w:p>
    <w:p w:rsidR="00E262FD" w:rsidRDefault="00F925A2" w:rsidP="00F925A2">
      <w:pPr>
        <w:pStyle w:val="western"/>
        <w:spacing w:before="0" w:beforeAutospacing="0" w:after="0" w:line="240" w:lineRule="auto"/>
        <w:ind w:left="709" w:hanging="709"/>
        <w:rPr>
          <w:rFonts w:ascii="Times New Roman" w:hAnsi="Times New Roman" w:cs="Times New Roman"/>
          <w:sz w:val="20"/>
          <w:szCs w:val="20"/>
        </w:rPr>
      </w:pPr>
      <w:r w:rsidRPr="00F925A2">
        <w:rPr>
          <w:rFonts w:ascii="Times New Roman" w:hAnsi="Times New Roman" w:cs="Times New Roman"/>
          <w:sz w:val="20"/>
          <w:szCs w:val="20"/>
        </w:rPr>
        <w:t>Banco Mundial (2014a). Riesgo y oportunidad. La administración del riesgo como instrumento de desarrollo. Informe sobre el Desarrollo Mundial 2014. Washington.</w:t>
      </w:r>
    </w:p>
    <w:p w:rsidR="00F925A2" w:rsidRPr="00F925A2" w:rsidRDefault="00E262FD" w:rsidP="00F925A2">
      <w:pPr>
        <w:pStyle w:val="western"/>
        <w:spacing w:before="0" w:beforeAutospacing="0" w:after="0" w:line="240" w:lineRule="auto"/>
        <w:ind w:left="709" w:hanging="709"/>
        <w:rPr>
          <w:rFonts w:ascii="Times New Roman" w:hAnsi="Times New Roman" w:cs="Times New Roman"/>
          <w:sz w:val="20"/>
          <w:szCs w:val="20"/>
        </w:rPr>
      </w:pPr>
      <w:r w:rsidRPr="00E262FD">
        <w:rPr>
          <w:rFonts w:ascii="Times New Roman" w:hAnsi="Times New Roman" w:cs="Times New Roman"/>
          <w:sz w:val="20"/>
          <w:szCs w:val="20"/>
        </w:rPr>
        <w:t>Bosch, M., Melguizo, A., Pagés, C.  (2013). Mejores Pensiones. Mejores trabajos. Hacia la cobertura universal en América Latina y el Caribe. BID.</w:t>
      </w:r>
      <w:r w:rsidR="00F925A2" w:rsidRPr="00F925A2">
        <w:rPr>
          <w:rFonts w:ascii="Times New Roman" w:hAnsi="Times New Roman" w:cs="Times New Roman"/>
          <w:sz w:val="20"/>
          <w:szCs w:val="20"/>
        </w:rPr>
        <w:t> </w:t>
      </w:r>
    </w:p>
    <w:p w:rsidR="00F925A2" w:rsidRPr="00F925A2" w:rsidRDefault="00F925A2" w:rsidP="00F925A2">
      <w:pPr>
        <w:pStyle w:val="western"/>
        <w:spacing w:before="0" w:beforeAutospacing="0" w:after="0" w:line="240" w:lineRule="auto"/>
        <w:ind w:left="709" w:hanging="709"/>
        <w:rPr>
          <w:rFonts w:ascii="Times New Roman" w:hAnsi="Times New Roman" w:cs="Times New Roman"/>
          <w:sz w:val="20"/>
          <w:szCs w:val="20"/>
        </w:rPr>
      </w:pPr>
      <w:proofErr w:type="spellStart"/>
      <w:r w:rsidRPr="00F925A2">
        <w:rPr>
          <w:rFonts w:ascii="Times New Roman" w:hAnsi="Times New Roman" w:cs="Times New Roman"/>
          <w:sz w:val="20"/>
          <w:szCs w:val="20"/>
        </w:rPr>
        <w:t>Burki</w:t>
      </w:r>
      <w:proofErr w:type="spellEnd"/>
      <w:r w:rsidRPr="00F925A2">
        <w:rPr>
          <w:rFonts w:ascii="Times New Roman" w:hAnsi="Times New Roman" w:cs="Times New Roman"/>
          <w:sz w:val="20"/>
          <w:szCs w:val="20"/>
        </w:rPr>
        <w:t>, S. y Perry, G. (1998a). Más allá del Consenso de Washington. La hora de la reforma institucional. Estudios del Banco Mundial sobre América Latina y el Caribe. Washington.  </w:t>
      </w:r>
    </w:p>
    <w:p w:rsidR="00F925A2" w:rsidRPr="00F925A2" w:rsidRDefault="00F925A2" w:rsidP="00F925A2">
      <w:pPr>
        <w:pStyle w:val="western"/>
        <w:spacing w:before="0" w:beforeAutospacing="0" w:after="0" w:line="240" w:lineRule="auto"/>
        <w:ind w:left="709" w:hanging="709"/>
        <w:rPr>
          <w:rFonts w:ascii="Times New Roman" w:hAnsi="Times New Roman" w:cs="Times New Roman"/>
          <w:sz w:val="20"/>
          <w:szCs w:val="20"/>
        </w:rPr>
      </w:pPr>
      <w:proofErr w:type="spellStart"/>
      <w:r w:rsidRPr="00F925A2">
        <w:rPr>
          <w:rFonts w:ascii="Times New Roman" w:hAnsi="Times New Roman" w:cs="Times New Roman"/>
          <w:sz w:val="20"/>
          <w:szCs w:val="20"/>
        </w:rPr>
        <w:t>Burki</w:t>
      </w:r>
      <w:proofErr w:type="spellEnd"/>
      <w:r w:rsidRPr="00F925A2">
        <w:rPr>
          <w:rFonts w:ascii="Times New Roman" w:hAnsi="Times New Roman" w:cs="Times New Roman"/>
          <w:sz w:val="20"/>
          <w:szCs w:val="20"/>
        </w:rPr>
        <w:t>, S. y Perry, G. (1998b). La larga marcha: una agenda de reformas para la próxima década en América Latina y el Caribe. Estudios del Banco Mundial sobre América Latina y el Caribe. Washington.  </w:t>
      </w:r>
    </w:p>
    <w:p w:rsidR="00F925A2" w:rsidRPr="00F925A2" w:rsidRDefault="00F925A2" w:rsidP="00F925A2">
      <w:pPr>
        <w:pStyle w:val="western"/>
        <w:spacing w:before="0" w:beforeAutospacing="0" w:after="0" w:line="240" w:lineRule="auto"/>
        <w:ind w:left="709" w:hanging="709"/>
        <w:jc w:val="both"/>
        <w:rPr>
          <w:rFonts w:ascii="Times New Roman" w:hAnsi="Times New Roman" w:cs="Times New Roman"/>
          <w:sz w:val="20"/>
          <w:szCs w:val="20"/>
        </w:rPr>
      </w:pPr>
    </w:p>
    <w:p w:rsidR="00F925A2" w:rsidRPr="008F7455" w:rsidRDefault="00F925A2" w:rsidP="00F925A2">
      <w:pPr>
        <w:pStyle w:val="western"/>
        <w:spacing w:before="0" w:beforeAutospacing="0" w:after="0" w:line="240" w:lineRule="auto"/>
        <w:ind w:left="709" w:hanging="709"/>
        <w:jc w:val="both"/>
        <w:rPr>
          <w:rFonts w:ascii="Times New Roman" w:hAnsi="Times New Roman" w:cs="Times New Roman"/>
          <w:sz w:val="20"/>
          <w:szCs w:val="20"/>
        </w:rPr>
      </w:pPr>
      <w:r w:rsidRPr="008F7455">
        <w:rPr>
          <w:rFonts w:ascii="Times New Roman" w:hAnsi="Times New Roman" w:cs="Times New Roman"/>
          <w:sz w:val="20"/>
          <w:szCs w:val="20"/>
        </w:rPr>
        <w:t>CEPAL (2002). Globalización y desarrollo. </w:t>
      </w:r>
      <w:r w:rsidR="008F7455" w:rsidRPr="008F7455">
        <w:rPr>
          <w:rFonts w:ascii="Times New Roman" w:hAnsi="Times New Roman" w:cs="Times New Roman"/>
          <w:sz w:val="20"/>
          <w:szCs w:val="20"/>
        </w:rPr>
        <w:t xml:space="preserve">Brasilia: Naciones Unidas. </w:t>
      </w:r>
    </w:p>
    <w:p w:rsidR="00F925A2" w:rsidRPr="008F7455" w:rsidRDefault="008F7455" w:rsidP="00F925A2">
      <w:pPr>
        <w:pStyle w:val="western"/>
        <w:spacing w:before="0" w:beforeAutospacing="0" w:after="0" w:line="240" w:lineRule="auto"/>
        <w:ind w:left="709" w:hanging="709"/>
        <w:jc w:val="both"/>
        <w:rPr>
          <w:rFonts w:ascii="Times New Roman" w:hAnsi="Times New Roman" w:cs="Times New Roman"/>
          <w:sz w:val="20"/>
          <w:szCs w:val="20"/>
        </w:rPr>
      </w:pPr>
      <w:r w:rsidRPr="008F7455">
        <w:rPr>
          <w:rFonts w:ascii="Times New Roman" w:hAnsi="Times New Roman" w:cs="Times New Roman"/>
          <w:sz w:val="20"/>
          <w:szCs w:val="20"/>
        </w:rPr>
        <w:t>CEPAL 2004. La economía informal. Santiago de Chile, División de Desarrollo Social, Naciones Unidas.</w:t>
      </w:r>
    </w:p>
    <w:p w:rsidR="00F925A2" w:rsidRPr="008F7455" w:rsidRDefault="00F925A2" w:rsidP="00F925A2">
      <w:pPr>
        <w:pStyle w:val="western"/>
        <w:spacing w:before="0" w:beforeAutospacing="0" w:after="0" w:line="240" w:lineRule="auto"/>
        <w:ind w:left="709" w:hanging="709"/>
        <w:jc w:val="both"/>
        <w:rPr>
          <w:rFonts w:ascii="Times New Roman" w:hAnsi="Times New Roman" w:cs="Times New Roman"/>
          <w:sz w:val="20"/>
          <w:szCs w:val="20"/>
        </w:rPr>
      </w:pPr>
      <w:r w:rsidRPr="008F7455">
        <w:rPr>
          <w:rFonts w:ascii="Times New Roman" w:hAnsi="Times New Roman" w:cs="Times New Roman"/>
          <w:sz w:val="20"/>
          <w:szCs w:val="20"/>
        </w:rPr>
        <w:t>CEPAL (2006). </w:t>
      </w:r>
      <w:r w:rsidR="008F7455" w:rsidRPr="008F7455">
        <w:rPr>
          <w:rFonts w:ascii="Times New Roman" w:hAnsi="Times New Roman" w:cs="Times New Roman"/>
          <w:sz w:val="20"/>
          <w:szCs w:val="20"/>
        </w:rPr>
        <w:t>La protección social de cara al futuro. Acceso, financiamiento y solidaridad. Montevideo: Naciones Unidas.</w:t>
      </w:r>
    </w:p>
    <w:p w:rsidR="00F925A2" w:rsidRPr="008F7455" w:rsidRDefault="00F925A2" w:rsidP="00F925A2">
      <w:pPr>
        <w:pStyle w:val="western"/>
        <w:spacing w:before="0" w:beforeAutospacing="0" w:after="0" w:line="240" w:lineRule="auto"/>
        <w:ind w:left="709" w:hanging="709"/>
        <w:jc w:val="both"/>
        <w:rPr>
          <w:rFonts w:ascii="Times New Roman" w:hAnsi="Times New Roman" w:cs="Times New Roman"/>
          <w:sz w:val="20"/>
          <w:szCs w:val="20"/>
        </w:rPr>
      </w:pPr>
      <w:r w:rsidRPr="008F7455">
        <w:rPr>
          <w:rFonts w:ascii="Times New Roman" w:hAnsi="Times New Roman" w:cs="Times New Roman"/>
          <w:sz w:val="20"/>
          <w:szCs w:val="20"/>
        </w:rPr>
        <w:t>CEPAL (2007)</w:t>
      </w:r>
      <w:r w:rsidR="008F7455" w:rsidRPr="008F7455">
        <w:rPr>
          <w:rFonts w:ascii="Times New Roman" w:hAnsi="Times New Roman" w:cs="Times New Roman"/>
          <w:sz w:val="20"/>
          <w:szCs w:val="20"/>
        </w:rPr>
        <w:t>. Cohesión social: inclusión y sentido de pertenencia en América Latina y el Caribe. Santiago de Chile: Secretaría General Ibero-Americana, Naciones Unidas, Agencia Española de Cooperación Internacional.</w:t>
      </w:r>
    </w:p>
    <w:p w:rsidR="00F925A2" w:rsidRPr="00F925A2" w:rsidRDefault="008F7455" w:rsidP="00F925A2">
      <w:pPr>
        <w:pStyle w:val="western"/>
        <w:spacing w:before="0" w:beforeAutospacing="0" w:after="0" w:line="240" w:lineRule="auto"/>
        <w:ind w:left="709" w:hanging="709"/>
        <w:jc w:val="both"/>
        <w:rPr>
          <w:rFonts w:ascii="Times New Roman" w:hAnsi="Times New Roman" w:cs="Times New Roman"/>
          <w:sz w:val="20"/>
          <w:szCs w:val="20"/>
        </w:rPr>
      </w:pPr>
      <w:r>
        <w:rPr>
          <w:rFonts w:ascii="Times New Roman" w:hAnsi="Times New Roman" w:cs="Times New Roman"/>
          <w:sz w:val="20"/>
          <w:szCs w:val="20"/>
        </w:rPr>
        <w:t>Declaración de Guadalajara (2004). III Cumbre América Latina y el Caribe- Unión Europea.</w:t>
      </w:r>
    </w:p>
    <w:p w:rsidR="00F925A2" w:rsidRPr="00F925A2" w:rsidRDefault="00F925A2" w:rsidP="00F925A2">
      <w:pPr>
        <w:pStyle w:val="western"/>
        <w:spacing w:before="0" w:beforeAutospacing="0" w:after="0" w:line="240" w:lineRule="auto"/>
        <w:ind w:left="709" w:hanging="709"/>
        <w:jc w:val="both"/>
        <w:rPr>
          <w:rFonts w:ascii="Times New Roman" w:hAnsi="Times New Roman" w:cs="Times New Roman"/>
          <w:sz w:val="20"/>
          <w:szCs w:val="20"/>
        </w:rPr>
      </w:pPr>
      <w:proofErr w:type="spellStart"/>
      <w:r w:rsidRPr="00F925A2">
        <w:rPr>
          <w:rFonts w:ascii="Times New Roman" w:hAnsi="Times New Roman" w:cs="Times New Roman"/>
          <w:sz w:val="20"/>
          <w:szCs w:val="20"/>
        </w:rPr>
        <w:t>Holzman</w:t>
      </w:r>
      <w:proofErr w:type="spellEnd"/>
      <w:r w:rsidRPr="00F925A2">
        <w:rPr>
          <w:rFonts w:ascii="Times New Roman" w:hAnsi="Times New Roman" w:cs="Times New Roman"/>
          <w:sz w:val="20"/>
          <w:szCs w:val="20"/>
        </w:rPr>
        <w:t>, R. y </w:t>
      </w:r>
      <w:proofErr w:type="spellStart"/>
      <w:r w:rsidRPr="00F925A2">
        <w:rPr>
          <w:rFonts w:ascii="Times New Roman" w:hAnsi="Times New Roman" w:cs="Times New Roman"/>
          <w:sz w:val="20"/>
          <w:szCs w:val="20"/>
        </w:rPr>
        <w:t>Jorgensen</w:t>
      </w:r>
      <w:proofErr w:type="spellEnd"/>
      <w:r w:rsidRPr="00F925A2">
        <w:rPr>
          <w:rFonts w:ascii="Times New Roman" w:hAnsi="Times New Roman" w:cs="Times New Roman"/>
          <w:sz w:val="20"/>
          <w:szCs w:val="20"/>
        </w:rPr>
        <w:t>, S. (2000). Manejo social del riesgo: un nuevo marco conceptual para la protección social y más allá. Unidad de la Protección Social, Red de Desarrollo Humano, Banco Mundial. Serie de Documentos sobre Protección Social N°6. Washington. </w:t>
      </w:r>
    </w:p>
    <w:p w:rsidR="00F925A2" w:rsidRPr="00F925A2" w:rsidRDefault="00F925A2" w:rsidP="00F925A2">
      <w:pPr>
        <w:pStyle w:val="western"/>
        <w:spacing w:before="0" w:beforeAutospacing="0" w:after="0" w:line="240" w:lineRule="auto"/>
        <w:ind w:left="709" w:hanging="709"/>
        <w:jc w:val="both"/>
        <w:rPr>
          <w:rFonts w:ascii="Times New Roman" w:hAnsi="Times New Roman" w:cs="Times New Roman"/>
          <w:sz w:val="20"/>
          <w:szCs w:val="20"/>
        </w:rPr>
      </w:pPr>
      <w:r w:rsidRPr="00F925A2">
        <w:rPr>
          <w:rFonts w:ascii="Times New Roman" w:hAnsi="Times New Roman" w:cs="Times New Roman"/>
          <w:sz w:val="20"/>
          <w:szCs w:val="20"/>
        </w:rPr>
        <w:t xml:space="preserve">Márquez G., </w:t>
      </w:r>
      <w:proofErr w:type="spellStart"/>
      <w:r w:rsidRPr="00F925A2">
        <w:rPr>
          <w:rFonts w:ascii="Times New Roman" w:hAnsi="Times New Roman" w:cs="Times New Roman"/>
          <w:sz w:val="20"/>
          <w:szCs w:val="20"/>
        </w:rPr>
        <w:t>Chong</w:t>
      </w:r>
      <w:proofErr w:type="spellEnd"/>
      <w:r w:rsidRPr="00F925A2">
        <w:rPr>
          <w:rFonts w:ascii="Times New Roman" w:hAnsi="Times New Roman" w:cs="Times New Roman"/>
          <w:sz w:val="20"/>
          <w:szCs w:val="20"/>
        </w:rPr>
        <w:t>, A, Mazza, J., Ñopo, H., </w:t>
      </w:r>
      <w:proofErr w:type="spellStart"/>
      <w:r w:rsidRPr="00F925A2">
        <w:rPr>
          <w:rFonts w:ascii="Times New Roman" w:hAnsi="Times New Roman" w:cs="Times New Roman"/>
          <w:sz w:val="20"/>
          <w:szCs w:val="20"/>
        </w:rPr>
        <w:t>Dunyere</w:t>
      </w:r>
      <w:proofErr w:type="spellEnd"/>
      <w:r w:rsidRPr="00F925A2">
        <w:rPr>
          <w:rFonts w:ascii="Times New Roman" w:hAnsi="Times New Roman" w:cs="Times New Roman"/>
          <w:sz w:val="20"/>
          <w:szCs w:val="20"/>
        </w:rPr>
        <w:t>, D. (2008) ¿Los de afuera? Patrones cambiantes de exclusión en América Latina y el Caribe. Informe de Progreso Económico y Social. Washington: BID/ Harvard </w:t>
      </w:r>
      <w:proofErr w:type="spellStart"/>
      <w:r w:rsidRPr="00F925A2">
        <w:rPr>
          <w:rFonts w:ascii="Times New Roman" w:hAnsi="Times New Roman" w:cs="Times New Roman"/>
          <w:sz w:val="20"/>
          <w:szCs w:val="20"/>
        </w:rPr>
        <w:t>University</w:t>
      </w:r>
      <w:proofErr w:type="spellEnd"/>
      <w:r w:rsidRPr="00F925A2">
        <w:rPr>
          <w:rFonts w:ascii="Times New Roman" w:hAnsi="Times New Roman" w:cs="Times New Roman"/>
          <w:sz w:val="20"/>
          <w:szCs w:val="20"/>
        </w:rPr>
        <w:t>/ David Rockefeller Center </w:t>
      </w:r>
      <w:proofErr w:type="spellStart"/>
      <w:r w:rsidRPr="00F925A2">
        <w:rPr>
          <w:rFonts w:ascii="Times New Roman" w:hAnsi="Times New Roman" w:cs="Times New Roman"/>
          <w:sz w:val="20"/>
          <w:szCs w:val="20"/>
        </w:rPr>
        <w:t>for</w:t>
      </w:r>
      <w:proofErr w:type="spellEnd"/>
      <w:r w:rsidRPr="00F925A2">
        <w:rPr>
          <w:rFonts w:ascii="Times New Roman" w:hAnsi="Times New Roman" w:cs="Times New Roman"/>
          <w:sz w:val="20"/>
          <w:szCs w:val="20"/>
        </w:rPr>
        <w:t> </w:t>
      </w:r>
      <w:proofErr w:type="spellStart"/>
      <w:r w:rsidRPr="00F925A2">
        <w:rPr>
          <w:rFonts w:ascii="Times New Roman" w:hAnsi="Times New Roman" w:cs="Times New Roman"/>
          <w:sz w:val="20"/>
          <w:szCs w:val="20"/>
        </w:rPr>
        <w:t>Latin</w:t>
      </w:r>
      <w:proofErr w:type="spellEnd"/>
      <w:r w:rsidRPr="00F925A2">
        <w:rPr>
          <w:rFonts w:ascii="Times New Roman" w:hAnsi="Times New Roman" w:cs="Times New Roman"/>
          <w:sz w:val="20"/>
          <w:szCs w:val="20"/>
        </w:rPr>
        <w:t> American </w:t>
      </w:r>
      <w:proofErr w:type="spellStart"/>
      <w:r w:rsidRPr="00F925A2">
        <w:rPr>
          <w:rFonts w:ascii="Times New Roman" w:hAnsi="Times New Roman" w:cs="Times New Roman"/>
          <w:sz w:val="20"/>
          <w:szCs w:val="20"/>
        </w:rPr>
        <w:t>Studies</w:t>
      </w:r>
      <w:proofErr w:type="spellEnd"/>
      <w:r w:rsidRPr="00F925A2">
        <w:rPr>
          <w:rFonts w:ascii="Times New Roman" w:hAnsi="Times New Roman" w:cs="Times New Roman"/>
          <w:sz w:val="20"/>
          <w:szCs w:val="20"/>
        </w:rPr>
        <w:t>.</w:t>
      </w:r>
    </w:p>
    <w:p w:rsidR="00F925A2" w:rsidRPr="00F925A2" w:rsidRDefault="00F925A2" w:rsidP="00F925A2">
      <w:pPr>
        <w:pStyle w:val="western"/>
        <w:spacing w:before="0" w:beforeAutospacing="0" w:after="0" w:line="240" w:lineRule="auto"/>
        <w:ind w:left="709" w:hanging="709"/>
        <w:jc w:val="both"/>
        <w:rPr>
          <w:rFonts w:ascii="Times New Roman" w:hAnsi="Times New Roman" w:cs="Times New Roman"/>
          <w:sz w:val="20"/>
          <w:szCs w:val="20"/>
        </w:rPr>
      </w:pPr>
      <w:r w:rsidRPr="00F925A2">
        <w:rPr>
          <w:rFonts w:ascii="Times New Roman" w:hAnsi="Times New Roman" w:cs="Times New Roman"/>
          <w:sz w:val="20"/>
          <w:szCs w:val="20"/>
        </w:rPr>
        <w:t>OIT (1999). Trabajo Decente. Memoria del Director General. 87° reunión de la Conferencia Internacional del Trabajo. Ginebra. </w:t>
      </w:r>
    </w:p>
    <w:p w:rsidR="00F925A2" w:rsidRPr="00F925A2" w:rsidRDefault="008F7455" w:rsidP="00F925A2">
      <w:pPr>
        <w:pStyle w:val="western"/>
        <w:spacing w:before="0" w:beforeAutospacing="0" w:after="0" w:line="240" w:lineRule="auto"/>
        <w:ind w:left="709" w:hanging="709"/>
        <w:jc w:val="both"/>
        <w:rPr>
          <w:rFonts w:ascii="Times New Roman" w:hAnsi="Times New Roman" w:cs="Times New Roman"/>
          <w:sz w:val="20"/>
          <w:szCs w:val="20"/>
        </w:rPr>
      </w:pPr>
      <w:r>
        <w:rPr>
          <w:rFonts w:ascii="Times New Roman" w:hAnsi="Times New Roman" w:cs="Times New Roman"/>
          <w:sz w:val="20"/>
          <w:szCs w:val="20"/>
        </w:rPr>
        <w:t>OIT (2</w:t>
      </w:r>
      <w:r w:rsidR="00F925A2" w:rsidRPr="00F925A2">
        <w:rPr>
          <w:rFonts w:ascii="Times New Roman" w:hAnsi="Times New Roman" w:cs="Times New Roman"/>
          <w:sz w:val="20"/>
          <w:szCs w:val="20"/>
        </w:rPr>
        <w:t>000). Report of the Working Party on the Social Dimensions of the Liberalization of International Trade. Goverment Body. Ginebra. </w:t>
      </w:r>
    </w:p>
    <w:p w:rsidR="00F925A2" w:rsidRPr="00F925A2" w:rsidRDefault="008F7455" w:rsidP="00F925A2">
      <w:pPr>
        <w:pStyle w:val="western"/>
        <w:spacing w:before="0" w:beforeAutospacing="0" w:after="0" w:line="240" w:lineRule="auto"/>
        <w:ind w:left="709" w:hanging="709"/>
        <w:jc w:val="both"/>
        <w:rPr>
          <w:rFonts w:ascii="Times New Roman" w:hAnsi="Times New Roman" w:cs="Times New Roman"/>
          <w:sz w:val="20"/>
          <w:szCs w:val="20"/>
        </w:rPr>
      </w:pPr>
      <w:r>
        <w:rPr>
          <w:rFonts w:ascii="Times New Roman" w:hAnsi="Times New Roman" w:cs="Times New Roman"/>
          <w:sz w:val="20"/>
          <w:szCs w:val="20"/>
        </w:rPr>
        <w:t>OIT (2001</w:t>
      </w:r>
      <w:r w:rsidR="00F925A2" w:rsidRPr="00F925A2">
        <w:rPr>
          <w:rFonts w:ascii="Times New Roman" w:hAnsi="Times New Roman" w:cs="Times New Roman"/>
          <w:sz w:val="20"/>
          <w:szCs w:val="20"/>
        </w:rPr>
        <w:t>). Reducir el déficit de Trabajo Decente. Memoria del Director General. 89° reunión de la Conferencia Internacional del Trabajo. Ginebra. </w:t>
      </w:r>
    </w:p>
    <w:p w:rsidR="00F925A2" w:rsidRPr="00F925A2" w:rsidRDefault="00F925A2" w:rsidP="00F925A2">
      <w:pPr>
        <w:pStyle w:val="western"/>
        <w:spacing w:before="0" w:beforeAutospacing="0" w:after="0" w:line="240" w:lineRule="auto"/>
        <w:ind w:left="709" w:hanging="709"/>
        <w:jc w:val="both"/>
        <w:rPr>
          <w:rFonts w:ascii="Times New Roman" w:hAnsi="Times New Roman" w:cs="Times New Roman"/>
          <w:sz w:val="20"/>
          <w:szCs w:val="20"/>
        </w:rPr>
      </w:pPr>
      <w:r w:rsidRPr="00F925A2">
        <w:rPr>
          <w:rFonts w:ascii="Times New Roman" w:hAnsi="Times New Roman" w:cs="Times New Roman"/>
          <w:sz w:val="20"/>
          <w:szCs w:val="20"/>
        </w:rPr>
        <w:t>OIT (2007). Introducción del Director General a la Conferencia Internacional del Trabajo “El trabajo decente para un desarrollo sostenible”. 96° reunión de la Conferencia Internacional del Trabajo. Ginebra. </w:t>
      </w:r>
    </w:p>
    <w:p w:rsidR="004A4314" w:rsidRPr="00DC1C23" w:rsidRDefault="00F925A2" w:rsidP="00D37E1B">
      <w:pPr>
        <w:pStyle w:val="western"/>
        <w:spacing w:before="0" w:beforeAutospacing="0" w:after="0" w:line="240" w:lineRule="auto"/>
        <w:ind w:left="709" w:hanging="709"/>
        <w:jc w:val="both"/>
        <w:rPr>
          <w:rFonts w:ascii="Times New Roman" w:hAnsi="Times New Roman" w:cs="Times New Roman"/>
          <w:lang w:val="es-ES"/>
        </w:rPr>
      </w:pPr>
      <w:r w:rsidRPr="00F925A2">
        <w:rPr>
          <w:rFonts w:ascii="Times New Roman" w:hAnsi="Times New Roman" w:cs="Times New Roman"/>
          <w:sz w:val="20"/>
          <w:szCs w:val="20"/>
        </w:rPr>
        <w:t>OIT Regional para América Latina y el Caribe (2013). Los pisos de protección social en el marco de la estrategia de extensión de la cobertura de seguridad social en América Latina y el Caribe. Documento de discusión del Seminario Regional “El rol de los pisos de protección social en los sistemas integrales de seguridad social en América Latina y el Caribe”. Lima. </w:t>
      </w:r>
    </w:p>
    <w:sectPr w:rsidR="004A4314" w:rsidRPr="00DC1C23" w:rsidSect="00D37E1B">
      <w:headerReference w:type="default" r:id="rId9"/>
      <w:pgSz w:w="11906" w:h="16838"/>
      <w:pgMar w:top="1304" w:right="1418" w:bottom="130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2514" w:rsidRDefault="00032514" w:rsidP="003B00A2">
      <w:pPr>
        <w:spacing w:after="0" w:line="240" w:lineRule="auto"/>
      </w:pPr>
      <w:r>
        <w:separator/>
      </w:r>
    </w:p>
  </w:endnote>
  <w:endnote w:type="continuationSeparator" w:id="0">
    <w:p w:rsidR="00032514" w:rsidRDefault="00032514" w:rsidP="003B00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2514" w:rsidRDefault="00032514" w:rsidP="003B00A2">
      <w:pPr>
        <w:spacing w:after="0" w:line="240" w:lineRule="auto"/>
      </w:pPr>
      <w:r>
        <w:separator/>
      </w:r>
    </w:p>
  </w:footnote>
  <w:footnote w:type="continuationSeparator" w:id="0">
    <w:p w:rsidR="00032514" w:rsidRDefault="00032514" w:rsidP="003B00A2">
      <w:pPr>
        <w:spacing w:after="0" w:line="240" w:lineRule="auto"/>
      </w:pPr>
      <w:r>
        <w:continuationSeparator/>
      </w:r>
    </w:p>
  </w:footnote>
  <w:footnote w:id="1">
    <w:p w:rsidR="00B1304F" w:rsidRPr="0094443C" w:rsidRDefault="00B1304F" w:rsidP="007E338C">
      <w:pPr>
        <w:pStyle w:val="sdfootnote-western"/>
        <w:jc w:val="both"/>
        <w:rPr>
          <w:lang w:val="es-ES"/>
        </w:rPr>
      </w:pPr>
      <w:r>
        <w:rPr>
          <w:rStyle w:val="Refdenotaalpie"/>
        </w:rPr>
        <w:footnoteRef/>
      </w:r>
      <w:r>
        <w:t xml:space="preserve"> </w:t>
      </w:r>
      <w:r>
        <w:rPr>
          <w:rFonts w:ascii="Times New Roman" w:hAnsi="Times New Roman" w:cs="Times New Roman"/>
          <w:lang w:val="es-ES"/>
        </w:rPr>
        <w:t xml:space="preserve">Por ejemplo, en su estudio de las burocracias estatales del Ministerio de Desarrollo Social de la Nación, durante el mismo período que abordamos, </w:t>
      </w:r>
      <w:proofErr w:type="spellStart"/>
      <w:r>
        <w:rPr>
          <w:rFonts w:ascii="Times New Roman" w:hAnsi="Times New Roman" w:cs="Times New Roman"/>
          <w:lang w:val="es-ES"/>
        </w:rPr>
        <w:t>Perelmiter</w:t>
      </w:r>
      <w:proofErr w:type="spellEnd"/>
      <w:r>
        <w:rPr>
          <w:rFonts w:ascii="Times New Roman" w:hAnsi="Times New Roman" w:cs="Times New Roman"/>
          <w:lang w:val="es-ES"/>
        </w:rPr>
        <w:t xml:space="preserve"> (2015) explica que el cambio en los contenidos y fundamentos de legitimidad de la destreza asistencial discurrió por una amalgama de fundamentos técnicos, políticos y afectivos, que confrontaban con el modelo </w:t>
      </w:r>
      <w:proofErr w:type="spellStart"/>
      <w:r>
        <w:rPr>
          <w:rFonts w:ascii="Times New Roman" w:hAnsi="Times New Roman" w:cs="Times New Roman"/>
          <w:lang w:val="es-ES"/>
        </w:rPr>
        <w:t>gerenciado</w:t>
      </w:r>
      <w:proofErr w:type="spellEnd"/>
      <w:r>
        <w:rPr>
          <w:rFonts w:ascii="Times New Roman" w:hAnsi="Times New Roman" w:cs="Times New Roman"/>
          <w:lang w:val="es-ES"/>
        </w:rPr>
        <w:t xml:space="preserve"> de asistencia social, de racionalidad tecnocrática. </w:t>
      </w:r>
    </w:p>
  </w:footnote>
  <w:footnote w:id="2">
    <w:p w:rsidR="00B1304F" w:rsidRPr="00F31457" w:rsidRDefault="00B1304F" w:rsidP="007E338C">
      <w:pPr>
        <w:pStyle w:val="sdfootnote-western"/>
        <w:ind w:left="0" w:firstLine="0"/>
        <w:jc w:val="both"/>
        <w:rPr>
          <w:lang w:val="es-ES"/>
        </w:rPr>
      </w:pPr>
      <w:r>
        <w:rPr>
          <w:rStyle w:val="Refdenotaalpie"/>
        </w:rPr>
        <w:footnoteRef/>
      </w:r>
      <w:r>
        <w:t xml:space="preserve"> </w:t>
      </w:r>
      <w:r>
        <w:rPr>
          <w:rFonts w:ascii="Times New Roman" w:hAnsi="Times New Roman" w:cs="Times New Roman"/>
          <w:lang w:val="es-ES"/>
        </w:rPr>
        <w:t xml:space="preserve"> Compartimos la lectura crítica de </w:t>
      </w:r>
      <w:proofErr w:type="spellStart"/>
      <w:r>
        <w:rPr>
          <w:rFonts w:ascii="Times New Roman" w:hAnsi="Times New Roman" w:cs="Times New Roman"/>
          <w:lang w:val="es-ES"/>
        </w:rPr>
        <w:t>Minteguiaga</w:t>
      </w:r>
      <w:proofErr w:type="spellEnd"/>
      <w:r>
        <w:rPr>
          <w:rFonts w:ascii="Times New Roman" w:hAnsi="Times New Roman" w:cs="Times New Roman"/>
          <w:lang w:val="es-ES"/>
        </w:rPr>
        <w:t xml:space="preserve"> (2009) al respecto. La autora destaca elementos a rescatar de la misma (como por ejemplo, la conflictividad que es parte del proceso por el cual ciertos problemas devienen públicos), así como ciertas cuestiones a rever, como el supuesto de la acción racional de los actores participantes, cierta exterioridad entre la sociedad civil y el Estado, expresada en la idea de “intermediación de intereses”, y una relativa </w:t>
      </w:r>
      <w:proofErr w:type="spellStart"/>
      <w:r>
        <w:rPr>
          <w:rFonts w:ascii="Times New Roman" w:hAnsi="Times New Roman" w:cs="Times New Roman"/>
          <w:lang w:val="es-ES"/>
        </w:rPr>
        <w:t>secundariedad</w:t>
      </w:r>
      <w:proofErr w:type="spellEnd"/>
      <w:r>
        <w:rPr>
          <w:rFonts w:ascii="Times New Roman" w:hAnsi="Times New Roman" w:cs="Times New Roman"/>
          <w:lang w:val="es-ES"/>
        </w:rPr>
        <w:t xml:space="preserve"> de la visión histórica. </w:t>
      </w:r>
    </w:p>
  </w:footnote>
  <w:footnote w:id="3">
    <w:p w:rsidR="00B1304F" w:rsidRPr="00FF1C76" w:rsidRDefault="00B1304F" w:rsidP="00075467">
      <w:pPr>
        <w:pStyle w:val="sdfootnote-western"/>
        <w:jc w:val="both"/>
        <w:rPr>
          <w:lang w:val="es-ES"/>
        </w:rPr>
      </w:pPr>
      <w:r>
        <w:rPr>
          <w:rStyle w:val="Refdenotaalpie"/>
        </w:rPr>
        <w:footnoteRef/>
      </w:r>
      <w:r>
        <w:t xml:space="preserve"> </w:t>
      </w:r>
      <w:r>
        <w:rPr>
          <w:rFonts w:ascii="Times New Roman" w:hAnsi="Times New Roman" w:cs="Times New Roman"/>
          <w:lang w:val="es-ES"/>
        </w:rPr>
        <w:t>La OIT fue creada luego de la Primera Guerra Mundial, en el año 1919. Sin embargo, en el año 1946 se constituyó en una de las primeras agencias especializadas del Sistema de Naciones Unidas, a un año de su fundación.</w:t>
      </w:r>
    </w:p>
  </w:footnote>
  <w:footnote w:id="4">
    <w:p w:rsidR="00B1304F" w:rsidRPr="00FF1C76" w:rsidRDefault="00B1304F" w:rsidP="00051BA9">
      <w:pPr>
        <w:pStyle w:val="sdfootnote-western"/>
        <w:jc w:val="both"/>
        <w:rPr>
          <w:lang w:val="es-ES"/>
        </w:rPr>
      </w:pPr>
      <w:r>
        <w:rPr>
          <w:rStyle w:val="Refdenotaalpie"/>
        </w:rPr>
        <w:footnoteRef/>
      </w:r>
      <w:r>
        <w:t xml:space="preserve"> </w:t>
      </w:r>
      <w:r>
        <w:rPr>
          <w:rFonts w:ascii="Times New Roman" w:hAnsi="Times New Roman" w:cs="Times New Roman"/>
          <w:lang w:val="es-ES"/>
        </w:rPr>
        <w:t xml:space="preserve">Ver sobre este debate: Terán, 1991; Escobar, 2005; </w:t>
      </w:r>
      <w:proofErr w:type="spellStart"/>
      <w:r>
        <w:rPr>
          <w:rFonts w:ascii="Times New Roman" w:hAnsi="Times New Roman" w:cs="Times New Roman"/>
          <w:lang w:val="es-ES"/>
        </w:rPr>
        <w:t>Guiller</w:t>
      </w:r>
      <w:proofErr w:type="spellEnd"/>
      <w:r>
        <w:rPr>
          <w:rFonts w:ascii="Times New Roman" w:hAnsi="Times New Roman" w:cs="Times New Roman"/>
          <w:lang w:val="es-ES"/>
        </w:rPr>
        <w:t xml:space="preserve">, 2014; </w:t>
      </w:r>
      <w:proofErr w:type="spellStart"/>
      <w:r>
        <w:rPr>
          <w:rFonts w:ascii="Times New Roman" w:hAnsi="Times New Roman" w:cs="Times New Roman"/>
          <w:lang w:val="es-ES"/>
        </w:rPr>
        <w:t>Grondona</w:t>
      </w:r>
      <w:proofErr w:type="spellEnd"/>
      <w:r>
        <w:rPr>
          <w:rFonts w:ascii="Times New Roman" w:hAnsi="Times New Roman" w:cs="Times New Roman"/>
          <w:lang w:val="es-ES"/>
        </w:rPr>
        <w:t xml:space="preserve">, 2014. También: Cardoso y </w:t>
      </w:r>
      <w:proofErr w:type="spellStart"/>
      <w:r>
        <w:rPr>
          <w:rFonts w:ascii="Times New Roman" w:hAnsi="Times New Roman" w:cs="Times New Roman"/>
          <w:lang w:val="es-ES"/>
        </w:rPr>
        <w:t>Faletto</w:t>
      </w:r>
      <w:proofErr w:type="spellEnd"/>
      <w:r>
        <w:rPr>
          <w:rFonts w:ascii="Times New Roman" w:hAnsi="Times New Roman" w:cs="Times New Roman"/>
          <w:lang w:val="es-ES"/>
        </w:rPr>
        <w:t xml:space="preserve">, 1969; Marini, 1973; Pinto, 1970; </w:t>
      </w:r>
      <w:proofErr w:type="spellStart"/>
      <w:r>
        <w:rPr>
          <w:rFonts w:ascii="Times New Roman" w:hAnsi="Times New Roman" w:cs="Times New Roman"/>
          <w:lang w:val="es-ES"/>
        </w:rPr>
        <w:t>Prebisch</w:t>
      </w:r>
      <w:proofErr w:type="spellEnd"/>
      <w:r>
        <w:rPr>
          <w:rFonts w:ascii="Times New Roman" w:hAnsi="Times New Roman" w:cs="Times New Roman"/>
          <w:lang w:val="es-ES"/>
        </w:rPr>
        <w:t>, 1970.</w:t>
      </w:r>
    </w:p>
  </w:footnote>
  <w:footnote w:id="5">
    <w:p w:rsidR="00B1304F" w:rsidRPr="00CB4429" w:rsidRDefault="00B1304F" w:rsidP="00CB4429">
      <w:pPr>
        <w:pStyle w:val="Textonotapie"/>
        <w:jc w:val="both"/>
        <w:rPr>
          <w:rFonts w:ascii="Times New Roman" w:hAnsi="Times New Roman" w:cs="Times New Roman"/>
          <w:lang w:val="es-ES"/>
        </w:rPr>
      </w:pPr>
      <w:r w:rsidRPr="00CB4429">
        <w:rPr>
          <w:rStyle w:val="Refdenotaalpie"/>
          <w:rFonts w:ascii="Times New Roman" w:hAnsi="Times New Roman" w:cs="Times New Roman"/>
        </w:rPr>
        <w:footnoteRef/>
      </w:r>
      <w:r w:rsidRPr="00CB4429">
        <w:rPr>
          <w:rFonts w:ascii="Times New Roman" w:hAnsi="Times New Roman" w:cs="Times New Roman"/>
        </w:rPr>
        <w:t xml:space="preserve"> </w:t>
      </w:r>
      <w:r w:rsidRPr="00CB4429">
        <w:rPr>
          <w:rFonts w:ascii="Times New Roman" w:hAnsi="Times New Roman" w:cs="Times New Roman"/>
          <w:lang w:val="es-ES"/>
        </w:rPr>
        <w:t>Por limitaciones de espacio, en este apartado</w:t>
      </w:r>
      <w:r>
        <w:rPr>
          <w:rFonts w:ascii="Times New Roman" w:hAnsi="Times New Roman" w:cs="Times New Roman"/>
          <w:lang w:val="es-ES"/>
        </w:rPr>
        <w:t xml:space="preserve"> abordaremos las reformulaciones transversales haciendo referencia a las polémicas, aunque sin tratarlas en profundidad. Por la misma razón, evitaremos el recurso a las citaciones directas.</w:t>
      </w:r>
    </w:p>
  </w:footnote>
  <w:footnote w:id="6">
    <w:p w:rsidR="00B1304F" w:rsidRPr="005746B1" w:rsidRDefault="00B1304F" w:rsidP="00F00E48">
      <w:pPr>
        <w:pStyle w:val="Textonotapie"/>
        <w:jc w:val="both"/>
        <w:rPr>
          <w:lang w:val="es-ES"/>
        </w:rPr>
      </w:pPr>
      <w:r w:rsidRPr="005746B1">
        <w:rPr>
          <w:rStyle w:val="Refdenotaalpie"/>
        </w:rPr>
        <w:footnoteRef/>
      </w:r>
      <w:r w:rsidRPr="005746B1">
        <w:t xml:space="preserve"> </w:t>
      </w:r>
      <w:r w:rsidRPr="005746B1">
        <w:rPr>
          <w:rFonts w:ascii="Times New Roman" w:hAnsi="Times New Roman" w:cs="Times New Roman"/>
          <w:lang w:val="es-ES"/>
        </w:rPr>
        <w:t>Por ejemplo: la experiencia zapatista en Chiapas en 1994; el ascenso de los movimientos sociales territoriales y el descrédito de los partidos políticos; los cambios en los regímenes de gobierno y la conformación de nuevas alianzas políticas en Venezuela (1999), Argentina (2003), Brasil (2002), Ecuador (2006) y Bolivia (2006).</w:t>
      </w:r>
    </w:p>
  </w:footnote>
  <w:footnote w:id="7">
    <w:p w:rsidR="00B1304F" w:rsidRPr="00F00E48" w:rsidRDefault="00B1304F" w:rsidP="00F00E48">
      <w:pPr>
        <w:pStyle w:val="Textonotapie"/>
        <w:jc w:val="both"/>
        <w:rPr>
          <w:rFonts w:ascii="Times New Roman" w:hAnsi="Times New Roman" w:cs="Times New Roman"/>
          <w:lang w:val="es-ES"/>
        </w:rPr>
      </w:pPr>
      <w:r>
        <w:rPr>
          <w:rStyle w:val="Refdenotaalpie"/>
        </w:rPr>
        <w:footnoteRef/>
      </w:r>
      <w:r>
        <w:t xml:space="preserve"> </w:t>
      </w:r>
      <w:r>
        <w:rPr>
          <w:rFonts w:ascii="Times New Roman" w:hAnsi="Times New Roman" w:cs="Times New Roman"/>
          <w:lang w:val="es-ES"/>
        </w:rPr>
        <w:t xml:space="preserve">En el curso del trabajo de archivo, decidimos identificar las “marcas de coyuntura” en los documentos. Esta operación analítica se basó en la reflexión sobre la relación problemática entre el discurso y lo </w:t>
      </w:r>
      <w:proofErr w:type="spellStart"/>
      <w:r>
        <w:rPr>
          <w:rFonts w:ascii="Times New Roman" w:hAnsi="Times New Roman" w:cs="Times New Roman"/>
          <w:lang w:val="es-ES"/>
        </w:rPr>
        <w:t>extradiscursivo</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Robin</w:t>
      </w:r>
      <w:proofErr w:type="spellEnd"/>
      <w:r>
        <w:rPr>
          <w:rFonts w:ascii="Times New Roman" w:hAnsi="Times New Roman" w:cs="Times New Roman"/>
          <w:lang w:val="es-ES"/>
        </w:rPr>
        <w:t xml:space="preserve"> (1976) propone pensar dicha relación a través de la noción de “coyuntura”, entendida no como el momento actual, sino como la unidad de las contradicciones que se articulan en una sociedad en un momento dado. Así entendida, la coyuntura produciría efectos en las formaciones y prácticas discursivas, a nivel argumental, léxico y semántico: censuras, tabúes, términos obligados, cuyo efecto se pierde cuando la coyuntura se transforma. Por ejemplo, las amenazas de retorno al populismo que los textos advierten en el momento de la crisis de fines de siglo XX, conecta con un modo de argumentación recurrente en todos los documentos, por los cuales se ejercía una crítica al modelo de globalización vigente y, de manera simétrica, se sentenciaba la imposibilidad de retorno a los Estados </w:t>
      </w:r>
      <w:proofErr w:type="spellStart"/>
      <w:r>
        <w:rPr>
          <w:rFonts w:ascii="Times New Roman" w:hAnsi="Times New Roman" w:cs="Times New Roman"/>
          <w:lang w:val="es-ES"/>
        </w:rPr>
        <w:t>bienestaristas</w:t>
      </w:r>
      <w:proofErr w:type="spellEnd"/>
      <w:r>
        <w:rPr>
          <w:rFonts w:ascii="Times New Roman" w:hAnsi="Times New Roman" w:cs="Times New Roman"/>
          <w:lang w:val="es-ES"/>
        </w:rPr>
        <w:t xml:space="preserve"> y los acuerdos populistas. </w:t>
      </w:r>
    </w:p>
  </w:footnote>
  <w:footnote w:id="8">
    <w:p w:rsidR="00B1304F" w:rsidRPr="002A4968" w:rsidRDefault="00B1304F" w:rsidP="001B3C8D">
      <w:pPr>
        <w:pStyle w:val="Textonotapie"/>
        <w:jc w:val="both"/>
        <w:rPr>
          <w:rFonts w:ascii="Times New Roman" w:hAnsi="Times New Roman" w:cs="Times New Roman"/>
          <w:lang w:val="es-ES"/>
        </w:rPr>
      </w:pPr>
      <w:r w:rsidRPr="002A4968">
        <w:rPr>
          <w:rStyle w:val="Refdenotaalpie"/>
          <w:rFonts w:ascii="Times New Roman" w:hAnsi="Times New Roman" w:cs="Times New Roman"/>
        </w:rPr>
        <w:footnoteRef/>
      </w:r>
      <w:r w:rsidRPr="002A4968">
        <w:rPr>
          <w:rFonts w:ascii="Times New Roman" w:hAnsi="Times New Roman" w:cs="Times New Roman"/>
        </w:rPr>
        <w:t xml:space="preserve"> </w:t>
      </w:r>
      <w:r w:rsidRPr="002A4968">
        <w:rPr>
          <w:rFonts w:ascii="Times New Roman" w:hAnsi="Times New Roman" w:cs="Times New Roman"/>
          <w:lang w:val="es-ES"/>
        </w:rPr>
        <w:t>El recurso a la citación de “testimonios” asume relevancia en los Informes de Desarrollo Mundial del Banco desde entonces.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04F" w:rsidRPr="00E463F6" w:rsidRDefault="00B1304F" w:rsidP="00E463F6">
    <w:pPr>
      <w:pStyle w:val="NormalWeb"/>
      <w:spacing w:before="0" w:beforeAutospacing="0" w:after="0" w:line="240" w:lineRule="auto"/>
      <w:jc w:val="center"/>
      <w:rPr>
        <w:i/>
        <w:color w:val="262626" w:themeColor="text1" w:themeTint="D9"/>
        <w:sz w:val="20"/>
        <w:szCs w:val="20"/>
        <w:lang w:val="es-ES"/>
      </w:rPr>
    </w:pPr>
    <w:r w:rsidRPr="00E463F6">
      <w:rPr>
        <w:i/>
        <w:color w:val="262626" w:themeColor="text1" w:themeTint="D9"/>
        <w:sz w:val="20"/>
        <w:szCs w:val="20"/>
        <w:lang w:val="es-ES"/>
      </w:rPr>
      <w:t xml:space="preserve">IX Jornadas de Jóvenes Investigadores </w:t>
    </w:r>
  </w:p>
  <w:p w:rsidR="00B1304F" w:rsidRPr="003B00A2" w:rsidRDefault="00B1304F" w:rsidP="00E463F6">
    <w:pPr>
      <w:pStyle w:val="NormalWeb"/>
      <w:spacing w:before="0" w:beforeAutospacing="0" w:after="0" w:line="240" w:lineRule="auto"/>
      <w:jc w:val="center"/>
      <w:rPr>
        <w:color w:val="262626" w:themeColor="text1" w:themeTint="D9"/>
        <w:lang w:val="es-ES"/>
      </w:rPr>
    </w:pPr>
    <w:r>
      <w:rPr>
        <w:color w:val="262626" w:themeColor="text1" w:themeTint="D9"/>
        <w:sz w:val="20"/>
        <w:szCs w:val="20"/>
        <w:lang w:val="es-ES"/>
      </w:rPr>
      <w:t xml:space="preserve"> </w:t>
    </w:r>
    <w:r w:rsidRPr="003B00A2">
      <w:rPr>
        <w:color w:val="262626" w:themeColor="text1" w:themeTint="D9"/>
        <w:sz w:val="20"/>
        <w:szCs w:val="20"/>
        <w:lang w:val="es-ES"/>
      </w:rPr>
      <w:t xml:space="preserve">Instituto de Investigaciones Gino </w:t>
    </w:r>
    <w:proofErr w:type="spellStart"/>
    <w:r w:rsidRPr="003B00A2">
      <w:rPr>
        <w:color w:val="262626" w:themeColor="text1" w:themeTint="D9"/>
        <w:sz w:val="20"/>
        <w:szCs w:val="20"/>
        <w:lang w:val="es-ES"/>
      </w:rPr>
      <w:t>Germani</w:t>
    </w:r>
    <w:proofErr w:type="spellEnd"/>
    <w:r w:rsidRPr="003B00A2">
      <w:rPr>
        <w:color w:val="262626" w:themeColor="text1" w:themeTint="D9"/>
        <w:sz w:val="20"/>
        <w:szCs w:val="20"/>
        <w:lang w:val="es-ES"/>
      </w:rPr>
      <w:t>.</w:t>
    </w:r>
    <w:r>
      <w:rPr>
        <w:color w:val="262626" w:themeColor="text1" w:themeTint="D9"/>
        <w:sz w:val="20"/>
        <w:szCs w:val="20"/>
        <w:lang w:val="es-ES"/>
      </w:rPr>
      <w:t xml:space="preserve"> 1, 2 y 3 de Noviembre.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76ECE"/>
    <w:multiLevelType w:val="hybridMultilevel"/>
    <w:tmpl w:val="0C9636F6"/>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
    <w:nsid w:val="1B46708E"/>
    <w:multiLevelType w:val="hybridMultilevel"/>
    <w:tmpl w:val="2FEE4C4C"/>
    <w:lvl w:ilvl="0" w:tplc="266ED5BC">
      <w:start w:val="3"/>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
    <w:nsid w:val="1E684198"/>
    <w:multiLevelType w:val="hybridMultilevel"/>
    <w:tmpl w:val="BB4619A6"/>
    <w:lvl w:ilvl="0" w:tplc="B5FE4934">
      <w:start w:val="3"/>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22A30C11"/>
    <w:multiLevelType w:val="hybridMultilevel"/>
    <w:tmpl w:val="5FD623B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3AD41F15"/>
    <w:multiLevelType w:val="hybridMultilevel"/>
    <w:tmpl w:val="A606C282"/>
    <w:lvl w:ilvl="0" w:tplc="7A78CA7C">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41B90B8B"/>
    <w:multiLevelType w:val="hybridMultilevel"/>
    <w:tmpl w:val="E58CDA62"/>
    <w:lvl w:ilvl="0" w:tplc="2C0A000F">
      <w:start w:val="3"/>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6">
    <w:nsid w:val="561F2F24"/>
    <w:multiLevelType w:val="hybridMultilevel"/>
    <w:tmpl w:val="7178904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63E75D29"/>
    <w:multiLevelType w:val="multilevel"/>
    <w:tmpl w:val="459858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75382F2A"/>
    <w:multiLevelType w:val="hybridMultilevel"/>
    <w:tmpl w:val="56C05A26"/>
    <w:lvl w:ilvl="0" w:tplc="78C6A8C0">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7"/>
  </w:num>
  <w:num w:numId="2">
    <w:abstractNumId w:val="3"/>
  </w:num>
  <w:num w:numId="3">
    <w:abstractNumId w:val="2"/>
  </w:num>
  <w:num w:numId="4">
    <w:abstractNumId w:val="1"/>
  </w:num>
  <w:num w:numId="5">
    <w:abstractNumId w:val="6"/>
  </w:num>
  <w:num w:numId="6">
    <w:abstractNumId w:val="8"/>
  </w:num>
  <w:num w:numId="7">
    <w:abstractNumId w:val="4"/>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hyphenationZone w:val="425"/>
  <w:characterSpacingControl w:val="doNotCompress"/>
  <w:footnotePr>
    <w:footnote w:id="-1"/>
    <w:footnote w:id="0"/>
  </w:footnotePr>
  <w:endnotePr>
    <w:endnote w:id="-1"/>
    <w:endnote w:id="0"/>
  </w:endnotePr>
  <w:compat/>
  <w:rsids>
    <w:rsidRoot w:val="003B00A2"/>
    <w:rsid w:val="00000600"/>
    <w:rsid w:val="00005131"/>
    <w:rsid w:val="000065CC"/>
    <w:rsid w:val="00007D4A"/>
    <w:rsid w:val="00014F0A"/>
    <w:rsid w:val="00032514"/>
    <w:rsid w:val="00051BA9"/>
    <w:rsid w:val="00075467"/>
    <w:rsid w:val="00097B67"/>
    <w:rsid w:val="000A2B4B"/>
    <w:rsid w:val="000E3E03"/>
    <w:rsid w:val="001002F2"/>
    <w:rsid w:val="00115B14"/>
    <w:rsid w:val="00125A12"/>
    <w:rsid w:val="001523AB"/>
    <w:rsid w:val="001B3C8D"/>
    <w:rsid w:val="001B645C"/>
    <w:rsid w:val="001B6CDD"/>
    <w:rsid w:val="001F6684"/>
    <w:rsid w:val="00204B1B"/>
    <w:rsid w:val="0021495F"/>
    <w:rsid w:val="00260D45"/>
    <w:rsid w:val="0027101D"/>
    <w:rsid w:val="002849B7"/>
    <w:rsid w:val="00294EE4"/>
    <w:rsid w:val="00296BDF"/>
    <w:rsid w:val="002A1B9F"/>
    <w:rsid w:val="002A4968"/>
    <w:rsid w:val="002C7472"/>
    <w:rsid w:val="002D0A68"/>
    <w:rsid w:val="003347B3"/>
    <w:rsid w:val="003349AA"/>
    <w:rsid w:val="00340D3F"/>
    <w:rsid w:val="00384E85"/>
    <w:rsid w:val="003B00A2"/>
    <w:rsid w:val="003D5271"/>
    <w:rsid w:val="00423788"/>
    <w:rsid w:val="004366B3"/>
    <w:rsid w:val="00443E85"/>
    <w:rsid w:val="0044502E"/>
    <w:rsid w:val="00451055"/>
    <w:rsid w:val="0045482F"/>
    <w:rsid w:val="00473C48"/>
    <w:rsid w:val="00474015"/>
    <w:rsid w:val="004A4314"/>
    <w:rsid w:val="004B3CBA"/>
    <w:rsid w:val="004C3F12"/>
    <w:rsid w:val="004E3400"/>
    <w:rsid w:val="00500495"/>
    <w:rsid w:val="00520BDD"/>
    <w:rsid w:val="00541353"/>
    <w:rsid w:val="00552BF6"/>
    <w:rsid w:val="00571FD4"/>
    <w:rsid w:val="005746B1"/>
    <w:rsid w:val="00596466"/>
    <w:rsid w:val="005A2E46"/>
    <w:rsid w:val="005F3904"/>
    <w:rsid w:val="00625D87"/>
    <w:rsid w:val="00636571"/>
    <w:rsid w:val="0065368E"/>
    <w:rsid w:val="00664E35"/>
    <w:rsid w:val="00673D50"/>
    <w:rsid w:val="0067777D"/>
    <w:rsid w:val="006F2DBE"/>
    <w:rsid w:val="00722B08"/>
    <w:rsid w:val="00742DB3"/>
    <w:rsid w:val="007469FE"/>
    <w:rsid w:val="007717AC"/>
    <w:rsid w:val="00771D9C"/>
    <w:rsid w:val="00782474"/>
    <w:rsid w:val="007A6BCA"/>
    <w:rsid w:val="007E338C"/>
    <w:rsid w:val="007F5695"/>
    <w:rsid w:val="0080795B"/>
    <w:rsid w:val="00857300"/>
    <w:rsid w:val="00863C8A"/>
    <w:rsid w:val="008843A4"/>
    <w:rsid w:val="008922E9"/>
    <w:rsid w:val="008E1370"/>
    <w:rsid w:val="008F0474"/>
    <w:rsid w:val="008F32F9"/>
    <w:rsid w:val="008F7455"/>
    <w:rsid w:val="00910F6B"/>
    <w:rsid w:val="00931D2E"/>
    <w:rsid w:val="00932B95"/>
    <w:rsid w:val="009373DF"/>
    <w:rsid w:val="0094443C"/>
    <w:rsid w:val="0095567E"/>
    <w:rsid w:val="00982E2E"/>
    <w:rsid w:val="009910A1"/>
    <w:rsid w:val="009B0C65"/>
    <w:rsid w:val="009C483A"/>
    <w:rsid w:val="00A47D57"/>
    <w:rsid w:val="00A66105"/>
    <w:rsid w:val="00A96E4E"/>
    <w:rsid w:val="00A97814"/>
    <w:rsid w:val="00AB52B7"/>
    <w:rsid w:val="00AC3286"/>
    <w:rsid w:val="00AC7696"/>
    <w:rsid w:val="00AD31CB"/>
    <w:rsid w:val="00B105E3"/>
    <w:rsid w:val="00B1304F"/>
    <w:rsid w:val="00B502FE"/>
    <w:rsid w:val="00B53C29"/>
    <w:rsid w:val="00B747B7"/>
    <w:rsid w:val="00B766B1"/>
    <w:rsid w:val="00B93252"/>
    <w:rsid w:val="00BA16BB"/>
    <w:rsid w:val="00BB314E"/>
    <w:rsid w:val="00BC4D31"/>
    <w:rsid w:val="00BD4C6E"/>
    <w:rsid w:val="00BE0B25"/>
    <w:rsid w:val="00BE5885"/>
    <w:rsid w:val="00C03372"/>
    <w:rsid w:val="00C3318E"/>
    <w:rsid w:val="00C660D6"/>
    <w:rsid w:val="00C76A75"/>
    <w:rsid w:val="00CB4429"/>
    <w:rsid w:val="00CB66E2"/>
    <w:rsid w:val="00CB7F3E"/>
    <w:rsid w:val="00CD6790"/>
    <w:rsid w:val="00D2275D"/>
    <w:rsid w:val="00D37E1B"/>
    <w:rsid w:val="00D864C2"/>
    <w:rsid w:val="00DC1C23"/>
    <w:rsid w:val="00DC7E1E"/>
    <w:rsid w:val="00DE6DD6"/>
    <w:rsid w:val="00E0156A"/>
    <w:rsid w:val="00E01D3F"/>
    <w:rsid w:val="00E262FD"/>
    <w:rsid w:val="00E463F6"/>
    <w:rsid w:val="00E752A1"/>
    <w:rsid w:val="00EC5CEE"/>
    <w:rsid w:val="00EC7CA3"/>
    <w:rsid w:val="00EE60D2"/>
    <w:rsid w:val="00EF060C"/>
    <w:rsid w:val="00F00E48"/>
    <w:rsid w:val="00F23EEF"/>
    <w:rsid w:val="00F31457"/>
    <w:rsid w:val="00F45323"/>
    <w:rsid w:val="00F46762"/>
    <w:rsid w:val="00F5677D"/>
    <w:rsid w:val="00F925A2"/>
    <w:rsid w:val="00FA75A1"/>
    <w:rsid w:val="00FD2761"/>
    <w:rsid w:val="00FF1C76"/>
    <w:rsid w:val="00FF709D"/>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E35"/>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00A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B00A2"/>
  </w:style>
  <w:style w:type="paragraph" w:styleId="Piedepgina">
    <w:name w:val="footer"/>
    <w:basedOn w:val="Normal"/>
    <w:link w:val="PiedepginaCar"/>
    <w:uiPriority w:val="99"/>
    <w:semiHidden/>
    <w:unhideWhenUsed/>
    <w:rsid w:val="003B00A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3B00A2"/>
  </w:style>
  <w:style w:type="paragraph" w:styleId="Textodeglobo">
    <w:name w:val="Balloon Text"/>
    <w:basedOn w:val="Normal"/>
    <w:link w:val="TextodegloboCar"/>
    <w:uiPriority w:val="99"/>
    <w:semiHidden/>
    <w:unhideWhenUsed/>
    <w:rsid w:val="003B00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00A2"/>
    <w:rPr>
      <w:rFonts w:ascii="Tahoma" w:hAnsi="Tahoma" w:cs="Tahoma"/>
      <w:sz w:val="16"/>
      <w:szCs w:val="16"/>
    </w:rPr>
  </w:style>
  <w:style w:type="paragraph" w:styleId="NormalWeb">
    <w:name w:val="Normal (Web)"/>
    <w:basedOn w:val="Normal"/>
    <w:uiPriority w:val="99"/>
    <w:unhideWhenUsed/>
    <w:rsid w:val="003B00A2"/>
    <w:pPr>
      <w:spacing w:before="100" w:beforeAutospacing="1" w:after="142" w:line="288" w:lineRule="auto"/>
    </w:pPr>
    <w:rPr>
      <w:rFonts w:ascii="Times New Roman" w:eastAsia="Times New Roman" w:hAnsi="Times New Roman" w:cs="Times New Roman"/>
      <w:color w:val="000000"/>
      <w:sz w:val="24"/>
      <w:szCs w:val="24"/>
      <w:lang w:eastAsia="es-AR"/>
    </w:rPr>
  </w:style>
  <w:style w:type="character" w:styleId="Hipervnculo">
    <w:name w:val="Hyperlink"/>
    <w:basedOn w:val="Fuentedeprrafopredeter"/>
    <w:uiPriority w:val="99"/>
    <w:semiHidden/>
    <w:unhideWhenUsed/>
    <w:rsid w:val="003B00A2"/>
    <w:rPr>
      <w:color w:val="0000FF"/>
      <w:u w:val="single"/>
    </w:rPr>
  </w:style>
  <w:style w:type="paragraph" w:customStyle="1" w:styleId="western">
    <w:name w:val="western"/>
    <w:basedOn w:val="Normal"/>
    <w:rsid w:val="003B00A2"/>
    <w:pPr>
      <w:spacing w:before="100" w:beforeAutospacing="1" w:after="142" w:line="288" w:lineRule="auto"/>
    </w:pPr>
    <w:rPr>
      <w:rFonts w:ascii="Calibri" w:eastAsia="Times New Roman" w:hAnsi="Calibri" w:cs="Calibri"/>
      <w:color w:val="000000"/>
      <w:lang w:eastAsia="es-AR"/>
    </w:rPr>
  </w:style>
  <w:style w:type="paragraph" w:styleId="Prrafodelista">
    <w:name w:val="List Paragraph"/>
    <w:basedOn w:val="Normal"/>
    <w:uiPriority w:val="34"/>
    <w:qFormat/>
    <w:rsid w:val="00B766B1"/>
    <w:pPr>
      <w:ind w:left="720"/>
      <w:contextualSpacing/>
    </w:pPr>
  </w:style>
  <w:style w:type="paragraph" w:customStyle="1" w:styleId="sdfootnote-western">
    <w:name w:val="sdfootnote-western"/>
    <w:basedOn w:val="Normal"/>
    <w:rsid w:val="004A4314"/>
    <w:pPr>
      <w:spacing w:before="100" w:beforeAutospacing="1" w:after="198"/>
      <w:ind w:left="340" w:hanging="340"/>
    </w:pPr>
    <w:rPr>
      <w:rFonts w:ascii="Calibri" w:eastAsia="Times New Roman" w:hAnsi="Calibri" w:cs="Calibri"/>
      <w:color w:val="000000"/>
      <w:sz w:val="20"/>
      <w:szCs w:val="20"/>
      <w:lang w:eastAsia="es-AR"/>
    </w:rPr>
  </w:style>
  <w:style w:type="paragraph" w:styleId="Textonotapie">
    <w:name w:val="footnote text"/>
    <w:basedOn w:val="Normal"/>
    <w:link w:val="TextonotapieCar"/>
    <w:uiPriority w:val="99"/>
    <w:semiHidden/>
    <w:unhideWhenUsed/>
    <w:rsid w:val="004E340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E3400"/>
    <w:rPr>
      <w:sz w:val="20"/>
      <w:szCs w:val="20"/>
    </w:rPr>
  </w:style>
  <w:style w:type="character" w:styleId="Refdenotaalpie">
    <w:name w:val="footnote reference"/>
    <w:basedOn w:val="Fuentedeprrafopredeter"/>
    <w:uiPriority w:val="99"/>
    <w:semiHidden/>
    <w:unhideWhenUsed/>
    <w:rsid w:val="004E3400"/>
    <w:rPr>
      <w:vertAlign w:val="superscript"/>
    </w:rPr>
  </w:style>
  <w:style w:type="paragraph" w:customStyle="1" w:styleId="paragraph">
    <w:name w:val="paragraph"/>
    <w:basedOn w:val="Normal"/>
    <w:rsid w:val="00CD6790"/>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normaltextrun">
    <w:name w:val="normaltextrun"/>
    <w:basedOn w:val="Fuentedeprrafopredeter"/>
    <w:rsid w:val="00CD6790"/>
  </w:style>
  <w:style w:type="character" w:customStyle="1" w:styleId="eop">
    <w:name w:val="eop"/>
    <w:basedOn w:val="Fuentedeprrafopredeter"/>
    <w:rsid w:val="00CD6790"/>
  </w:style>
  <w:style w:type="character" w:customStyle="1" w:styleId="spellingerror">
    <w:name w:val="spellingerror"/>
    <w:basedOn w:val="Fuentedeprrafopredeter"/>
    <w:rsid w:val="00CD6790"/>
  </w:style>
</w:styles>
</file>

<file path=word/webSettings.xml><?xml version="1.0" encoding="utf-8"?>
<w:webSettings xmlns:r="http://schemas.openxmlformats.org/officeDocument/2006/relationships" xmlns:w="http://schemas.openxmlformats.org/wordprocessingml/2006/main">
  <w:divs>
    <w:div w:id="48843536">
      <w:bodyDiv w:val="1"/>
      <w:marLeft w:val="0"/>
      <w:marRight w:val="0"/>
      <w:marTop w:val="0"/>
      <w:marBottom w:val="0"/>
      <w:divBdr>
        <w:top w:val="none" w:sz="0" w:space="0" w:color="auto"/>
        <w:left w:val="none" w:sz="0" w:space="0" w:color="auto"/>
        <w:bottom w:val="none" w:sz="0" w:space="0" w:color="auto"/>
        <w:right w:val="none" w:sz="0" w:space="0" w:color="auto"/>
      </w:divBdr>
    </w:div>
    <w:div w:id="130363567">
      <w:bodyDiv w:val="1"/>
      <w:marLeft w:val="0"/>
      <w:marRight w:val="0"/>
      <w:marTop w:val="0"/>
      <w:marBottom w:val="0"/>
      <w:divBdr>
        <w:top w:val="none" w:sz="0" w:space="0" w:color="auto"/>
        <w:left w:val="none" w:sz="0" w:space="0" w:color="auto"/>
        <w:bottom w:val="none" w:sz="0" w:space="0" w:color="auto"/>
        <w:right w:val="none" w:sz="0" w:space="0" w:color="auto"/>
      </w:divBdr>
    </w:div>
    <w:div w:id="161970899">
      <w:bodyDiv w:val="1"/>
      <w:marLeft w:val="0"/>
      <w:marRight w:val="0"/>
      <w:marTop w:val="0"/>
      <w:marBottom w:val="0"/>
      <w:divBdr>
        <w:top w:val="none" w:sz="0" w:space="0" w:color="auto"/>
        <w:left w:val="none" w:sz="0" w:space="0" w:color="auto"/>
        <w:bottom w:val="none" w:sz="0" w:space="0" w:color="auto"/>
        <w:right w:val="none" w:sz="0" w:space="0" w:color="auto"/>
      </w:divBdr>
      <w:divsChild>
        <w:div w:id="968777677">
          <w:marLeft w:val="0"/>
          <w:marRight w:val="0"/>
          <w:marTop w:val="0"/>
          <w:marBottom w:val="0"/>
          <w:divBdr>
            <w:top w:val="none" w:sz="0" w:space="0" w:color="auto"/>
            <w:left w:val="none" w:sz="0" w:space="0" w:color="auto"/>
            <w:bottom w:val="none" w:sz="0" w:space="0" w:color="auto"/>
            <w:right w:val="none" w:sz="0" w:space="0" w:color="auto"/>
          </w:divBdr>
        </w:div>
        <w:div w:id="1889685293">
          <w:marLeft w:val="0"/>
          <w:marRight w:val="0"/>
          <w:marTop w:val="0"/>
          <w:marBottom w:val="0"/>
          <w:divBdr>
            <w:top w:val="none" w:sz="0" w:space="0" w:color="auto"/>
            <w:left w:val="none" w:sz="0" w:space="0" w:color="auto"/>
            <w:bottom w:val="none" w:sz="0" w:space="0" w:color="auto"/>
            <w:right w:val="none" w:sz="0" w:space="0" w:color="auto"/>
          </w:divBdr>
        </w:div>
      </w:divsChild>
    </w:div>
    <w:div w:id="333530755">
      <w:bodyDiv w:val="1"/>
      <w:marLeft w:val="0"/>
      <w:marRight w:val="0"/>
      <w:marTop w:val="0"/>
      <w:marBottom w:val="0"/>
      <w:divBdr>
        <w:top w:val="none" w:sz="0" w:space="0" w:color="auto"/>
        <w:left w:val="none" w:sz="0" w:space="0" w:color="auto"/>
        <w:bottom w:val="none" w:sz="0" w:space="0" w:color="auto"/>
        <w:right w:val="none" w:sz="0" w:space="0" w:color="auto"/>
      </w:divBdr>
    </w:div>
    <w:div w:id="345835925">
      <w:bodyDiv w:val="1"/>
      <w:marLeft w:val="0"/>
      <w:marRight w:val="0"/>
      <w:marTop w:val="0"/>
      <w:marBottom w:val="0"/>
      <w:divBdr>
        <w:top w:val="none" w:sz="0" w:space="0" w:color="auto"/>
        <w:left w:val="none" w:sz="0" w:space="0" w:color="auto"/>
        <w:bottom w:val="none" w:sz="0" w:space="0" w:color="auto"/>
        <w:right w:val="none" w:sz="0" w:space="0" w:color="auto"/>
      </w:divBdr>
    </w:div>
    <w:div w:id="523715134">
      <w:bodyDiv w:val="1"/>
      <w:marLeft w:val="0"/>
      <w:marRight w:val="0"/>
      <w:marTop w:val="0"/>
      <w:marBottom w:val="0"/>
      <w:divBdr>
        <w:top w:val="none" w:sz="0" w:space="0" w:color="auto"/>
        <w:left w:val="none" w:sz="0" w:space="0" w:color="auto"/>
        <w:bottom w:val="none" w:sz="0" w:space="0" w:color="auto"/>
        <w:right w:val="none" w:sz="0" w:space="0" w:color="auto"/>
      </w:divBdr>
      <w:divsChild>
        <w:div w:id="610937370">
          <w:marLeft w:val="0"/>
          <w:marRight w:val="0"/>
          <w:marTop w:val="0"/>
          <w:marBottom w:val="0"/>
          <w:divBdr>
            <w:top w:val="none" w:sz="0" w:space="0" w:color="auto"/>
            <w:left w:val="none" w:sz="0" w:space="0" w:color="auto"/>
            <w:bottom w:val="none" w:sz="0" w:space="0" w:color="auto"/>
            <w:right w:val="none" w:sz="0" w:space="0" w:color="auto"/>
          </w:divBdr>
        </w:div>
        <w:div w:id="778843030">
          <w:marLeft w:val="0"/>
          <w:marRight w:val="0"/>
          <w:marTop w:val="0"/>
          <w:marBottom w:val="0"/>
          <w:divBdr>
            <w:top w:val="none" w:sz="0" w:space="0" w:color="auto"/>
            <w:left w:val="none" w:sz="0" w:space="0" w:color="auto"/>
            <w:bottom w:val="none" w:sz="0" w:space="0" w:color="auto"/>
            <w:right w:val="none" w:sz="0" w:space="0" w:color="auto"/>
          </w:divBdr>
        </w:div>
      </w:divsChild>
    </w:div>
    <w:div w:id="774984472">
      <w:bodyDiv w:val="1"/>
      <w:marLeft w:val="0"/>
      <w:marRight w:val="0"/>
      <w:marTop w:val="0"/>
      <w:marBottom w:val="0"/>
      <w:divBdr>
        <w:top w:val="none" w:sz="0" w:space="0" w:color="auto"/>
        <w:left w:val="none" w:sz="0" w:space="0" w:color="auto"/>
        <w:bottom w:val="none" w:sz="0" w:space="0" w:color="auto"/>
        <w:right w:val="none" w:sz="0" w:space="0" w:color="auto"/>
      </w:divBdr>
    </w:div>
    <w:div w:id="781613855">
      <w:bodyDiv w:val="1"/>
      <w:marLeft w:val="0"/>
      <w:marRight w:val="0"/>
      <w:marTop w:val="0"/>
      <w:marBottom w:val="0"/>
      <w:divBdr>
        <w:top w:val="none" w:sz="0" w:space="0" w:color="auto"/>
        <w:left w:val="none" w:sz="0" w:space="0" w:color="auto"/>
        <w:bottom w:val="none" w:sz="0" w:space="0" w:color="auto"/>
        <w:right w:val="none" w:sz="0" w:space="0" w:color="auto"/>
      </w:divBdr>
    </w:div>
    <w:div w:id="856887068">
      <w:bodyDiv w:val="1"/>
      <w:marLeft w:val="0"/>
      <w:marRight w:val="0"/>
      <w:marTop w:val="0"/>
      <w:marBottom w:val="0"/>
      <w:divBdr>
        <w:top w:val="none" w:sz="0" w:space="0" w:color="auto"/>
        <w:left w:val="none" w:sz="0" w:space="0" w:color="auto"/>
        <w:bottom w:val="none" w:sz="0" w:space="0" w:color="auto"/>
        <w:right w:val="none" w:sz="0" w:space="0" w:color="auto"/>
      </w:divBdr>
      <w:divsChild>
        <w:div w:id="695692410">
          <w:marLeft w:val="0"/>
          <w:marRight w:val="0"/>
          <w:marTop w:val="0"/>
          <w:marBottom w:val="0"/>
          <w:divBdr>
            <w:top w:val="none" w:sz="0" w:space="0" w:color="auto"/>
            <w:left w:val="none" w:sz="0" w:space="0" w:color="auto"/>
            <w:bottom w:val="none" w:sz="0" w:space="0" w:color="auto"/>
            <w:right w:val="none" w:sz="0" w:space="0" w:color="auto"/>
          </w:divBdr>
        </w:div>
        <w:div w:id="759834808">
          <w:marLeft w:val="0"/>
          <w:marRight w:val="0"/>
          <w:marTop w:val="0"/>
          <w:marBottom w:val="0"/>
          <w:divBdr>
            <w:top w:val="none" w:sz="0" w:space="0" w:color="auto"/>
            <w:left w:val="none" w:sz="0" w:space="0" w:color="auto"/>
            <w:bottom w:val="none" w:sz="0" w:space="0" w:color="auto"/>
            <w:right w:val="none" w:sz="0" w:space="0" w:color="auto"/>
          </w:divBdr>
        </w:div>
      </w:divsChild>
    </w:div>
    <w:div w:id="915162551">
      <w:bodyDiv w:val="1"/>
      <w:marLeft w:val="0"/>
      <w:marRight w:val="0"/>
      <w:marTop w:val="0"/>
      <w:marBottom w:val="0"/>
      <w:divBdr>
        <w:top w:val="none" w:sz="0" w:space="0" w:color="auto"/>
        <w:left w:val="none" w:sz="0" w:space="0" w:color="auto"/>
        <w:bottom w:val="none" w:sz="0" w:space="0" w:color="auto"/>
        <w:right w:val="none" w:sz="0" w:space="0" w:color="auto"/>
      </w:divBdr>
      <w:divsChild>
        <w:div w:id="245579575">
          <w:marLeft w:val="0"/>
          <w:marRight w:val="0"/>
          <w:marTop w:val="0"/>
          <w:marBottom w:val="0"/>
          <w:divBdr>
            <w:top w:val="none" w:sz="0" w:space="0" w:color="auto"/>
            <w:left w:val="none" w:sz="0" w:space="0" w:color="auto"/>
            <w:bottom w:val="none" w:sz="0" w:space="0" w:color="auto"/>
            <w:right w:val="none" w:sz="0" w:space="0" w:color="auto"/>
          </w:divBdr>
        </w:div>
      </w:divsChild>
    </w:div>
    <w:div w:id="1001665495">
      <w:bodyDiv w:val="1"/>
      <w:marLeft w:val="0"/>
      <w:marRight w:val="0"/>
      <w:marTop w:val="0"/>
      <w:marBottom w:val="0"/>
      <w:divBdr>
        <w:top w:val="none" w:sz="0" w:space="0" w:color="auto"/>
        <w:left w:val="none" w:sz="0" w:space="0" w:color="auto"/>
        <w:bottom w:val="none" w:sz="0" w:space="0" w:color="auto"/>
        <w:right w:val="none" w:sz="0" w:space="0" w:color="auto"/>
      </w:divBdr>
    </w:div>
    <w:div w:id="1030689436">
      <w:bodyDiv w:val="1"/>
      <w:marLeft w:val="0"/>
      <w:marRight w:val="0"/>
      <w:marTop w:val="0"/>
      <w:marBottom w:val="0"/>
      <w:divBdr>
        <w:top w:val="none" w:sz="0" w:space="0" w:color="auto"/>
        <w:left w:val="none" w:sz="0" w:space="0" w:color="auto"/>
        <w:bottom w:val="none" w:sz="0" w:space="0" w:color="auto"/>
        <w:right w:val="none" w:sz="0" w:space="0" w:color="auto"/>
      </w:divBdr>
    </w:div>
    <w:div w:id="1225330890">
      <w:bodyDiv w:val="1"/>
      <w:marLeft w:val="0"/>
      <w:marRight w:val="0"/>
      <w:marTop w:val="0"/>
      <w:marBottom w:val="0"/>
      <w:divBdr>
        <w:top w:val="none" w:sz="0" w:space="0" w:color="auto"/>
        <w:left w:val="none" w:sz="0" w:space="0" w:color="auto"/>
        <w:bottom w:val="none" w:sz="0" w:space="0" w:color="auto"/>
        <w:right w:val="none" w:sz="0" w:space="0" w:color="auto"/>
      </w:divBdr>
    </w:div>
    <w:div w:id="1235971355">
      <w:bodyDiv w:val="1"/>
      <w:marLeft w:val="0"/>
      <w:marRight w:val="0"/>
      <w:marTop w:val="0"/>
      <w:marBottom w:val="0"/>
      <w:divBdr>
        <w:top w:val="none" w:sz="0" w:space="0" w:color="auto"/>
        <w:left w:val="none" w:sz="0" w:space="0" w:color="auto"/>
        <w:bottom w:val="none" w:sz="0" w:space="0" w:color="auto"/>
        <w:right w:val="none" w:sz="0" w:space="0" w:color="auto"/>
      </w:divBdr>
      <w:divsChild>
        <w:div w:id="670135525">
          <w:marLeft w:val="0"/>
          <w:marRight w:val="0"/>
          <w:marTop w:val="0"/>
          <w:marBottom w:val="0"/>
          <w:divBdr>
            <w:top w:val="none" w:sz="0" w:space="0" w:color="auto"/>
            <w:left w:val="none" w:sz="0" w:space="0" w:color="auto"/>
            <w:bottom w:val="none" w:sz="0" w:space="0" w:color="auto"/>
            <w:right w:val="none" w:sz="0" w:space="0" w:color="auto"/>
          </w:divBdr>
        </w:div>
        <w:div w:id="727189560">
          <w:marLeft w:val="0"/>
          <w:marRight w:val="0"/>
          <w:marTop w:val="0"/>
          <w:marBottom w:val="0"/>
          <w:divBdr>
            <w:top w:val="none" w:sz="0" w:space="0" w:color="auto"/>
            <w:left w:val="none" w:sz="0" w:space="0" w:color="auto"/>
            <w:bottom w:val="none" w:sz="0" w:space="0" w:color="auto"/>
            <w:right w:val="none" w:sz="0" w:space="0" w:color="auto"/>
          </w:divBdr>
        </w:div>
        <w:div w:id="1605264064">
          <w:marLeft w:val="0"/>
          <w:marRight w:val="0"/>
          <w:marTop w:val="0"/>
          <w:marBottom w:val="0"/>
          <w:divBdr>
            <w:top w:val="none" w:sz="0" w:space="0" w:color="auto"/>
            <w:left w:val="none" w:sz="0" w:space="0" w:color="auto"/>
            <w:bottom w:val="none" w:sz="0" w:space="0" w:color="auto"/>
            <w:right w:val="none" w:sz="0" w:space="0" w:color="auto"/>
          </w:divBdr>
        </w:div>
        <w:div w:id="1965034856">
          <w:marLeft w:val="0"/>
          <w:marRight w:val="0"/>
          <w:marTop w:val="0"/>
          <w:marBottom w:val="0"/>
          <w:divBdr>
            <w:top w:val="none" w:sz="0" w:space="0" w:color="auto"/>
            <w:left w:val="none" w:sz="0" w:space="0" w:color="auto"/>
            <w:bottom w:val="none" w:sz="0" w:space="0" w:color="auto"/>
            <w:right w:val="none" w:sz="0" w:space="0" w:color="auto"/>
          </w:divBdr>
        </w:div>
      </w:divsChild>
    </w:div>
    <w:div w:id="1255750852">
      <w:bodyDiv w:val="1"/>
      <w:marLeft w:val="0"/>
      <w:marRight w:val="0"/>
      <w:marTop w:val="0"/>
      <w:marBottom w:val="0"/>
      <w:divBdr>
        <w:top w:val="none" w:sz="0" w:space="0" w:color="auto"/>
        <w:left w:val="none" w:sz="0" w:space="0" w:color="auto"/>
        <w:bottom w:val="none" w:sz="0" w:space="0" w:color="auto"/>
        <w:right w:val="none" w:sz="0" w:space="0" w:color="auto"/>
      </w:divBdr>
      <w:divsChild>
        <w:div w:id="1383866902">
          <w:marLeft w:val="0"/>
          <w:marRight w:val="0"/>
          <w:marTop w:val="0"/>
          <w:marBottom w:val="0"/>
          <w:divBdr>
            <w:top w:val="none" w:sz="0" w:space="0" w:color="auto"/>
            <w:left w:val="none" w:sz="0" w:space="0" w:color="auto"/>
            <w:bottom w:val="none" w:sz="0" w:space="0" w:color="auto"/>
            <w:right w:val="none" w:sz="0" w:space="0" w:color="auto"/>
          </w:divBdr>
        </w:div>
        <w:div w:id="968390686">
          <w:marLeft w:val="0"/>
          <w:marRight w:val="0"/>
          <w:marTop w:val="0"/>
          <w:marBottom w:val="0"/>
          <w:divBdr>
            <w:top w:val="none" w:sz="0" w:space="0" w:color="auto"/>
            <w:left w:val="none" w:sz="0" w:space="0" w:color="auto"/>
            <w:bottom w:val="none" w:sz="0" w:space="0" w:color="auto"/>
            <w:right w:val="none" w:sz="0" w:space="0" w:color="auto"/>
          </w:divBdr>
        </w:div>
      </w:divsChild>
    </w:div>
    <w:div w:id="1285966744">
      <w:bodyDiv w:val="1"/>
      <w:marLeft w:val="0"/>
      <w:marRight w:val="0"/>
      <w:marTop w:val="0"/>
      <w:marBottom w:val="0"/>
      <w:divBdr>
        <w:top w:val="none" w:sz="0" w:space="0" w:color="auto"/>
        <w:left w:val="none" w:sz="0" w:space="0" w:color="auto"/>
        <w:bottom w:val="none" w:sz="0" w:space="0" w:color="auto"/>
        <w:right w:val="none" w:sz="0" w:space="0" w:color="auto"/>
      </w:divBdr>
    </w:div>
    <w:div w:id="1367832126">
      <w:bodyDiv w:val="1"/>
      <w:marLeft w:val="0"/>
      <w:marRight w:val="0"/>
      <w:marTop w:val="0"/>
      <w:marBottom w:val="0"/>
      <w:divBdr>
        <w:top w:val="none" w:sz="0" w:space="0" w:color="auto"/>
        <w:left w:val="none" w:sz="0" w:space="0" w:color="auto"/>
        <w:bottom w:val="none" w:sz="0" w:space="0" w:color="auto"/>
        <w:right w:val="none" w:sz="0" w:space="0" w:color="auto"/>
      </w:divBdr>
      <w:divsChild>
        <w:div w:id="142623869">
          <w:marLeft w:val="0"/>
          <w:marRight w:val="0"/>
          <w:marTop w:val="0"/>
          <w:marBottom w:val="0"/>
          <w:divBdr>
            <w:top w:val="none" w:sz="0" w:space="0" w:color="auto"/>
            <w:left w:val="none" w:sz="0" w:space="0" w:color="auto"/>
            <w:bottom w:val="none" w:sz="0" w:space="0" w:color="auto"/>
            <w:right w:val="none" w:sz="0" w:space="0" w:color="auto"/>
          </w:divBdr>
        </w:div>
        <w:div w:id="96951788">
          <w:marLeft w:val="0"/>
          <w:marRight w:val="0"/>
          <w:marTop w:val="0"/>
          <w:marBottom w:val="0"/>
          <w:divBdr>
            <w:top w:val="none" w:sz="0" w:space="0" w:color="auto"/>
            <w:left w:val="none" w:sz="0" w:space="0" w:color="auto"/>
            <w:bottom w:val="none" w:sz="0" w:space="0" w:color="auto"/>
            <w:right w:val="none" w:sz="0" w:space="0" w:color="auto"/>
          </w:divBdr>
        </w:div>
      </w:divsChild>
    </w:div>
    <w:div w:id="1370036246">
      <w:bodyDiv w:val="1"/>
      <w:marLeft w:val="0"/>
      <w:marRight w:val="0"/>
      <w:marTop w:val="0"/>
      <w:marBottom w:val="0"/>
      <w:divBdr>
        <w:top w:val="none" w:sz="0" w:space="0" w:color="auto"/>
        <w:left w:val="none" w:sz="0" w:space="0" w:color="auto"/>
        <w:bottom w:val="none" w:sz="0" w:space="0" w:color="auto"/>
        <w:right w:val="none" w:sz="0" w:space="0" w:color="auto"/>
      </w:divBdr>
    </w:div>
    <w:div w:id="1391540151">
      <w:bodyDiv w:val="1"/>
      <w:marLeft w:val="0"/>
      <w:marRight w:val="0"/>
      <w:marTop w:val="0"/>
      <w:marBottom w:val="0"/>
      <w:divBdr>
        <w:top w:val="none" w:sz="0" w:space="0" w:color="auto"/>
        <w:left w:val="none" w:sz="0" w:space="0" w:color="auto"/>
        <w:bottom w:val="none" w:sz="0" w:space="0" w:color="auto"/>
        <w:right w:val="none" w:sz="0" w:space="0" w:color="auto"/>
      </w:divBdr>
    </w:div>
    <w:div w:id="1403330567">
      <w:bodyDiv w:val="1"/>
      <w:marLeft w:val="0"/>
      <w:marRight w:val="0"/>
      <w:marTop w:val="0"/>
      <w:marBottom w:val="0"/>
      <w:divBdr>
        <w:top w:val="none" w:sz="0" w:space="0" w:color="auto"/>
        <w:left w:val="none" w:sz="0" w:space="0" w:color="auto"/>
        <w:bottom w:val="none" w:sz="0" w:space="0" w:color="auto"/>
        <w:right w:val="none" w:sz="0" w:space="0" w:color="auto"/>
      </w:divBdr>
    </w:div>
    <w:div w:id="1436172329">
      <w:bodyDiv w:val="1"/>
      <w:marLeft w:val="0"/>
      <w:marRight w:val="0"/>
      <w:marTop w:val="0"/>
      <w:marBottom w:val="0"/>
      <w:divBdr>
        <w:top w:val="none" w:sz="0" w:space="0" w:color="auto"/>
        <w:left w:val="none" w:sz="0" w:space="0" w:color="auto"/>
        <w:bottom w:val="none" w:sz="0" w:space="0" w:color="auto"/>
        <w:right w:val="none" w:sz="0" w:space="0" w:color="auto"/>
      </w:divBdr>
    </w:div>
    <w:div w:id="1439637343">
      <w:bodyDiv w:val="1"/>
      <w:marLeft w:val="0"/>
      <w:marRight w:val="0"/>
      <w:marTop w:val="0"/>
      <w:marBottom w:val="0"/>
      <w:divBdr>
        <w:top w:val="none" w:sz="0" w:space="0" w:color="auto"/>
        <w:left w:val="none" w:sz="0" w:space="0" w:color="auto"/>
        <w:bottom w:val="none" w:sz="0" w:space="0" w:color="auto"/>
        <w:right w:val="none" w:sz="0" w:space="0" w:color="auto"/>
      </w:divBdr>
    </w:div>
    <w:div w:id="1541816977">
      <w:bodyDiv w:val="1"/>
      <w:marLeft w:val="0"/>
      <w:marRight w:val="0"/>
      <w:marTop w:val="0"/>
      <w:marBottom w:val="0"/>
      <w:divBdr>
        <w:top w:val="none" w:sz="0" w:space="0" w:color="auto"/>
        <w:left w:val="none" w:sz="0" w:space="0" w:color="auto"/>
        <w:bottom w:val="none" w:sz="0" w:space="0" w:color="auto"/>
        <w:right w:val="none" w:sz="0" w:space="0" w:color="auto"/>
      </w:divBdr>
    </w:div>
    <w:div w:id="1601795062">
      <w:bodyDiv w:val="1"/>
      <w:marLeft w:val="0"/>
      <w:marRight w:val="0"/>
      <w:marTop w:val="0"/>
      <w:marBottom w:val="0"/>
      <w:divBdr>
        <w:top w:val="none" w:sz="0" w:space="0" w:color="auto"/>
        <w:left w:val="none" w:sz="0" w:space="0" w:color="auto"/>
        <w:bottom w:val="none" w:sz="0" w:space="0" w:color="auto"/>
        <w:right w:val="none" w:sz="0" w:space="0" w:color="auto"/>
      </w:divBdr>
    </w:div>
    <w:div w:id="1658073597">
      <w:bodyDiv w:val="1"/>
      <w:marLeft w:val="0"/>
      <w:marRight w:val="0"/>
      <w:marTop w:val="0"/>
      <w:marBottom w:val="0"/>
      <w:divBdr>
        <w:top w:val="none" w:sz="0" w:space="0" w:color="auto"/>
        <w:left w:val="none" w:sz="0" w:space="0" w:color="auto"/>
        <w:bottom w:val="none" w:sz="0" w:space="0" w:color="auto"/>
        <w:right w:val="none" w:sz="0" w:space="0" w:color="auto"/>
      </w:divBdr>
      <w:divsChild>
        <w:div w:id="155465245">
          <w:marLeft w:val="0"/>
          <w:marRight w:val="0"/>
          <w:marTop w:val="0"/>
          <w:marBottom w:val="0"/>
          <w:divBdr>
            <w:top w:val="none" w:sz="0" w:space="0" w:color="auto"/>
            <w:left w:val="none" w:sz="0" w:space="0" w:color="auto"/>
            <w:bottom w:val="none" w:sz="0" w:space="0" w:color="auto"/>
            <w:right w:val="none" w:sz="0" w:space="0" w:color="auto"/>
          </w:divBdr>
        </w:div>
        <w:div w:id="275794824">
          <w:marLeft w:val="0"/>
          <w:marRight w:val="0"/>
          <w:marTop w:val="0"/>
          <w:marBottom w:val="0"/>
          <w:divBdr>
            <w:top w:val="none" w:sz="0" w:space="0" w:color="auto"/>
            <w:left w:val="none" w:sz="0" w:space="0" w:color="auto"/>
            <w:bottom w:val="none" w:sz="0" w:space="0" w:color="auto"/>
            <w:right w:val="none" w:sz="0" w:space="0" w:color="auto"/>
          </w:divBdr>
        </w:div>
        <w:div w:id="1309626783">
          <w:marLeft w:val="0"/>
          <w:marRight w:val="0"/>
          <w:marTop w:val="0"/>
          <w:marBottom w:val="0"/>
          <w:divBdr>
            <w:top w:val="none" w:sz="0" w:space="0" w:color="auto"/>
            <w:left w:val="none" w:sz="0" w:space="0" w:color="auto"/>
            <w:bottom w:val="none" w:sz="0" w:space="0" w:color="auto"/>
            <w:right w:val="none" w:sz="0" w:space="0" w:color="auto"/>
          </w:divBdr>
        </w:div>
      </w:divsChild>
    </w:div>
    <w:div w:id="1669481319">
      <w:bodyDiv w:val="1"/>
      <w:marLeft w:val="0"/>
      <w:marRight w:val="0"/>
      <w:marTop w:val="0"/>
      <w:marBottom w:val="0"/>
      <w:divBdr>
        <w:top w:val="none" w:sz="0" w:space="0" w:color="auto"/>
        <w:left w:val="none" w:sz="0" w:space="0" w:color="auto"/>
        <w:bottom w:val="none" w:sz="0" w:space="0" w:color="auto"/>
        <w:right w:val="none" w:sz="0" w:space="0" w:color="auto"/>
      </w:divBdr>
    </w:div>
    <w:div w:id="1671251917">
      <w:bodyDiv w:val="1"/>
      <w:marLeft w:val="0"/>
      <w:marRight w:val="0"/>
      <w:marTop w:val="0"/>
      <w:marBottom w:val="0"/>
      <w:divBdr>
        <w:top w:val="none" w:sz="0" w:space="0" w:color="auto"/>
        <w:left w:val="none" w:sz="0" w:space="0" w:color="auto"/>
        <w:bottom w:val="none" w:sz="0" w:space="0" w:color="auto"/>
        <w:right w:val="none" w:sz="0" w:space="0" w:color="auto"/>
      </w:divBdr>
    </w:div>
    <w:div w:id="1702049481">
      <w:bodyDiv w:val="1"/>
      <w:marLeft w:val="0"/>
      <w:marRight w:val="0"/>
      <w:marTop w:val="0"/>
      <w:marBottom w:val="0"/>
      <w:divBdr>
        <w:top w:val="none" w:sz="0" w:space="0" w:color="auto"/>
        <w:left w:val="none" w:sz="0" w:space="0" w:color="auto"/>
        <w:bottom w:val="none" w:sz="0" w:space="0" w:color="auto"/>
        <w:right w:val="none" w:sz="0" w:space="0" w:color="auto"/>
      </w:divBdr>
    </w:div>
    <w:div w:id="1875842750">
      <w:bodyDiv w:val="1"/>
      <w:marLeft w:val="0"/>
      <w:marRight w:val="0"/>
      <w:marTop w:val="0"/>
      <w:marBottom w:val="0"/>
      <w:divBdr>
        <w:top w:val="none" w:sz="0" w:space="0" w:color="auto"/>
        <w:left w:val="none" w:sz="0" w:space="0" w:color="auto"/>
        <w:bottom w:val="none" w:sz="0" w:space="0" w:color="auto"/>
        <w:right w:val="none" w:sz="0" w:space="0" w:color="auto"/>
      </w:divBdr>
      <w:divsChild>
        <w:div w:id="1742024405">
          <w:marLeft w:val="0"/>
          <w:marRight w:val="0"/>
          <w:marTop w:val="0"/>
          <w:marBottom w:val="0"/>
          <w:divBdr>
            <w:top w:val="none" w:sz="0" w:space="0" w:color="auto"/>
            <w:left w:val="none" w:sz="0" w:space="0" w:color="auto"/>
            <w:bottom w:val="none" w:sz="0" w:space="0" w:color="auto"/>
            <w:right w:val="none" w:sz="0" w:space="0" w:color="auto"/>
          </w:divBdr>
        </w:div>
        <w:div w:id="1192691438">
          <w:marLeft w:val="0"/>
          <w:marRight w:val="0"/>
          <w:marTop w:val="0"/>
          <w:marBottom w:val="0"/>
          <w:divBdr>
            <w:top w:val="none" w:sz="0" w:space="0" w:color="auto"/>
            <w:left w:val="none" w:sz="0" w:space="0" w:color="auto"/>
            <w:bottom w:val="none" w:sz="0" w:space="0" w:color="auto"/>
            <w:right w:val="none" w:sz="0" w:space="0" w:color="auto"/>
          </w:divBdr>
        </w:div>
      </w:divsChild>
    </w:div>
    <w:div w:id="1913810990">
      <w:bodyDiv w:val="1"/>
      <w:marLeft w:val="0"/>
      <w:marRight w:val="0"/>
      <w:marTop w:val="0"/>
      <w:marBottom w:val="0"/>
      <w:divBdr>
        <w:top w:val="none" w:sz="0" w:space="0" w:color="auto"/>
        <w:left w:val="none" w:sz="0" w:space="0" w:color="auto"/>
        <w:bottom w:val="none" w:sz="0" w:space="0" w:color="auto"/>
        <w:right w:val="none" w:sz="0" w:space="0" w:color="auto"/>
      </w:divBdr>
    </w:div>
    <w:div w:id="1923249465">
      <w:bodyDiv w:val="1"/>
      <w:marLeft w:val="0"/>
      <w:marRight w:val="0"/>
      <w:marTop w:val="0"/>
      <w:marBottom w:val="0"/>
      <w:divBdr>
        <w:top w:val="none" w:sz="0" w:space="0" w:color="auto"/>
        <w:left w:val="none" w:sz="0" w:space="0" w:color="auto"/>
        <w:bottom w:val="none" w:sz="0" w:space="0" w:color="auto"/>
        <w:right w:val="none" w:sz="0" w:space="0" w:color="auto"/>
      </w:divBdr>
    </w:div>
    <w:div w:id="1990858585">
      <w:bodyDiv w:val="1"/>
      <w:marLeft w:val="0"/>
      <w:marRight w:val="0"/>
      <w:marTop w:val="0"/>
      <w:marBottom w:val="0"/>
      <w:divBdr>
        <w:top w:val="none" w:sz="0" w:space="0" w:color="auto"/>
        <w:left w:val="none" w:sz="0" w:space="0" w:color="auto"/>
        <w:bottom w:val="none" w:sz="0" w:space="0" w:color="auto"/>
        <w:right w:val="none" w:sz="0" w:space="0" w:color="auto"/>
      </w:divBdr>
    </w:div>
    <w:div w:id="2032143817">
      <w:bodyDiv w:val="1"/>
      <w:marLeft w:val="0"/>
      <w:marRight w:val="0"/>
      <w:marTop w:val="0"/>
      <w:marBottom w:val="0"/>
      <w:divBdr>
        <w:top w:val="none" w:sz="0" w:space="0" w:color="auto"/>
        <w:left w:val="none" w:sz="0" w:space="0" w:color="auto"/>
        <w:bottom w:val="none" w:sz="0" w:space="0" w:color="auto"/>
        <w:right w:val="none" w:sz="0" w:space="0" w:color="auto"/>
      </w:divBdr>
    </w:div>
    <w:div w:id="2060324354">
      <w:bodyDiv w:val="1"/>
      <w:marLeft w:val="0"/>
      <w:marRight w:val="0"/>
      <w:marTop w:val="0"/>
      <w:marBottom w:val="0"/>
      <w:divBdr>
        <w:top w:val="none" w:sz="0" w:space="0" w:color="auto"/>
        <w:left w:val="none" w:sz="0" w:space="0" w:color="auto"/>
        <w:bottom w:val="none" w:sz="0" w:space="0" w:color="auto"/>
        <w:right w:val="none" w:sz="0" w:space="0" w:color="auto"/>
      </w:divBdr>
      <w:divsChild>
        <w:div w:id="1852327967">
          <w:marLeft w:val="0"/>
          <w:marRight w:val="0"/>
          <w:marTop w:val="0"/>
          <w:marBottom w:val="0"/>
          <w:divBdr>
            <w:top w:val="none" w:sz="0" w:space="0" w:color="auto"/>
            <w:left w:val="none" w:sz="0" w:space="0" w:color="auto"/>
            <w:bottom w:val="none" w:sz="0" w:space="0" w:color="auto"/>
            <w:right w:val="none" w:sz="0" w:space="0" w:color="auto"/>
          </w:divBdr>
        </w:div>
      </w:divsChild>
    </w:div>
    <w:div w:id="2120222678">
      <w:bodyDiv w:val="1"/>
      <w:marLeft w:val="0"/>
      <w:marRight w:val="0"/>
      <w:marTop w:val="0"/>
      <w:marBottom w:val="0"/>
      <w:divBdr>
        <w:top w:val="none" w:sz="0" w:space="0" w:color="auto"/>
        <w:left w:val="none" w:sz="0" w:space="0" w:color="auto"/>
        <w:bottom w:val="none" w:sz="0" w:space="0" w:color="auto"/>
        <w:right w:val="none" w:sz="0" w:space="0" w:color="auto"/>
      </w:divBdr>
      <w:divsChild>
        <w:div w:id="1468275378">
          <w:marLeft w:val="0"/>
          <w:marRight w:val="0"/>
          <w:marTop w:val="0"/>
          <w:marBottom w:val="0"/>
          <w:divBdr>
            <w:top w:val="none" w:sz="0" w:space="0" w:color="auto"/>
            <w:left w:val="none" w:sz="0" w:space="0" w:color="auto"/>
            <w:bottom w:val="none" w:sz="0" w:space="0" w:color="auto"/>
            <w:right w:val="none" w:sz="0" w:space="0" w:color="auto"/>
          </w:divBdr>
        </w:div>
        <w:div w:id="793671462">
          <w:marLeft w:val="0"/>
          <w:marRight w:val="0"/>
          <w:marTop w:val="0"/>
          <w:marBottom w:val="0"/>
          <w:divBdr>
            <w:top w:val="none" w:sz="0" w:space="0" w:color="auto"/>
            <w:left w:val="none" w:sz="0" w:space="0" w:color="auto"/>
            <w:bottom w:val="none" w:sz="0" w:space="0" w:color="auto"/>
            <w:right w:val="none" w:sz="0" w:space="0" w:color="auto"/>
          </w:divBdr>
        </w:div>
        <w:div w:id="711806564">
          <w:marLeft w:val="0"/>
          <w:marRight w:val="0"/>
          <w:marTop w:val="0"/>
          <w:marBottom w:val="0"/>
          <w:divBdr>
            <w:top w:val="none" w:sz="0" w:space="0" w:color="auto"/>
            <w:left w:val="none" w:sz="0" w:space="0" w:color="auto"/>
            <w:bottom w:val="none" w:sz="0" w:space="0" w:color="auto"/>
            <w:right w:val="none" w:sz="0" w:space="0" w:color="auto"/>
          </w:divBdr>
        </w:div>
        <w:div w:id="1629823635">
          <w:marLeft w:val="0"/>
          <w:marRight w:val="0"/>
          <w:marTop w:val="0"/>
          <w:marBottom w:val="0"/>
          <w:divBdr>
            <w:top w:val="none" w:sz="0" w:space="0" w:color="auto"/>
            <w:left w:val="none" w:sz="0" w:space="0" w:color="auto"/>
            <w:bottom w:val="none" w:sz="0" w:space="0" w:color="auto"/>
            <w:right w:val="none" w:sz="0" w:space="0" w:color="auto"/>
          </w:divBdr>
        </w:div>
        <w:div w:id="1905870257">
          <w:marLeft w:val="0"/>
          <w:marRight w:val="0"/>
          <w:marTop w:val="0"/>
          <w:marBottom w:val="0"/>
          <w:divBdr>
            <w:top w:val="none" w:sz="0" w:space="0" w:color="auto"/>
            <w:left w:val="none" w:sz="0" w:space="0" w:color="auto"/>
            <w:bottom w:val="none" w:sz="0" w:space="0" w:color="auto"/>
            <w:right w:val="none" w:sz="0" w:space="0" w:color="auto"/>
          </w:divBdr>
        </w:div>
        <w:div w:id="758912321">
          <w:marLeft w:val="0"/>
          <w:marRight w:val="0"/>
          <w:marTop w:val="0"/>
          <w:marBottom w:val="0"/>
          <w:divBdr>
            <w:top w:val="none" w:sz="0" w:space="0" w:color="auto"/>
            <w:left w:val="none" w:sz="0" w:space="0" w:color="auto"/>
            <w:bottom w:val="none" w:sz="0" w:space="0" w:color="auto"/>
            <w:right w:val="none" w:sz="0" w:space="0" w:color="auto"/>
          </w:divBdr>
        </w:div>
        <w:div w:id="1766876535">
          <w:marLeft w:val="0"/>
          <w:marRight w:val="0"/>
          <w:marTop w:val="0"/>
          <w:marBottom w:val="0"/>
          <w:divBdr>
            <w:top w:val="none" w:sz="0" w:space="0" w:color="auto"/>
            <w:left w:val="none" w:sz="0" w:space="0" w:color="auto"/>
            <w:bottom w:val="none" w:sz="0" w:space="0" w:color="auto"/>
            <w:right w:val="none" w:sz="0" w:space="0" w:color="auto"/>
          </w:divBdr>
        </w:div>
        <w:div w:id="599413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iana.lijterman@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757BDD-A0D2-4CAC-9AC2-59AA37D69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1204</TotalTime>
  <Pages>22</Pages>
  <Words>9623</Words>
  <Characters>52932</Characters>
  <Application>Microsoft Office Word</Application>
  <DocSecurity>0</DocSecurity>
  <Lines>441</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Eliana Lijterman</dc:creator>
  <cp:lastModifiedBy>Eliana Lijterman</cp:lastModifiedBy>
  <cp:revision>58</cp:revision>
  <dcterms:created xsi:type="dcterms:W3CDTF">2017-08-18T15:52:00Z</dcterms:created>
  <dcterms:modified xsi:type="dcterms:W3CDTF">2017-08-21T14:30:00Z</dcterms:modified>
</cp:coreProperties>
</file>