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80"/>
          <w:szCs w:val="80"/>
          <w:lang w:eastAsia="es-ES"/>
        </w:rPr>
        <w:id w:val="1655870731"/>
        <w:docPartObj>
          <w:docPartGallery w:val="Cover Pages"/>
          <w:docPartUnique/>
        </w:docPartObj>
      </w:sdtPr>
      <w:sdtEndPr>
        <w:rPr>
          <w:rFonts w:ascii="Times New Roman" w:eastAsiaTheme="minorHAnsi" w:hAnsi="Times New Roman" w:cs="Times New Roman"/>
          <w:sz w:val="24"/>
          <w:szCs w:val="22"/>
          <w:lang w:eastAsia="en-US"/>
        </w:rPr>
      </w:sdtEndPr>
      <w:sdtContent>
        <w:p w:rsidR="00D225DF" w:rsidRDefault="00D225DF" w:rsidP="00D225DF">
          <w:pPr>
            <w:jc w:val="center"/>
          </w:pPr>
        </w:p>
        <w:p w:rsidR="00D225DF" w:rsidRDefault="00D225DF" w:rsidP="00D225DF"/>
        <w:p w:rsidR="00D225DF" w:rsidRDefault="00D225DF" w:rsidP="00D225DF"/>
        <w:p w:rsidR="00D225DF" w:rsidRDefault="00D225DF" w:rsidP="00D225DF">
          <w:pPr>
            <w:rPr>
              <w:rFonts w:ascii="Times New Roman" w:hAnsi="Times New Roman" w:cs="Times New Roman"/>
              <w:sz w:val="24"/>
            </w:rPr>
          </w:pPr>
          <w:r>
            <w:rPr>
              <w:noProof/>
              <w:lang w:eastAsia="es-ES"/>
            </w:rPr>
            <mc:AlternateContent>
              <mc:Choice Requires="wps">
                <w:drawing>
                  <wp:anchor distT="0" distB="0" distL="114300" distR="114300" simplePos="0" relativeHeight="251659264" behindDoc="0" locked="0" layoutInCell="1" allowOverlap="1" wp14:anchorId="4305FD9D" wp14:editId="57DF4AD9">
                    <wp:simplePos x="0" y="0"/>
                    <wp:positionH relativeFrom="column">
                      <wp:posOffset>390856</wp:posOffset>
                    </wp:positionH>
                    <wp:positionV relativeFrom="paragraph">
                      <wp:posOffset>1152056</wp:posOffset>
                    </wp:positionV>
                    <wp:extent cx="5098774" cy="3558208"/>
                    <wp:effectExtent l="19050" t="19050" r="26035" b="23495"/>
                    <wp:wrapNone/>
                    <wp:docPr id="3" name="3 Cuadro de texto"/>
                    <wp:cNvGraphicFramePr/>
                    <a:graphic xmlns:a="http://schemas.openxmlformats.org/drawingml/2006/main">
                      <a:graphicData uri="http://schemas.microsoft.com/office/word/2010/wordprocessingShape">
                        <wps:wsp>
                          <wps:cNvSpPr txBox="1"/>
                          <wps:spPr>
                            <a:xfrm>
                              <a:off x="0" y="0"/>
                              <a:ext cx="5098774" cy="3558208"/>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D225DF" w:rsidRDefault="00D225DF" w:rsidP="00D225DF">
                                <w:pPr>
                                  <w:spacing w:line="240" w:lineRule="auto"/>
                                  <w:jc w:val="both"/>
                                  <w:rPr>
                                    <w:rFonts w:ascii="Times New Roman" w:eastAsia="Times New Roman" w:hAnsi="Times New Roman" w:cs="Times New Roman"/>
                                    <w:color w:val="000000"/>
                                    <w:sz w:val="24"/>
                                    <w:szCs w:val="24"/>
                                    <w:lang w:eastAsia="es-ES"/>
                                  </w:rPr>
                                </w:pPr>
                                <w:r w:rsidRPr="000112CC">
                                  <w:rPr>
                                    <w:rFonts w:ascii="Times New Roman" w:eastAsia="Times New Roman" w:hAnsi="Times New Roman" w:cs="Times New Roman"/>
                                    <w:b/>
                                    <w:bCs/>
                                    <w:color w:val="000000"/>
                                    <w:sz w:val="24"/>
                                    <w:szCs w:val="24"/>
                                    <w:lang w:eastAsia="es-ES"/>
                                  </w:rPr>
                                  <w:t xml:space="preserve">Título: </w:t>
                                </w:r>
                                <w:r w:rsidRPr="000112CC">
                                  <w:rPr>
                                    <w:rFonts w:ascii="Times New Roman" w:eastAsia="Times New Roman" w:hAnsi="Times New Roman" w:cs="Times New Roman"/>
                                    <w:color w:val="000000"/>
                                    <w:sz w:val="24"/>
                                    <w:szCs w:val="24"/>
                                    <w:lang w:eastAsia="es-ES"/>
                                  </w:rPr>
                                  <w:t>“La obediencia como política pública. Análisis de la ley de Obediencia Debida desde el enfoque de las corrientes múltiples”</w:t>
                                </w:r>
                              </w:p>
                              <w:p w:rsidR="00D225DF" w:rsidRPr="000112CC" w:rsidRDefault="00D225DF" w:rsidP="00D225DF">
                                <w:pPr>
                                  <w:spacing w:line="240" w:lineRule="auto"/>
                                  <w:jc w:val="both"/>
                                  <w:rPr>
                                    <w:rFonts w:ascii="Times New Roman" w:eastAsia="Times New Roman" w:hAnsi="Times New Roman" w:cs="Times New Roman"/>
                                    <w:sz w:val="24"/>
                                    <w:szCs w:val="24"/>
                                    <w:lang w:eastAsia="es-ES"/>
                                  </w:rPr>
                                </w:pPr>
                                <w:r w:rsidRPr="000112CC">
                                  <w:rPr>
                                    <w:rFonts w:ascii="Times New Roman" w:eastAsia="Times New Roman" w:hAnsi="Times New Roman" w:cs="Times New Roman"/>
                                    <w:b/>
                                    <w:bCs/>
                                    <w:color w:val="000000"/>
                                    <w:sz w:val="24"/>
                                    <w:szCs w:val="24"/>
                                    <w:lang w:eastAsia="es-ES"/>
                                  </w:rPr>
                                  <w:t xml:space="preserve">Eje temático: </w:t>
                                </w:r>
                                <w:r w:rsidRPr="000112CC">
                                  <w:rPr>
                                    <w:rFonts w:ascii="Times New Roman" w:eastAsia="Times New Roman" w:hAnsi="Times New Roman" w:cs="Times New Roman"/>
                                    <w:color w:val="000000"/>
                                    <w:sz w:val="24"/>
                                    <w:szCs w:val="24"/>
                                    <w:lang w:eastAsia="es-ES"/>
                                  </w:rPr>
                                  <w:t>Eje 1</w:t>
                                </w:r>
                                <w:r>
                                  <w:rPr>
                                    <w:rFonts w:ascii="Times New Roman" w:eastAsia="Times New Roman" w:hAnsi="Times New Roman" w:cs="Times New Roman"/>
                                    <w:color w:val="000000"/>
                                    <w:sz w:val="24"/>
                                    <w:szCs w:val="24"/>
                                    <w:lang w:eastAsia="es-ES"/>
                                  </w:rPr>
                                  <w:t>3. Crímenes de estado. Derechos humanos. Memorias.</w:t>
                                </w:r>
                              </w:p>
                              <w:p w:rsidR="00D225DF" w:rsidRPr="000112CC" w:rsidRDefault="00D225DF" w:rsidP="00D225DF">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Palabras clave: </w:t>
                                </w:r>
                                <w:r w:rsidRPr="000112CC">
                                  <w:rPr>
                                    <w:rFonts w:ascii="Times New Roman" w:eastAsia="Times New Roman" w:hAnsi="Times New Roman" w:cs="Times New Roman"/>
                                    <w:color w:val="000000"/>
                                    <w:sz w:val="24"/>
                                    <w:szCs w:val="24"/>
                                    <w:lang w:eastAsia="es-ES"/>
                                  </w:rPr>
                                  <w:t xml:space="preserve">Políticas Públicas - Ley de Obediencia Debida - Corrientes Múltiples - Ventana de oportunidad </w:t>
                                </w:r>
                              </w:p>
                              <w:p w:rsidR="00D225DF" w:rsidRDefault="00D225DF" w:rsidP="00D225DF">
                                <w:pPr>
                                  <w:spacing w:line="240" w:lineRule="auto"/>
                                  <w:jc w:val="both"/>
                                  <w:rPr>
                                    <w:rFonts w:ascii="Times New Roman" w:eastAsia="Times New Roman" w:hAnsi="Times New Roman" w:cs="Times New Roman"/>
                                    <w:sz w:val="24"/>
                                    <w:szCs w:val="24"/>
                                    <w:lang w:eastAsia="es-ES"/>
                                  </w:rPr>
                                </w:pPr>
                              </w:p>
                              <w:p w:rsidR="00D225DF" w:rsidRPr="000112CC" w:rsidRDefault="00D225DF" w:rsidP="00D225DF">
                                <w:pPr>
                                  <w:spacing w:line="240" w:lineRule="auto"/>
                                  <w:jc w:val="both"/>
                                  <w:rPr>
                                    <w:rFonts w:ascii="Times New Roman" w:eastAsia="Times New Roman" w:hAnsi="Times New Roman" w:cs="Times New Roman"/>
                                    <w:sz w:val="24"/>
                                    <w:szCs w:val="24"/>
                                    <w:lang w:eastAsia="es-ES"/>
                                  </w:rPr>
                                </w:pPr>
                                <w:r w:rsidRPr="000112CC">
                                  <w:rPr>
                                    <w:rFonts w:ascii="Times New Roman" w:eastAsia="Times New Roman" w:hAnsi="Times New Roman" w:cs="Times New Roman"/>
                                    <w:b/>
                                    <w:bCs/>
                                    <w:color w:val="000000"/>
                                    <w:sz w:val="24"/>
                                    <w:szCs w:val="24"/>
                                    <w:lang w:eastAsia="es-ES"/>
                                  </w:rPr>
                                  <w:t xml:space="preserve">Primera autora: </w:t>
                                </w:r>
                                <w:r w:rsidRPr="000112CC">
                                  <w:rPr>
                                    <w:rFonts w:ascii="Times New Roman" w:eastAsia="Times New Roman" w:hAnsi="Times New Roman" w:cs="Times New Roman"/>
                                    <w:color w:val="000000"/>
                                    <w:sz w:val="24"/>
                                    <w:szCs w:val="24"/>
                                    <w:lang w:eastAsia="es-ES"/>
                                  </w:rPr>
                                  <w:t>Pluchino, Jésica Lucía</w:t>
                                </w:r>
                              </w:p>
                              <w:p w:rsidR="00D225DF" w:rsidRPr="000112CC" w:rsidRDefault="00D225DF" w:rsidP="00D225DF">
                                <w:pPr>
                                  <w:spacing w:line="240" w:lineRule="auto"/>
                                  <w:jc w:val="both"/>
                                  <w:rPr>
                                    <w:rFonts w:ascii="Times New Roman" w:eastAsia="Times New Roman" w:hAnsi="Times New Roman" w:cs="Times New Roman"/>
                                    <w:sz w:val="24"/>
                                    <w:szCs w:val="24"/>
                                    <w:lang w:eastAsia="es-ES"/>
                                  </w:rPr>
                                </w:pPr>
                                <w:r w:rsidRPr="000112CC">
                                  <w:rPr>
                                    <w:rFonts w:ascii="Times New Roman" w:eastAsia="Times New Roman" w:hAnsi="Times New Roman" w:cs="Times New Roman"/>
                                    <w:color w:val="000000"/>
                                    <w:sz w:val="24"/>
                                    <w:szCs w:val="24"/>
                                    <w:lang w:eastAsia="es-ES"/>
                                  </w:rPr>
                                  <w:t xml:space="preserve">Dependencia: estudiante avanzada de la Licenciatura en Sociología de la Universidad Nacional de Mar del Plata. Dirección postal: 7600. Mar del Plata. Contacto: pluchinojesica@gmail.com </w:t>
                                </w:r>
                              </w:p>
                              <w:p w:rsidR="00D225DF" w:rsidRPr="000112CC" w:rsidRDefault="00D225DF" w:rsidP="00D225DF">
                                <w:pPr>
                                  <w:spacing w:line="240" w:lineRule="auto"/>
                                  <w:jc w:val="both"/>
                                  <w:rPr>
                                    <w:rFonts w:ascii="Times New Roman" w:eastAsia="Times New Roman" w:hAnsi="Times New Roman" w:cs="Times New Roman"/>
                                    <w:sz w:val="24"/>
                                    <w:szCs w:val="24"/>
                                    <w:lang w:eastAsia="es-ES"/>
                                  </w:rPr>
                                </w:pPr>
                                <w:r w:rsidRPr="000112CC">
                                  <w:rPr>
                                    <w:rFonts w:ascii="Times New Roman" w:eastAsia="Times New Roman" w:hAnsi="Times New Roman" w:cs="Times New Roman"/>
                                    <w:b/>
                                    <w:bCs/>
                                    <w:color w:val="000000"/>
                                    <w:sz w:val="24"/>
                                    <w:szCs w:val="24"/>
                                    <w:lang w:eastAsia="es-ES"/>
                                  </w:rPr>
                                  <w:t xml:space="preserve">Segunda autora: </w:t>
                                </w:r>
                                <w:r w:rsidRPr="000112CC">
                                  <w:rPr>
                                    <w:rFonts w:ascii="Times New Roman" w:eastAsia="Times New Roman" w:hAnsi="Times New Roman" w:cs="Times New Roman"/>
                                    <w:color w:val="000000"/>
                                    <w:sz w:val="24"/>
                                    <w:szCs w:val="24"/>
                                    <w:lang w:eastAsia="es-ES"/>
                                  </w:rPr>
                                  <w:t>Meglio, María Sol</w:t>
                                </w:r>
                              </w:p>
                              <w:p w:rsidR="00D225DF" w:rsidRPr="000112CC" w:rsidRDefault="00D225DF" w:rsidP="00D225DF">
                                <w:pPr>
                                  <w:spacing w:line="240" w:lineRule="auto"/>
                                  <w:jc w:val="both"/>
                                  <w:rPr>
                                    <w:rFonts w:ascii="Times New Roman" w:eastAsia="Times New Roman" w:hAnsi="Times New Roman" w:cs="Times New Roman"/>
                                    <w:sz w:val="24"/>
                                    <w:szCs w:val="24"/>
                                    <w:lang w:eastAsia="es-ES"/>
                                  </w:rPr>
                                </w:pPr>
                                <w:r w:rsidRPr="000112CC">
                                  <w:rPr>
                                    <w:rFonts w:ascii="Times New Roman" w:eastAsia="Times New Roman" w:hAnsi="Times New Roman" w:cs="Times New Roman"/>
                                    <w:color w:val="000000"/>
                                    <w:sz w:val="24"/>
                                    <w:szCs w:val="24"/>
                                    <w:lang w:eastAsia="es-ES"/>
                                  </w:rPr>
                                  <w:t xml:space="preserve">Dependencia: estudiante avanzada de la Licenciatura en Sociología de la Universidad Nacional de Mar del Plata. Dirección postal: 7600. Mar del Plata. Contacto: mariasolmeglio@gmail.com </w:t>
                                </w:r>
                              </w:p>
                              <w:p w:rsidR="00D225DF" w:rsidRPr="000112CC" w:rsidRDefault="00D225DF" w:rsidP="00D225DF">
                                <w:pPr>
                                  <w:spacing w:after="0" w:line="240" w:lineRule="auto"/>
                                  <w:rPr>
                                    <w:rFonts w:ascii="Times New Roman" w:eastAsia="Times New Roman" w:hAnsi="Times New Roman" w:cs="Times New Roman"/>
                                    <w:sz w:val="24"/>
                                    <w:szCs w:val="24"/>
                                    <w:lang w:eastAsia="es-ES"/>
                                  </w:rPr>
                                </w:pPr>
                              </w:p>
                              <w:p w:rsidR="00D225DF" w:rsidRPr="000112CC" w:rsidRDefault="00D225DF" w:rsidP="00D225DF">
                                <w:pPr>
                                  <w:spacing w:line="240" w:lineRule="auto"/>
                                  <w:jc w:val="both"/>
                                  <w:rPr>
                                    <w:rFonts w:ascii="Times New Roman" w:eastAsia="Times New Roman" w:hAnsi="Times New Roman" w:cs="Times New Roman"/>
                                    <w:sz w:val="24"/>
                                    <w:szCs w:val="24"/>
                                    <w:lang w:eastAsia="es-ES"/>
                                  </w:rPr>
                                </w:pPr>
                                <w:r w:rsidRPr="000112CC">
                                  <w:rPr>
                                    <w:rFonts w:ascii="Times New Roman" w:eastAsia="Times New Roman" w:hAnsi="Times New Roman" w:cs="Times New Roman"/>
                                    <w:b/>
                                    <w:bCs/>
                                    <w:color w:val="000000"/>
                                    <w:sz w:val="24"/>
                                    <w:szCs w:val="24"/>
                                    <w:lang w:eastAsia="es-ES"/>
                                  </w:rPr>
                                  <w:t xml:space="preserve">Eje temático: </w:t>
                                </w:r>
                                <w:r w:rsidRPr="000112CC">
                                  <w:rPr>
                                    <w:rFonts w:ascii="Times New Roman" w:eastAsia="Times New Roman" w:hAnsi="Times New Roman" w:cs="Times New Roman"/>
                                    <w:color w:val="000000"/>
                                    <w:sz w:val="24"/>
                                    <w:szCs w:val="24"/>
                                    <w:lang w:eastAsia="es-ES"/>
                                  </w:rPr>
                                  <w:t>Eje 1</w:t>
                                </w:r>
                                <w:r>
                                  <w:rPr>
                                    <w:rFonts w:ascii="Times New Roman" w:eastAsia="Times New Roman" w:hAnsi="Times New Roman" w:cs="Times New Roman"/>
                                    <w:color w:val="000000"/>
                                    <w:sz w:val="24"/>
                                    <w:szCs w:val="24"/>
                                    <w:lang w:eastAsia="es-ES"/>
                                  </w:rPr>
                                  <w:t>3. Crímenes de estado. Derechos humanos. Memorias.</w:t>
                                </w:r>
                              </w:p>
                              <w:p w:rsidR="00D225DF" w:rsidRPr="00D225DF" w:rsidRDefault="00D225DF" w:rsidP="00D225DF">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30.8pt;margin-top:90.7pt;width:401.5pt;height:2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" fillcolor="white [3201]" strokecolor="black [3200]" strokeweight="2.25pt">
                    <v:textbox>
                      <w:txbxContent>
                        <w:p w:rsidR="00D225DF" w:rsidRDefault="00D225DF" w:rsidP="00D225DF">
                          <w:pPr>
                            <w:spacing w:line="240" w:lineRule="auto"/>
                            <w:jc w:val="both"/>
                            <w:rPr>
                              <w:rFonts w:ascii="Times New Roman" w:eastAsia="Times New Roman" w:hAnsi="Times New Roman" w:cs="Times New Roman"/>
                              <w:color w:val="000000"/>
                              <w:sz w:val="24"/>
                              <w:szCs w:val="24"/>
                              <w:lang w:eastAsia="es-ES"/>
                            </w:rPr>
                          </w:pPr>
                          <w:r w:rsidRPr="000112CC">
                            <w:rPr>
                              <w:rFonts w:ascii="Times New Roman" w:eastAsia="Times New Roman" w:hAnsi="Times New Roman" w:cs="Times New Roman"/>
                              <w:b/>
                              <w:bCs/>
                              <w:color w:val="000000"/>
                              <w:sz w:val="24"/>
                              <w:szCs w:val="24"/>
                              <w:lang w:eastAsia="es-ES"/>
                            </w:rPr>
                            <w:t xml:space="preserve">Título: </w:t>
                          </w:r>
                          <w:r w:rsidRPr="000112CC">
                            <w:rPr>
                              <w:rFonts w:ascii="Times New Roman" w:eastAsia="Times New Roman" w:hAnsi="Times New Roman" w:cs="Times New Roman"/>
                              <w:color w:val="000000"/>
                              <w:sz w:val="24"/>
                              <w:szCs w:val="24"/>
                              <w:lang w:eastAsia="es-ES"/>
                            </w:rPr>
                            <w:t>“La obediencia como política pública. Análisis de la ley de Obediencia Debida desde el enfoque de las corrientes múltiples”</w:t>
                          </w:r>
                        </w:p>
                        <w:p w:rsidR="00D225DF" w:rsidRPr="000112CC" w:rsidRDefault="00D225DF" w:rsidP="00D225DF">
                          <w:pPr>
                            <w:spacing w:line="240" w:lineRule="auto"/>
                            <w:jc w:val="both"/>
                            <w:rPr>
                              <w:rFonts w:ascii="Times New Roman" w:eastAsia="Times New Roman" w:hAnsi="Times New Roman" w:cs="Times New Roman"/>
                              <w:sz w:val="24"/>
                              <w:szCs w:val="24"/>
                              <w:lang w:eastAsia="es-ES"/>
                            </w:rPr>
                          </w:pPr>
                          <w:r w:rsidRPr="000112CC">
                            <w:rPr>
                              <w:rFonts w:ascii="Times New Roman" w:eastAsia="Times New Roman" w:hAnsi="Times New Roman" w:cs="Times New Roman"/>
                              <w:b/>
                              <w:bCs/>
                              <w:color w:val="000000"/>
                              <w:sz w:val="24"/>
                              <w:szCs w:val="24"/>
                              <w:lang w:eastAsia="es-ES"/>
                            </w:rPr>
                            <w:t xml:space="preserve">Eje temático: </w:t>
                          </w:r>
                          <w:r w:rsidRPr="000112CC">
                            <w:rPr>
                              <w:rFonts w:ascii="Times New Roman" w:eastAsia="Times New Roman" w:hAnsi="Times New Roman" w:cs="Times New Roman"/>
                              <w:color w:val="000000"/>
                              <w:sz w:val="24"/>
                              <w:szCs w:val="24"/>
                              <w:lang w:eastAsia="es-ES"/>
                            </w:rPr>
                            <w:t>Eje 1</w:t>
                          </w:r>
                          <w:r>
                            <w:rPr>
                              <w:rFonts w:ascii="Times New Roman" w:eastAsia="Times New Roman" w:hAnsi="Times New Roman" w:cs="Times New Roman"/>
                              <w:color w:val="000000"/>
                              <w:sz w:val="24"/>
                              <w:szCs w:val="24"/>
                              <w:lang w:eastAsia="es-ES"/>
                            </w:rPr>
                            <w:t>3. Crímenes de estado. Derechos humanos. Memorias.</w:t>
                          </w:r>
                        </w:p>
                        <w:p w:rsidR="00D225DF" w:rsidRPr="000112CC" w:rsidRDefault="00D225DF" w:rsidP="00D225DF">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Palabras clave: </w:t>
                          </w:r>
                          <w:r w:rsidRPr="000112CC">
                            <w:rPr>
                              <w:rFonts w:ascii="Times New Roman" w:eastAsia="Times New Roman" w:hAnsi="Times New Roman" w:cs="Times New Roman"/>
                              <w:color w:val="000000"/>
                              <w:sz w:val="24"/>
                              <w:szCs w:val="24"/>
                              <w:lang w:eastAsia="es-ES"/>
                            </w:rPr>
                            <w:t xml:space="preserve">Políticas Públicas - Ley de Obediencia Debida - Corrientes Múltiples - Ventana de oportunidad </w:t>
                          </w:r>
                        </w:p>
                        <w:p w:rsidR="00D225DF" w:rsidRDefault="00D225DF" w:rsidP="00D225DF">
                          <w:pPr>
                            <w:spacing w:line="240" w:lineRule="auto"/>
                            <w:jc w:val="both"/>
                            <w:rPr>
                              <w:rFonts w:ascii="Times New Roman" w:eastAsia="Times New Roman" w:hAnsi="Times New Roman" w:cs="Times New Roman"/>
                              <w:sz w:val="24"/>
                              <w:szCs w:val="24"/>
                              <w:lang w:eastAsia="es-ES"/>
                            </w:rPr>
                          </w:pPr>
                        </w:p>
                        <w:p w:rsidR="00D225DF" w:rsidRPr="000112CC" w:rsidRDefault="00D225DF" w:rsidP="00D225DF">
                          <w:pPr>
                            <w:spacing w:line="240" w:lineRule="auto"/>
                            <w:jc w:val="both"/>
                            <w:rPr>
                              <w:rFonts w:ascii="Times New Roman" w:eastAsia="Times New Roman" w:hAnsi="Times New Roman" w:cs="Times New Roman"/>
                              <w:sz w:val="24"/>
                              <w:szCs w:val="24"/>
                              <w:lang w:eastAsia="es-ES"/>
                            </w:rPr>
                          </w:pPr>
                          <w:r w:rsidRPr="000112CC">
                            <w:rPr>
                              <w:rFonts w:ascii="Times New Roman" w:eastAsia="Times New Roman" w:hAnsi="Times New Roman" w:cs="Times New Roman"/>
                              <w:b/>
                              <w:bCs/>
                              <w:color w:val="000000"/>
                              <w:sz w:val="24"/>
                              <w:szCs w:val="24"/>
                              <w:lang w:eastAsia="es-ES"/>
                            </w:rPr>
                            <w:t xml:space="preserve">Primera autora: </w:t>
                          </w:r>
                          <w:r w:rsidRPr="000112CC">
                            <w:rPr>
                              <w:rFonts w:ascii="Times New Roman" w:eastAsia="Times New Roman" w:hAnsi="Times New Roman" w:cs="Times New Roman"/>
                              <w:color w:val="000000"/>
                              <w:sz w:val="24"/>
                              <w:szCs w:val="24"/>
                              <w:lang w:eastAsia="es-ES"/>
                            </w:rPr>
                            <w:t>Pluchino, Jésica Lucía</w:t>
                          </w:r>
                        </w:p>
                        <w:p w:rsidR="00D225DF" w:rsidRPr="000112CC" w:rsidRDefault="00D225DF" w:rsidP="00D225DF">
                          <w:pPr>
                            <w:spacing w:line="240" w:lineRule="auto"/>
                            <w:jc w:val="both"/>
                            <w:rPr>
                              <w:rFonts w:ascii="Times New Roman" w:eastAsia="Times New Roman" w:hAnsi="Times New Roman" w:cs="Times New Roman"/>
                              <w:sz w:val="24"/>
                              <w:szCs w:val="24"/>
                              <w:lang w:eastAsia="es-ES"/>
                            </w:rPr>
                          </w:pPr>
                          <w:r w:rsidRPr="000112CC">
                            <w:rPr>
                              <w:rFonts w:ascii="Times New Roman" w:eastAsia="Times New Roman" w:hAnsi="Times New Roman" w:cs="Times New Roman"/>
                              <w:color w:val="000000"/>
                              <w:sz w:val="24"/>
                              <w:szCs w:val="24"/>
                              <w:lang w:eastAsia="es-ES"/>
                            </w:rPr>
                            <w:t xml:space="preserve">Dependencia: estudiante avanzada de la Licenciatura en Sociología de la Universidad Nacional de Mar del Plata. Dirección postal: 7600. Mar del Plata. Contacto: pluchinojesica@gmail.com </w:t>
                          </w:r>
                        </w:p>
                        <w:p w:rsidR="00D225DF" w:rsidRPr="000112CC" w:rsidRDefault="00D225DF" w:rsidP="00D225DF">
                          <w:pPr>
                            <w:spacing w:line="240" w:lineRule="auto"/>
                            <w:jc w:val="both"/>
                            <w:rPr>
                              <w:rFonts w:ascii="Times New Roman" w:eastAsia="Times New Roman" w:hAnsi="Times New Roman" w:cs="Times New Roman"/>
                              <w:sz w:val="24"/>
                              <w:szCs w:val="24"/>
                              <w:lang w:eastAsia="es-ES"/>
                            </w:rPr>
                          </w:pPr>
                          <w:r w:rsidRPr="000112CC">
                            <w:rPr>
                              <w:rFonts w:ascii="Times New Roman" w:eastAsia="Times New Roman" w:hAnsi="Times New Roman" w:cs="Times New Roman"/>
                              <w:b/>
                              <w:bCs/>
                              <w:color w:val="000000"/>
                              <w:sz w:val="24"/>
                              <w:szCs w:val="24"/>
                              <w:lang w:eastAsia="es-ES"/>
                            </w:rPr>
                            <w:t xml:space="preserve">Segunda autora: </w:t>
                          </w:r>
                          <w:r w:rsidRPr="000112CC">
                            <w:rPr>
                              <w:rFonts w:ascii="Times New Roman" w:eastAsia="Times New Roman" w:hAnsi="Times New Roman" w:cs="Times New Roman"/>
                              <w:color w:val="000000"/>
                              <w:sz w:val="24"/>
                              <w:szCs w:val="24"/>
                              <w:lang w:eastAsia="es-ES"/>
                            </w:rPr>
                            <w:t>Meglio, María Sol</w:t>
                          </w:r>
                        </w:p>
                        <w:p w:rsidR="00D225DF" w:rsidRPr="000112CC" w:rsidRDefault="00D225DF" w:rsidP="00D225DF">
                          <w:pPr>
                            <w:spacing w:line="240" w:lineRule="auto"/>
                            <w:jc w:val="both"/>
                            <w:rPr>
                              <w:rFonts w:ascii="Times New Roman" w:eastAsia="Times New Roman" w:hAnsi="Times New Roman" w:cs="Times New Roman"/>
                              <w:sz w:val="24"/>
                              <w:szCs w:val="24"/>
                              <w:lang w:eastAsia="es-ES"/>
                            </w:rPr>
                          </w:pPr>
                          <w:r w:rsidRPr="000112CC">
                            <w:rPr>
                              <w:rFonts w:ascii="Times New Roman" w:eastAsia="Times New Roman" w:hAnsi="Times New Roman" w:cs="Times New Roman"/>
                              <w:color w:val="000000"/>
                              <w:sz w:val="24"/>
                              <w:szCs w:val="24"/>
                              <w:lang w:eastAsia="es-ES"/>
                            </w:rPr>
                            <w:t xml:space="preserve">Dependencia: estudiante avanzada de la Licenciatura en Sociología de la Universidad Nacional de Mar del Plata. Dirección postal: 7600. Mar del Plata. Contacto: mariasolmeglio@gmail.com </w:t>
                          </w:r>
                        </w:p>
                        <w:p w:rsidR="00D225DF" w:rsidRPr="000112CC" w:rsidRDefault="00D225DF" w:rsidP="00D225DF">
                          <w:pPr>
                            <w:spacing w:after="0" w:line="240" w:lineRule="auto"/>
                            <w:rPr>
                              <w:rFonts w:ascii="Times New Roman" w:eastAsia="Times New Roman" w:hAnsi="Times New Roman" w:cs="Times New Roman"/>
                              <w:sz w:val="24"/>
                              <w:szCs w:val="24"/>
                              <w:lang w:eastAsia="es-ES"/>
                            </w:rPr>
                          </w:pPr>
                        </w:p>
                        <w:p w:rsidR="00D225DF" w:rsidRPr="000112CC" w:rsidRDefault="00D225DF" w:rsidP="00D225DF">
                          <w:pPr>
                            <w:spacing w:line="240" w:lineRule="auto"/>
                            <w:jc w:val="both"/>
                            <w:rPr>
                              <w:rFonts w:ascii="Times New Roman" w:eastAsia="Times New Roman" w:hAnsi="Times New Roman" w:cs="Times New Roman"/>
                              <w:sz w:val="24"/>
                              <w:szCs w:val="24"/>
                              <w:lang w:eastAsia="es-ES"/>
                            </w:rPr>
                          </w:pPr>
                          <w:r w:rsidRPr="000112CC">
                            <w:rPr>
                              <w:rFonts w:ascii="Times New Roman" w:eastAsia="Times New Roman" w:hAnsi="Times New Roman" w:cs="Times New Roman"/>
                              <w:b/>
                              <w:bCs/>
                              <w:color w:val="000000"/>
                              <w:sz w:val="24"/>
                              <w:szCs w:val="24"/>
                              <w:lang w:eastAsia="es-ES"/>
                            </w:rPr>
                            <w:t xml:space="preserve">Eje temático: </w:t>
                          </w:r>
                          <w:r w:rsidRPr="000112CC">
                            <w:rPr>
                              <w:rFonts w:ascii="Times New Roman" w:eastAsia="Times New Roman" w:hAnsi="Times New Roman" w:cs="Times New Roman"/>
                              <w:color w:val="000000"/>
                              <w:sz w:val="24"/>
                              <w:szCs w:val="24"/>
                              <w:lang w:eastAsia="es-ES"/>
                            </w:rPr>
                            <w:t>Eje 1</w:t>
                          </w:r>
                          <w:r>
                            <w:rPr>
                              <w:rFonts w:ascii="Times New Roman" w:eastAsia="Times New Roman" w:hAnsi="Times New Roman" w:cs="Times New Roman"/>
                              <w:color w:val="000000"/>
                              <w:sz w:val="24"/>
                              <w:szCs w:val="24"/>
                              <w:lang w:eastAsia="es-ES"/>
                            </w:rPr>
                            <w:t>3. Crímenes de estado. Derechos humanos. Memorias.</w:t>
                          </w:r>
                        </w:p>
                        <w:p w:rsidR="00D225DF" w:rsidRPr="00D225DF" w:rsidRDefault="00D225DF" w:rsidP="00D225DF">
                          <w:pPr>
                            <w:jc w:val="both"/>
                            <w:rPr>
                              <w:rFonts w:ascii="Times New Roman" w:hAnsi="Times New Roman" w:cs="Times New Roman"/>
                              <w:sz w:val="24"/>
                              <w:szCs w:val="24"/>
                            </w:rPr>
                          </w:pPr>
                        </w:p>
                      </w:txbxContent>
                    </v:textbox>
                  </v:shape>
                </w:pict>
              </mc:Fallback>
            </mc:AlternateContent>
          </w:r>
          <w:r>
            <w:rPr>
              <w:rFonts w:ascii="Times New Roman" w:hAnsi="Times New Roman" w:cs="Times New Roman"/>
              <w:sz w:val="24"/>
            </w:rPr>
            <w:br w:type="page"/>
          </w:r>
        </w:p>
      </w:sdtContent>
    </w:sdt>
    <w:p w:rsidR="00D225DF" w:rsidRPr="00083A50" w:rsidRDefault="00D225DF" w:rsidP="00D225DF">
      <w:pPr>
        <w:spacing w:after="0" w:line="360" w:lineRule="auto"/>
        <w:jc w:val="both"/>
        <w:rPr>
          <w:rFonts w:ascii="Times New Roman" w:hAnsi="Times New Roman" w:cs="Times New Roman"/>
          <w:b/>
          <w:sz w:val="24"/>
        </w:rPr>
      </w:pPr>
      <w:r w:rsidRPr="00083A50">
        <w:rPr>
          <w:rFonts w:ascii="Times New Roman" w:hAnsi="Times New Roman" w:cs="Times New Roman"/>
          <w:b/>
          <w:sz w:val="24"/>
        </w:rPr>
        <w:lastRenderedPageBreak/>
        <w:t>Introducción</w:t>
      </w:r>
    </w:p>
    <w:p w:rsidR="00D225DF" w:rsidRPr="004B0912" w:rsidRDefault="00D225DF" w:rsidP="00D225DF">
      <w:pPr>
        <w:spacing w:after="0" w:line="360" w:lineRule="auto"/>
        <w:ind w:firstLine="567"/>
        <w:jc w:val="both"/>
        <w:rPr>
          <w:rFonts w:ascii="Times New Roman" w:hAnsi="Times New Roman" w:cs="Times New Roman"/>
          <w:sz w:val="24"/>
        </w:rPr>
      </w:pPr>
    </w:p>
    <w:p w:rsidR="00D225DF" w:rsidRPr="00696227" w:rsidRDefault="00D225DF" w:rsidP="00D225DF">
      <w:pPr>
        <w:spacing w:after="0" w:line="360" w:lineRule="auto"/>
        <w:ind w:firstLine="567"/>
        <w:jc w:val="both"/>
        <w:rPr>
          <w:rFonts w:ascii="Times New Roman" w:hAnsi="Times New Roman" w:cs="Times New Roman"/>
          <w:sz w:val="24"/>
        </w:rPr>
      </w:pPr>
      <w:r w:rsidRPr="004B0912">
        <w:rPr>
          <w:rFonts w:ascii="Times New Roman" w:hAnsi="Times New Roman" w:cs="Times New Roman"/>
          <w:sz w:val="24"/>
        </w:rPr>
        <w:t>El 10 de Dicie</w:t>
      </w:r>
      <w:r>
        <w:rPr>
          <w:rFonts w:ascii="Times New Roman" w:hAnsi="Times New Roman" w:cs="Times New Roman"/>
          <w:sz w:val="24"/>
        </w:rPr>
        <w:t>mbre de 1983 Raúl Alfonsín asumió</w:t>
      </w:r>
      <w:r w:rsidRPr="004B0912">
        <w:rPr>
          <w:rFonts w:ascii="Times New Roman" w:hAnsi="Times New Roman" w:cs="Times New Roman"/>
          <w:sz w:val="24"/>
        </w:rPr>
        <w:t xml:space="preserve"> la presidencia de la Nación, </w:t>
      </w:r>
      <w:r w:rsidRPr="00696227">
        <w:rPr>
          <w:rFonts w:ascii="Times New Roman" w:hAnsi="Times New Roman" w:cs="Times New Roman"/>
          <w:sz w:val="24"/>
        </w:rPr>
        <w:t xml:space="preserve">tras el colapso de la última dictadura militar que había iniciado el golpe de estado en 1976. El gobierno de la transición debió hacer frente a la problemática en torno a qué hacer con las Fuerzas Armadas (FFAA). La configuración de una política de derechos humanos se erigió como un elemento central al momento de definir y dar respuesta a la cuestión militar (Canelo, 2013). </w:t>
      </w:r>
    </w:p>
    <w:p w:rsidR="00D225DF" w:rsidRPr="00696227" w:rsidRDefault="00D225DF" w:rsidP="00D225DF">
      <w:pPr>
        <w:spacing w:after="0" w:line="360" w:lineRule="auto"/>
        <w:ind w:firstLine="567"/>
        <w:jc w:val="both"/>
        <w:rPr>
          <w:rFonts w:ascii="Times New Roman" w:hAnsi="Times New Roman" w:cs="Times New Roman"/>
          <w:sz w:val="24"/>
        </w:rPr>
      </w:pPr>
      <w:r w:rsidRPr="00696227">
        <w:rPr>
          <w:rFonts w:ascii="Times New Roman" w:hAnsi="Times New Roman" w:cs="Times New Roman"/>
          <w:sz w:val="24"/>
        </w:rPr>
        <w:t>La resolución de los crímenes y violaciones a los derechos humanos asociados al pasado dictatorial</w:t>
      </w:r>
      <w:r w:rsidRPr="00696227">
        <w:rPr>
          <w:rStyle w:val="Refdenotaalpie"/>
          <w:rFonts w:ascii="Times New Roman" w:hAnsi="Times New Roman" w:cs="Times New Roman"/>
          <w:sz w:val="24"/>
        </w:rPr>
        <w:footnoteReference w:id="1"/>
      </w:r>
      <w:r w:rsidRPr="00696227">
        <w:rPr>
          <w:rFonts w:ascii="Times New Roman" w:hAnsi="Times New Roman" w:cs="Times New Roman"/>
          <w:sz w:val="24"/>
        </w:rPr>
        <w:t xml:space="preserve"> implicó el diseño y la implementación de políticas públicas simbólicas, reparatorias y de justicia, donde los tipos de transición, los marcos institucionales y la presencia de viejas elites autoritarias, condicionan los márgenes de acción posibles (Delgadillo, 2011). </w:t>
      </w:r>
    </w:p>
    <w:p w:rsidR="00D225DF" w:rsidRPr="00696227" w:rsidRDefault="00D225DF" w:rsidP="00D225DF">
      <w:pPr>
        <w:spacing w:after="0" w:line="360" w:lineRule="auto"/>
        <w:ind w:firstLine="567"/>
        <w:jc w:val="both"/>
        <w:rPr>
          <w:rFonts w:ascii="Times New Roman" w:hAnsi="Times New Roman" w:cs="Times New Roman"/>
          <w:sz w:val="24"/>
        </w:rPr>
      </w:pPr>
      <w:r w:rsidRPr="00696227">
        <w:rPr>
          <w:rFonts w:ascii="Times New Roman" w:hAnsi="Times New Roman" w:cs="Times New Roman"/>
          <w:sz w:val="24"/>
        </w:rPr>
        <w:t xml:space="preserve">El Congreso de la Nación Argentina sancionó, en 1987, la Ley 23.521 de “Obediencia Debida”, la cual establece en su artículo primero que </w:t>
      </w:r>
      <w:r w:rsidRPr="00696227">
        <w:rPr>
          <w:rFonts w:ascii="Times New Roman" w:hAnsi="Times New Roman" w:cs="Times New Roman"/>
          <w:i/>
          <w:sz w:val="24"/>
        </w:rPr>
        <w:t>“se presume, sin admitir prueba en contrario que quienes a la fecha de comisión del hecho revistaban como oficiales jefe, oficiales subalternos, suboficiales y personal de tropa de las Fuerzas Armadas, de seguridad, policiales y penitenciarias, no son punibles (…) por haber obrado en virtud de obediencia debida”</w:t>
      </w:r>
      <w:r w:rsidRPr="00696227">
        <w:rPr>
          <w:rFonts w:ascii="Times New Roman" w:hAnsi="Times New Roman" w:cs="Times New Roman"/>
          <w:sz w:val="24"/>
        </w:rPr>
        <w:t xml:space="preserve">. La norma estableció una serie de crímenes cuya responsabilidad y juzgamiento no fueron alcanzados por este esquema de exculpación. Entonces, quedaron exentos de la presunción </w:t>
      </w:r>
      <w:r w:rsidRPr="00696227">
        <w:rPr>
          <w:rFonts w:ascii="Times New Roman" w:hAnsi="Times New Roman" w:cs="Times New Roman"/>
          <w:i/>
          <w:sz w:val="24"/>
        </w:rPr>
        <w:t>(…) los delitos de violación, sustracción y ocultación de menores o sustitución de su estado civil y apropiación extensiva de inmuebles”</w:t>
      </w:r>
      <w:r w:rsidRPr="00696227">
        <w:rPr>
          <w:rFonts w:ascii="Times New Roman" w:hAnsi="Times New Roman" w:cs="Times New Roman"/>
          <w:sz w:val="24"/>
        </w:rPr>
        <w:t xml:space="preserve"> (Ley 23.521).</w:t>
      </w:r>
    </w:p>
    <w:p w:rsidR="00D225DF" w:rsidRPr="00696227" w:rsidRDefault="00D225DF" w:rsidP="00D225DF">
      <w:pPr>
        <w:spacing w:after="0" w:line="360" w:lineRule="auto"/>
        <w:ind w:firstLine="567"/>
        <w:jc w:val="both"/>
        <w:rPr>
          <w:rFonts w:ascii="Times New Roman" w:hAnsi="Times New Roman" w:cs="Times New Roman"/>
          <w:sz w:val="24"/>
        </w:rPr>
      </w:pPr>
      <w:r w:rsidRPr="00696227">
        <w:rPr>
          <w:rFonts w:ascii="Times New Roman" w:hAnsi="Times New Roman" w:cs="Times New Roman"/>
          <w:sz w:val="24"/>
        </w:rPr>
        <w:lastRenderedPageBreak/>
        <w:t xml:space="preserve">El presente trabajo tiene como objetivo analizar la sanción de la Ley de Obediencia Debida a partir del enfoque de las corrientes múltiples propuesto por John </w:t>
      </w:r>
      <w:proofErr w:type="spellStart"/>
      <w:r w:rsidRPr="00696227">
        <w:rPr>
          <w:rFonts w:ascii="Times New Roman" w:hAnsi="Times New Roman" w:cs="Times New Roman"/>
          <w:sz w:val="24"/>
        </w:rPr>
        <w:t>Kingdom</w:t>
      </w:r>
      <w:proofErr w:type="spellEnd"/>
      <w:r w:rsidRPr="00696227">
        <w:rPr>
          <w:rFonts w:ascii="Times New Roman" w:hAnsi="Times New Roman" w:cs="Times New Roman"/>
          <w:sz w:val="24"/>
        </w:rPr>
        <w:t>. A partir de este marco de análisis, se observará la delimitación de tres niveles de responsabilidad en el juzgamiento a los miembros de las Fuerzas Armadas, planteada tempranamente por Raúl Alfonsín en sus discursos de campaña (Galante, 2017a; 2017b). El interrogante que guiará nuestro trabajo versará acerca del por qué y cómo esta  idea inicial adquiere el carácter de ley recién en 1987 y sobre las condiciones de ser portadora de relativa legitimidad.</w:t>
      </w:r>
    </w:p>
    <w:p w:rsidR="00D225DF" w:rsidRPr="00696227" w:rsidRDefault="00D225DF" w:rsidP="00D225DF">
      <w:pPr>
        <w:spacing w:after="0" w:line="360" w:lineRule="auto"/>
        <w:ind w:firstLine="567"/>
        <w:jc w:val="both"/>
        <w:rPr>
          <w:rFonts w:ascii="Times New Roman" w:hAnsi="Times New Roman" w:cs="Times New Roman"/>
          <w:sz w:val="24"/>
        </w:rPr>
      </w:pPr>
      <w:r w:rsidRPr="00696227">
        <w:rPr>
          <w:rFonts w:ascii="Times New Roman" w:hAnsi="Times New Roman" w:cs="Times New Roman"/>
          <w:sz w:val="24"/>
        </w:rPr>
        <w:t>Las herramientas y conceptos propuestos por el enfoque permiten la realización de un análisis complejo, que denota el encuentro entre los problemas, la política y la definición de la política pública a analizar, dejando de lado visiones simplistas o incompletas que asocian la sanción de la ley únicamente a las presiones militares. En lo que respecta a los aspectos metodológicos, tiene como principal fuente de análisis el texto de ley y la revisión de bibliografía específica sobre el tema.</w:t>
      </w:r>
    </w:p>
    <w:p w:rsidR="00D225DF" w:rsidRPr="00696227" w:rsidRDefault="00D225DF" w:rsidP="00D225DF">
      <w:pPr>
        <w:spacing w:after="0" w:line="360" w:lineRule="auto"/>
        <w:ind w:firstLine="567"/>
        <w:jc w:val="both"/>
        <w:rPr>
          <w:rFonts w:ascii="Times New Roman" w:hAnsi="Times New Roman" w:cs="Times New Roman"/>
          <w:sz w:val="24"/>
        </w:rPr>
      </w:pPr>
      <w:r w:rsidRPr="00696227">
        <w:rPr>
          <w:rFonts w:ascii="Times New Roman" w:hAnsi="Times New Roman" w:cs="Times New Roman"/>
          <w:sz w:val="24"/>
        </w:rPr>
        <w:t>En nuestro país, la justicia y los tribunales se constituyeron en elementos privilegiados al momento de revisar, definir y procesar el pasado dictatorial, convirtiéndose en un modelo de política de justicia transicional a escala internacional. Los procesos de judicialización funcionaron a la manera de una división tajante entre democracia y dictadura y el ejercicio de la ley cumplía el doble objetivo de juzgar tanto la violencia política y la represión estatal como de legitimar y consolidar las instituciones y el régimen democrático. Los juicios adquirieron, así, un valor político y simbólico (</w:t>
      </w:r>
      <w:proofErr w:type="spellStart"/>
      <w:r w:rsidRPr="00696227">
        <w:rPr>
          <w:rFonts w:ascii="Times New Roman" w:hAnsi="Times New Roman" w:cs="Times New Roman"/>
          <w:sz w:val="24"/>
        </w:rPr>
        <w:t>Crenzel</w:t>
      </w:r>
      <w:proofErr w:type="spellEnd"/>
      <w:r w:rsidRPr="00696227">
        <w:rPr>
          <w:rFonts w:ascii="Times New Roman" w:hAnsi="Times New Roman" w:cs="Times New Roman"/>
          <w:sz w:val="24"/>
        </w:rPr>
        <w:t>, 2014).</w:t>
      </w:r>
    </w:p>
    <w:p w:rsidR="00D225DF" w:rsidRPr="00696227" w:rsidRDefault="00D225DF" w:rsidP="00D225DF">
      <w:pPr>
        <w:spacing w:after="0" w:line="360" w:lineRule="auto"/>
        <w:ind w:firstLine="567"/>
        <w:jc w:val="both"/>
        <w:rPr>
          <w:rFonts w:ascii="Times New Roman" w:hAnsi="Times New Roman" w:cs="Times New Roman"/>
          <w:sz w:val="24"/>
        </w:rPr>
      </w:pPr>
      <w:r w:rsidRPr="00696227">
        <w:rPr>
          <w:rFonts w:ascii="Times New Roman" w:hAnsi="Times New Roman" w:cs="Times New Roman"/>
          <w:sz w:val="24"/>
        </w:rPr>
        <w:t>En un primer momento, las explicaciones políticas conjugadas en la “teoría de los dos demonios”</w:t>
      </w:r>
      <w:r w:rsidRPr="00696227">
        <w:rPr>
          <w:rStyle w:val="Refdenotaalpie"/>
          <w:rFonts w:ascii="Times New Roman" w:hAnsi="Times New Roman" w:cs="Times New Roman"/>
          <w:sz w:val="24"/>
        </w:rPr>
        <w:footnoteReference w:id="2"/>
      </w:r>
      <w:r w:rsidRPr="00696227">
        <w:rPr>
          <w:rFonts w:ascii="Times New Roman" w:hAnsi="Times New Roman" w:cs="Times New Roman"/>
          <w:sz w:val="24"/>
        </w:rPr>
        <w:t xml:space="preserve"> y el establecimiento de niveles de responsabilidad definieron las políticas estatales del primer gobierno democrático. Las persecuciones penales a jefes de organizaciones armadas, la creación de la Comisión Nacional sobre la Desaparición de Personas (CONADEP) y el procesamiento de las tres primeras Juntas militares por parte del Consejo Supremo de las Fuerzas Armas pueden leerse en este sentido. La idea </w:t>
      </w:r>
      <w:r w:rsidRPr="00696227">
        <w:rPr>
          <w:rFonts w:ascii="Times New Roman" w:hAnsi="Times New Roman" w:cs="Times New Roman"/>
          <w:sz w:val="24"/>
        </w:rPr>
        <w:lastRenderedPageBreak/>
        <w:t xml:space="preserve">subyacente fue la de instrumentar un castigo ejemplar a quienes habían diseñado, ejecutado y tomado decisiones en el plan sistemático de represión, dejando de lado a quienes se limitaban a obedecer y ejecutar órdenes. En un segundo momento, sin embargo, ante la inminente ampliación del círculo de quiénes debían ser considerados culpables y por ende </w:t>
      </w:r>
      <w:proofErr w:type="gramStart"/>
      <w:r w:rsidRPr="00696227">
        <w:rPr>
          <w:rFonts w:ascii="Times New Roman" w:hAnsi="Times New Roman" w:cs="Times New Roman"/>
          <w:sz w:val="24"/>
        </w:rPr>
        <w:t>juzgados</w:t>
      </w:r>
      <w:proofErr w:type="gramEnd"/>
      <w:r w:rsidRPr="00696227">
        <w:rPr>
          <w:rFonts w:ascii="Times New Roman" w:hAnsi="Times New Roman" w:cs="Times New Roman"/>
          <w:sz w:val="24"/>
        </w:rPr>
        <w:t xml:space="preserve">, producto de las demandas y denuncias de diferentes organizaciones de Derechos Humanos y de las victimas sobrevivientes del plan represivo,  la política se orientó hacia la extinción temporal de la acción penal. La “Ley de Punto final” y las instrucciones a los fiscales militares en 1986 han de entenderse en esta dirección (Canelo, 2013). </w:t>
      </w:r>
    </w:p>
    <w:p w:rsidR="00D225DF" w:rsidRPr="00696227" w:rsidRDefault="00D225DF" w:rsidP="00D225DF">
      <w:pPr>
        <w:spacing w:after="0" w:line="360" w:lineRule="auto"/>
        <w:ind w:firstLine="567"/>
        <w:jc w:val="both"/>
        <w:rPr>
          <w:rFonts w:ascii="Times New Roman" w:hAnsi="Times New Roman" w:cs="Times New Roman"/>
          <w:sz w:val="24"/>
        </w:rPr>
      </w:pPr>
      <w:r w:rsidRPr="00696227">
        <w:rPr>
          <w:rFonts w:ascii="Times New Roman" w:hAnsi="Times New Roman" w:cs="Times New Roman"/>
          <w:sz w:val="24"/>
        </w:rPr>
        <w:t>El trabajo se encuentra dividido en secciones. En un primer momento se destacan las herramientas de análisis propuestas por el enfoque de las corrientes múltiples. El segundo apartado pretende una descripción de la ley de obediencia debida, su contexto de surgimiento, la relación con otras leyes del período y las ideas que la subyacen. El tercer apartado, analiza la ley en tanto artefacto jurídico que compone una política pública. Por último, en las reflexiones finales, se realiza un recorrido por los aspectos centrales del trabajo y se arriban a conclusiones. Se busca contribuir a los estudios especializados en Sociología del Estado y Políticas Públicas, así como a los abocados al estudio del pasado reciente.</w:t>
      </w:r>
    </w:p>
    <w:p w:rsidR="00D225DF" w:rsidRPr="004B0912" w:rsidRDefault="00D225DF" w:rsidP="00D225DF">
      <w:pPr>
        <w:spacing w:after="0" w:line="360" w:lineRule="auto"/>
        <w:ind w:firstLine="567"/>
        <w:jc w:val="both"/>
        <w:rPr>
          <w:rFonts w:ascii="Times New Roman" w:hAnsi="Times New Roman" w:cs="Times New Roman"/>
          <w:sz w:val="24"/>
        </w:rPr>
      </w:pPr>
    </w:p>
    <w:p w:rsidR="00D225DF" w:rsidRDefault="00D225DF" w:rsidP="00D225DF">
      <w:pPr>
        <w:spacing w:after="0" w:line="360" w:lineRule="auto"/>
        <w:jc w:val="both"/>
        <w:rPr>
          <w:rFonts w:ascii="Times New Roman" w:hAnsi="Times New Roman" w:cs="Times New Roman"/>
          <w:i/>
          <w:sz w:val="24"/>
        </w:rPr>
      </w:pPr>
    </w:p>
    <w:p w:rsidR="00D225DF" w:rsidRPr="004B0912" w:rsidRDefault="00D225DF" w:rsidP="00D225DF">
      <w:pPr>
        <w:spacing w:after="0" w:line="360" w:lineRule="auto"/>
        <w:jc w:val="both"/>
        <w:rPr>
          <w:rFonts w:ascii="Times New Roman" w:hAnsi="Times New Roman" w:cs="Times New Roman"/>
          <w:i/>
          <w:sz w:val="24"/>
        </w:rPr>
      </w:pPr>
      <w:r w:rsidRPr="004B0912">
        <w:rPr>
          <w:rFonts w:ascii="Times New Roman" w:hAnsi="Times New Roman" w:cs="Times New Roman"/>
          <w:i/>
          <w:sz w:val="24"/>
        </w:rPr>
        <w:t>Enfoque de las corrientes múltiples</w:t>
      </w:r>
    </w:p>
    <w:p w:rsidR="00D225DF" w:rsidRPr="004B0912" w:rsidRDefault="00D225DF" w:rsidP="00D225DF">
      <w:pPr>
        <w:spacing w:after="0" w:line="360" w:lineRule="auto"/>
        <w:ind w:firstLine="567"/>
        <w:jc w:val="both"/>
        <w:rPr>
          <w:rFonts w:ascii="Times New Roman" w:hAnsi="Times New Roman" w:cs="Times New Roman"/>
          <w:i/>
          <w:sz w:val="24"/>
        </w:rPr>
      </w:pPr>
      <w:r w:rsidRPr="004B0912">
        <w:rPr>
          <w:rFonts w:ascii="Times New Roman" w:hAnsi="Times New Roman" w:cs="Times New Roman"/>
          <w:i/>
          <w:sz w:val="24"/>
        </w:rPr>
        <w:t xml:space="preserve"> </w:t>
      </w:r>
    </w:p>
    <w:p w:rsidR="00D225DF" w:rsidRPr="004B0912" w:rsidRDefault="00D225DF" w:rsidP="00D225DF">
      <w:pPr>
        <w:spacing w:after="0" w:line="360" w:lineRule="auto"/>
        <w:ind w:firstLine="567"/>
        <w:jc w:val="both"/>
        <w:rPr>
          <w:rFonts w:ascii="Times New Roman" w:hAnsi="Times New Roman" w:cs="Times New Roman"/>
          <w:sz w:val="24"/>
        </w:rPr>
      </w:pPr>
      <w:r w:rsidRPr="004B0912">
        <w:rPr>
          <w:rFonts w:ascii="Times New Roman" w:hAnsi="Times New Roman" w:cs="Times New Roman"/>
          <w:sz w:val="24"/>
        </w:rPr>
        <w:t>El enfoque de las corrientes múltiples, desarrollado por Jo</w:t>
      </w:r>
      <w:r>
        <w:rPr>
          <w:rFonts w:ascii="Times New Roman" w:hAnsi="Times New Roman" w:cs="Times New Roman"/>
          <w:sz w:val="24"/>
        </w:rPr>
        <w:t xml:space="preserve">hn </w:t>
      </w:r>
      <w:proofErr w:type="spellStart"/>
      <w:r>
        <w:rPr>
          <w:rFonts w:ascii="Times New Roman" w:hAnsi="Times New Roman" w:cs="Times New Roman"/>
          <w:sz w:val="24"/>
        </w:rPr>
        <w:t>Kingdom</w:t>
      </w:r>
      <w:proofErr w:type="spellEnd"/>
      <w:r>
        <w:rPr>
          <w:rFonts w:ascii="Times New Roman" w:hAnsi="Times New Roman" w:cs="Times New Roman"/>
          <w:sz w:val="24"/>
        </w:rPr>
        <w:t xml:space="preserve"> en la década de los 80</w:t>
      </w:r>
      <w:r w:rsidRPr="004B0912">
        <w:rPr>
          <w:rFonts w:ascii="Times New Roman" w:hAnsi="Times New Roman" w:cs="Times New Roman"/>
          <w:sz w:val="24"/>
        </w:rPr>
        <w:t>, propone un análisis sobre el diseño de políticas públicas en condiciones de ambigüedad. La existencia de ideas, intereses y puntos de vista disimiles e incluso contrapuestos sobre los mismos hechos o circunstancias crean tensiones y confusiones (Zahariadis, 2010). La toma de decisión, entonces, ha de verse como el resultado de un proceso colectivo en el que diversos actores e instituciones, así como los elementos propios de la dinámica y coyuntura política y de los plazos electorales, adquieren una importancia fundamental (Surel, 2006).</w:t>
      </w:r>
    </w:p>
    <w:p w:rsidR="00D225DF" w:rsidRPr="004B0912" w:rsidRDefault="00D225DF" w:rsidP="00D225DF">
      <w:pPr>
        <w:spacing w:after="0" w:line="360" w:lineRule="auto"/>
        <w:ind w:firstLine="567"/>
        <w:jc w:val="both"/>
        <w:rPr>
          <w:rFonts w:ascii="Times New Roman" w:hAnsi="Times New Roman" w:cs="Times New Roman"/>
          <w:sz w:val="24"/>
        </w:rPr>
      </w:pPr>
      <w:r w:rsidRPr="004B0912">
        <w:rPr>
          <w:rFonts w:ascii="Times New Roman" w:hAnsi="Times New Roman" w:cs="Times New Roman"/>
          <w:sz w:val="24"/>
        </w:rPr>
        <w:t>Teorizando en el nivel sistémico, el enfoque presta atención al modo en que la información disponible afecta las elecciones y a</w:t>
      </w:r>
      <w:r>
        <w:rPr>
          <w:rFonts w:ascii="Times New Roman" w:hAnsi="Times New Roman" w:cs="Times New Roman"/>
          <w:sz w:val="24"/>
        </w:rPr>
        <w:t xml:space="preserve"> la percepción de</w:t>
      </w:r>
      <w:r w:rsidRPr="004B0912">
        <w:rPr>
          <w:rFonts w:ascii="Times New Roman" w:hAnsi="Times New Roman" w:cs="Times New Roman"/>
          <w:sz w:val="24"/>
        </w:rPr>
        <w:t xml:space="preserve"> la complejidad, no </w:t>
      </w:r>
      <w:r w:rsidRPr="004B0912">
        <w:rPr>
          <w:rFonts w:ascii="Times New Roman" w:hAnsi="Times New Roman" w:cs="Times New Roman"/>
          <w:sz w:val="24"/>
        </w:rPr>
        <w:lastRenderedPageBreak/>
        <w:t xml:space="preserve">viendo a los sistemas como unidades estáticas, sino como en constante desarrollo (Zahariadis, 2010).  </w:t>
      </w:r>
    </w:p>
    <w:p w:rsidR="00D225DF" w:rsidRPr="004B0912" w:rsidRDefault="00D225DF" w:rsidP="00D225DF">
      <w:pPr>
        <w:pStyle w:val="Default"/>
        <w:spacing w:line="360" w:lineRule="auto"/>
        <w:ind w:firstLine="567"/>
        <w:jc w:val="both"/>
        <w:rPr>
          <w:i/>
          <w:color w:val="auto"/>
          <w:szCs w:val="20"/>
        </w:rPr>
      </w:pPr>
      <w:r w:rsidRPr="004B0912">
        <w:rPr>
          <w:color w:val="auto"/>
        </w:rPr>
        <w:t>Lejos de considerar el proceso de políticas públicas como una sucesión de etapas rígidas y lineales, el modelo plantea la existencia de tres corrientes que determinan la acción pública: la de los problemas, la de las políticas y la de la política. La primera tiene que ver con la definición de problemas públicos y los consecuentes reclamos hacia los actores político-administrativos en vías de una solución</w:t>
      </w:r>
      <w:r w:rsidRPr="004B0912">
        <w:rPr>
          <w:rStyle w:val="Refdenotaalpie"/>
          <w:color w:val="auto"/>
        </w:rPr>
        <w:footnoteReference w:id="3"/>
      </w:r>
      <w:r w:rsidRPr="004B0912">
        <w:rPr>
          <w:color w:val="auto"/>
        </w:rPr>
        <w:t>. La segunda es relativa a los procesos de definiciones y elección de alternativas, donde se ponen en juego criterios de viabilidad y factibilidad técnica y procedimientos propios de los aparatos burocráticos-administrativos. La tercera, por último, hace referencia a los grupos de presión, partidos políticos, opinión pública, resultados y ciclos electorales que pueden promover u obstaculizar el desarrollo de diferentes iniciativas</w:t>
      </w:r>
      <w:r w:rsidRPr="004B0912">
        <w:rPr>
          <w:rStyle w:val="Refdenotaalpie"/>
          <w:color w:val="auto"/>
        </w:rPr>
        <w:footnoteReference w:id="4"/>
      </w:r>
      <w:r w:rsidRPr="004B0912">
        <w:rPr>
          <w:color w:val="auto"/>
        </w:rPr>
        <w:t xml:space="preserve"> (Surel, 2006). En síntesis, puede decirse que “</w:t>
      </w:r>
      <w:r w:rsidRPr="004B0912">
        <w:rPr>
          <w:i/>
          <w:color w:val="auto"/>
          <w:szCs w:val="20"/>
        </w:rPr>
        <w:t>las corrientes dan cuenta de tres procesos: el reconocimiento social de un problema; la elaboración de alternativas de solución para intervenir el problema (</w:t>
      </w:r>
      <w:proofErr w:type="spellStart"/>
      <w:r w:rsidRPr="004B0912">
        <w:rPr>
          <w:i/>
          <w:color w:val="auto"/>
          <w:szCs w:val="20"/>
        </w:rPr>
        <w:t>policies</w:t>
      </w:r>
      <w:proofErr w:type="spellEnd"/>
      <w:r w:rsidRPr="004B0912">
        <w:rPr>
          <w:i/>
          <w:color w:val="auto"/>
          <w:szCs w:val="20"/>
        </w:rPr>
        <w:t>) y los cambios políticos que acompañan los otros dos procesos para que la decisión pública se efectúe (</w:t>
      </w:r>
      <w:proofErr w:type="spellStart"/>
      <w:r w:rsidRPr="004B0912">
        <w:rPr>
          <w:i/>
          <w:color w:val="auto"/>
          <w:szCs w:val="20"/>
        </w:rPr>
        <w:t>politics</w:t>
      </w:r>
      <w:proofErr w:type="spellEnd"/>
      <w:r w:rsidRPr="004B0912">
        <w:rPr>
          <w:i/>
          <w:color w:val="auto"/>
          <w:szCs w:val="20"/>
        </w:rPr>
        <w:t>)”</w:t>
      </w:r>
      <w:r w:rsidRPr="004B0912">
        <w:rPr>
          <w:color w:val="auto"/>
          <w:szCs w:val="20"/>
        </w:rPr>
        <w:t xml:space="preserve"> (Ramírez </w:t>
      </w:r>
      <w:proofErr w:type="spellStart"/>
      <w:r w:rsidRPr="004B0912">
        <w:rPr>
          <w:color w:val="auto"/>
          <w:szCs w:val="20"/>
        </w:rPr>
        <w:t>Brouchoud</w:t>
      </w:r>
      <w:proofErr w:type="spellEnd"/>
      <w:r w:rsidRPr="004B0912">
        <w:rPr>
          <w:color w:val="auto"/>
          <w:szCs w:val="20"/>
        </w:rPr>
        <w:t>, 2015: 251).</w:t>
      </w:r>
    </w:p>
    <w:p w:rsidR="00D225DF" w:rsidRPr="004B0912" w:rsidRDefault="00D225DF" w:rsidP="00D225DF">
      <w:pPr>
        <w:spacing w:after="0" w:line="360" w:lineRule="auto"/>
        <w:ind w:firstLine="567"/>
        <w:jc w:val="both"/>
        <w:rPr>
          <w:rFonts w:ascii="Times New Roman" w:hAnsi="Times New Roman" w:cs="Times New Roman"/>
          <w:sz w:val="24"/>
        </w:rPr>
      </w:pPr>
      <w:r w:rsidRPr="004B0912">
        <w:rPr>
          <w:rFonts w:ascii="Times New Roman" w:hAnsi="Times New Roman" w:cs="Times New Roman"/>
          <w:sz w:val="24"/>
        </w:rPr>
        <w:t xml:space="preserve">Las denominadas “ventanas de oportunidad política” se producen cuando las tres vertientes se acoplan en momentos críticos. La unión ocurre mientras las ventanas de oportunidad están abiertas </w:t>
      </w:r>
      <w:r>
        <w:rPr>
          <w:rFonts w:ascii="Times New Roman" w:hAnsi="Times New Roman" w:cs="Times New Roman"/>
          <w:sz w:val="24"/>
        </w:rPr>
        <w:t>y</w:t>
      </w:r>
      <w:r w:rsidRPr="004B0912">
        <w:rPr>
          <w:rFonts w:ascii="Times New Roman" w:hAnsi="Times New Roman" w:cs="Times New Roman"/>
          <w:sz w:val="24"/>
        </w:rPr>
        <w:t xml:space="preserve"> determinados formuladores de políticas están en el poder, siendo las alternancias gubernamentales los momentos más propicios para la apertura (Zahariadis, 2010). En contextos de crisis o de fuertes oposiciones políticas, los gobernantes recientemente electos están dotados de la autoridad y legitimidad suficiente para introducir problemas en la agenda e impulsar soluciones;</w:t>
      </w:r>
      <w:r>
        <w:rPr>
          <w:rFonts w:ascii="Times New Roman" w:hAnsi="Times New Roman" w:cs="Times New Roman"/>
          <w:sz w:val="24"/>
        </w:rPr>
        <w:t xml:space="preserve"> así</w:t>
      </w:r>
      <w:r w:rsidRPr="004B0912">
        <w:rPr>
          <w:rFonts w:ascii="Times New Roman" w:hAnsi="Times New Roman" w:cs="Times New Roman"/>
          <w:sz w:val="24"/>
        </w:rPr>
        <w:t xml:space="preserve"> la variable política adquiere un rol fundamental. Los hacedores de políticas se encuentran frente a un escenario favorable para la toma de decisiones y la implementación de políticas públicas que pueden acarrear reformas importantes (Surel, 2006). Las ventanas, sin embargo, no </w:t>
      </w:r>
      <w:r w:rsidRPr="004B0912">
        <w:rPr>
          <w:rFonts w:ascii="Times New Roman" w:hAnsi="Times New Roman" w:cs="Times New Roman"/>
          <w:sz w:val="24"/>
        </w:rPr>
        <w:lastRenderedPageBreak/>
        <w:t>se encuentran abiertas por mucho tiempo, por lo que los actores intervinientes han de movilizar recursos para mantener la presión y así impulsar el de</w:t>
      </w:r>
      <w:r>
        <w:rPr>
          <w:rFonts w:ascii="Times New Roman" w:hAnsi="Times New Roman" w:cs="Times New Roman"/>
          <w:sz w:val="24"/>
        </w:rPr>
        <w:t>sarrollo de sus propuestas (Ramí</w:t>
      </w:r>
      <w:r w:rsidRPr="004B0912">
        <w:rPr>
          <w:rFonts w:ascii="Times New Roman" w:hAnsi="Times New Roman" w:cs="Times New Roman"/>
          <w:sz w:val="24"/>
        </w:rPr>
        <w:t xml:space="preserve">rez </w:t>
      </w:r>
      <w:proofErr w:type="spellStart"/>
      <w:r w:rsidRPr="004B0912">
        <w:rPr>
          <w:rFonts w:ascii="Times New Roman" w:hAnsi="Times New Roman" w:cs="Times New Roman"/>
          <w:sz w:val="24"/>
        </w:rPr>
        <w:t>Brouchoud</w:t>
      </w:r>
      <w:proofErr w:type="spellEnd"/>
      <w:r w:rsidRPr="004B0912">
        <w:rPr>
          <w:rFonts w:ascii="Times New Roman" w:hAnsi="Times New Roman" w:cs="Times New Roman"/>
          <w:sz w:val="24"/>
        </w:rPr>
        <w:t xml:space="preserve">, 2015). </w:t>
      </w:r>
    </w:p>
    <w:p w:rsidR="00D225DF" w:rsidRPr="004B0912" w:rsidRDefault="00D225DF" w:rsidP="00D225DF">
      <w:pPr>
        <w:spacing w:after="0" w:line="360" w:lineRule="auto"/>
        <w:ind w:firstLine="567"/>
        <w:jc w:val="both"/>
        <w:rPr>
          <w:rFonts w:ascii="Times New Roman" w:hAnsi="Times New Roman" w:cs="Times New Roman"/>
          <w:sz w:val="24"/>
        </w:rPr>
      </w:pPr>
      <w:r w:rsidRPr="004B0912">
        <w:rPr>
          <w:rFonts w:ascii="Times New Roman" w:hAnsi="Times New Roman" w:cs="Times New Roman"/>
          <w:sz w:val="24"/>
        </w:rPr>
        <w:t xml:space="preserve">El modelo de las corrientes múltiples incorpora el análisis de los condicionantes sociales, políticos e históricos en el estudio de las políticas públicas y permite comprender por qué una iniciativa es considerada o descartada </w:t>
      </w:r>
      <w:r>
        <w:rPr>
          <w:rFonts w:ascii="Times New Roman" w:hAnsi="Times New Roman" w:cs="Times New Roman"/>
          <w:sz w:val="24"/>
        </w:rPr>
        <w:t>en la agenda gubernamental (Domí</w:t>
      </w:r>
      <w:r w:rsidRPr="004B0912">
        <w:rPr>
          <w:rFonts w:ascii="Times New Roman" w:hAnsi="Times New Roman" w:cs="Times New Roman"/>
          <w:sz w:val="24"/>
        </w:rPr>
        <w:t>nguez Virgen, 2011). Más allá de las críticas que puedan hacerse</w:t>
      </w:r>
      <w:r>
        <w:rPr>
          <w:rFonts w:ascii="Times New Roman" w:hAnsi="Times New Roman" w:cs="Times New Roman"/>
          <w:sz w:val="24"/>
        </w:rPr>
        <w:t>, relacionadas con la carencia de una adecuada perspectiva de poder y la poca atención otorgada al peso e influencia de factores internacionales</w:t>
      </w:r>
      <w:r w:rsidRPr="004B0912">
        <w:rPr>
          <w:rFonts w:ascii="Times New Roman" w:hAnsi="Times New Roman" w:cs="Times New Roman"/>
          <w:sz w:val="24"/>
        </w:rPr>
        <w:t>, permite entender las políticas públicas de manera compleja, formando parte</w:t>
      </w:r>
      <w:r>
        <w:rPr>
          <w:rFonts w:ascii="Times New Roman" w:hAnsi="Times New Roman" w:cs="Times New Roman"/>
          <w:sz w:val="24"/>
        </w:rPr>
        <w:t xml:space="preserve"> de un constante dinamismo (Ramí</w:t>
      </w:r>
      <w:r w:rsidRPr="004B0912">
        <w:rPr>
          <w:rFonts w:ascii="Times New Roman" w:hAnsi="Times New Roman" w:cs="Times New Roman"/>
          <w:sz w:val="24"/>
        </w:rPr>
        <w:t xml:space="preserve">rez </w:t>
      </w:r>
      <w:proofErr w:type="spellStart"/>
      <w:r w:rsidRPr="004B0912">
        <w:rPr>
          <w:rFonts w:ascii="Times New Roman" w:hAnsi="Times New Roman" w:cs="Times New Roman"/>
          <w:sz w:val="24"/>
        </w:rPr>
        <w:t>Brouchoud</w:t>
      </w:r>
      <w:proofErr w:type="spellEnd"/>
      <w:r w:rsidRPr="004B0912">
        <w:rPr>
          <w:rFonts w:ascii="Times New Roman" w:hAnsi="Times New Roman" w:cs="Times New Roman"/>
          <w:sz w:val="24"/>
        </w:rPr>
        <w:t>, 2015).</w:t>
      </w:r>
    </w:p>
    <w:p w:rsidR="00D225DF" w:rsidRPr="004B0912" w:rsidRDefault="00D225DF" w:rsidP="00D225DF">
      <w:pPr>
        <w:ind w:firstLine="567"/>
        <w:jc w:val="both"/>
        <w:rPr>
          <w:rFonts w:ascii="Times New Roman" w:hAnsi="Times New Roman" w:cs="Times New Roman"/>
          <w:sz w:val="24"/>
          <w:szCs w:val="24"/>
          <w:shd w:val="clear" w:color="auto" w:fill="FFFFFF"/>
        </w:rPr>
      </w:pPr>
    </w:p>
    <w:p w:rsidR="00D225DF" w:rsidRPr="004B0912" w:rsidRDefault="00D225DF" w:rsidP="00D225DF">
      <w:pPr>
        <w:jc w:val="both"/>
        <w:rPr>
          <w:rFonts w:ascii="Times New Roman" w:hAnsi="Times New Roman" w:cs="Times New Roman"/>
          <w:i/>
          <w:sz w:val="24"/>
          <w:szCs w:val="24"/>
          <w:shd w:val="clear" w:color="auto" w:fill="FFFFFF"/>
        </w:rPr>
      </w:pPr>
      <w:r w:rsidRPr="004B0912">
        <w:rPr>
          <w:rFonts w:ascii="Times New Roman" w:hAnsi="Times New Roman" w:cs="Times New Roman"/>
          <w:i/>
          <w:sz w:val="24"/>
          <w:szCs w:val="24"/>
          <w:shd w:val="clear" w:color="auto" w:fill="FFFFFF"/>
        </w:rPr>
        <w:t>Ley de Obediencia Debida</w:t>
      </w:r>
      <w:r>
        <w:rPr>
          <w:rFonts w:ascii="Times New Roman" w:hAnsi="Times New Roman" w:cs="Times New Roman"/>
          <w:i/>
          <w:sz w:val="24"/>
          <w:szCs w:val="24"/>
          <w:shd w:val="clear" w:color="auto" w:fill="FFFFFF"/>
        </w:rPr>
        <w:t>: hacia el establecimiento de niveles de responsabilidad</w:t>
      </w:r>
    </w:p>
    <w:p w:rsidR="00D225DF" w:rsidRPr="004B0912" w:rsidRDefault="00D225DF" w:rsidP="00D225DF">
      <w:pPr>
        <w:spacing w:after="0" w:line="360" w:lineRule="auto"/>
        <w:ind w:firstLine="567"/>
        <w:jc w:val="both"/>
        <w:rPr>
          <w:rFonts w:ascii="Times New Roman" w:hAnsi="Times New Roman" w:cs="Times New Roman"/>
          <w:sz w:val="24"/>
          <w:szCs w:val="24"/>
          <w:shd w:val="clear" w:color="auto" w:fill="FFFFFF"/>
        </w:rPr>
      </w:pPr>
      <w:r w:rsidRPr="004B0912">
        <w:rPr>
          <w:rFonts w:ascii="Times New Roman" w:hAnsi="Times New Roman" w:cs="Times New Roman"/>
          <w:sz w:val="24"/>
          <w:szCs w:val="24"/>
          <w:shd w:val="clear" w:color="auto" w:fill="FFFFFF"/>
        </w:rPr>
        <w:t>El 4 de Junio de 1987 el Congreso</w:t>
      </w:r>
      <w:r>
        <w:rPr>
          <w:rFonts w:ascii="Times New Roman" w:hAnsi="Times New Roman" w:cs="Times New Roman"/>
          <w:sz w:val="24"/>
          <w:szCs w:val="24"/>
          <w:shd w:val="clear" w:color="auto" w:fill="FFFFFF"/>
        </w:rPr>
        <w:t xml:space="preserve"> de la Nación Argentina sancionó la L</w:t>
      </w:r>
      <w:r w:rsidRPr="004B0912">
        <w:rPr>
          <w:rFonts w:ascii="Times New Roman" w:hAnsi="Times New Roman" w:cs="Times New Roman"/>
          <w:sz w:val="24"/>
          <w:szCs w:val="24"/>
          <w:shd w:val="clear" w:color="auto" w:fill="FFFFFF"/>
        </w:rPr>
        <w:t xml:space="preserve">ey 23.521, conocida con el nombre de “Obediencia Debida”. </w:t>
      </w:r>
      <w:r>
        <w:rPr>
          <w:rFonts w:ascii="Times New Roman" w:hAnsi="Times New Roman" w:cs="Times New Roman"/>
          <w:sz w:val="24"/>
          <w:szCs w:val="24"/>
          <w:shd w:val="clear" w:color="auto" w:fill="FFFFFF"/>
        </w:rPr>
        <w:t>En su artículo primero, establecía</w:t>
      </w:r>
      <w:r w:rsidRPr="004B0912">
        <w:rPr>
          <w:rFonts w:ascii="Times New Roman" w:hAnsi="Times New Roman" w:cs="Times New Roman"/>
          <w:sz w:val="24"/>
          <w:szCs w:val="24"/>
          <w:shd w:val="clear" w:color="auto" w:fill="FFFFFF"/>
        </w:rPr>
        <w:t xml:space="preserve"> la presunción de que aquellos que se desempeñaban como oficiales jefes, oficiales subalternos, suboficiales o personal de tropa, ya sea de las Fuerzas Armadas, policiales, penitenciarias o de seguridad, actuaron en virtud de obediencia debida. De este modo, </w:t>
      </w:r>
      <w:r>
        <w:rPr>
          <w:rFonts w:ascii="Times New Roman" w:hAnsi="Times New Roman" w:cs="Times New Roman"/>
          <w:sz w:val="24"/>
          <w:szCs w:val="24"/>
          <w:shd w:val="clear" w:color="auto" w:fill="FFFFFF"/>
        </w:rPr>
        <w:t xml:space="preserve">y como se indicó anteriormente, </w:t>
      </w:r>
      <w:r w:rsidRPr="004B0912">
        <w:rPr>
          <w:rFonts w:ascii="Times New Roman" w:hAnsi="Times New Roman" w:cs="Times New Roman"/>
          <w:sz w:val="24"/>
          <w:szCs w:val="24"/>
          <w:shd w:val="clear" w:color="auto" w:fill="FFFFFF"/>
        </w:rPr>
        <w:t>con</w:t>
      </w:r>
      <w:r>
        <w:rPr>
          <w:rFonts w:ascii="Times New Roman" w:hAnsi="Times New Roman" w:cs="Times New Roman"/>
          <w:sz w:val="24"/>
          <w:szCs w:val="24"/>
          <w:shd w:val="clear" w:color="auto" w:fill="FFFFFF"/>
        </w:rPr>
        <w:t xml:space="preserve"> la</w:t>
      </w:r>
      <w:r w:rsidRPr="004B0912">
        <w:rPr>
          <w:rFonts w:ascii="Times New Roman" w:hAnsi="Times New Roman" w:cs="Times New Roman"/>
          <w:sz w:val="24"/>
          <w:szCs w:val="24"/>
          <w:shd w:val="clear" w:color="auto" w:fill="FFFFFF"/>
        </w:rPr>
        <w:t xml:space="preserve"> excepción de los delitos vinculados a violaciones, sustracción y ocultación de menores o sustituciones en su estado civil y apropiación de bienes inmuebles, los actos cometidos no se considera</w:t>
      </w:r>
      <w:r>
        <w:rPr>
          <w:rFonts w:ascii="Times New Roman" w:hAnsi="Times New Roman" w:cs="Times New Roman"/>
          <w:sz w:val="24"/>
          <w:szCs w:val="24"/>
          <w:shd w:val="clear" w:color="auto" w:fill="FFFFFF"/>
        </w:rPr>
        <w:t>rían punibles. La normativa supone</w:t>
      </w:r>
      <w:r w:rsidRPr="004B0912">
        <w:rPr>
          <w:rFonts w:ascii="Times New Roman" w:hAnsi="Times New Roman" w:cs="Times New Roman"/>
          <w:sz w:val="24"/>
          <w:szCs w:val="24"/>
          <w:shd w:val="clear" w:color="auto" w:fill="FFFFFF"/>
        </w:rPr>
        <w:t xml:space="preserve"> que se actuó en subordinación a la autoridad y en cumplimiento de órdenes, sin posibilidad de examen, resistencia u oposición a las mismas (Ley 23.521).</w:t>
      </w:r>
    </w:p>
    <w:p w:rsidR="00D225DF" w:rsidRPr="00565B26" w:rsidRDefault="00D225DF" w:rsidP="00D225DF">
      <w:pPr>
        <w:spacing w:after="0" w:line="360" w:lineRule="auto"/>
        <w:ind w:firstLine="567"/>
        <w:jc w:val="both"/>
        <w:rPr>
          <w:rFonts w:ascii="Times New Roman" w:hAnsi="Times New Roman" w:cs="Times New Roman"/>
          <w:sz w:val="24"/>
          <w:szCs w:val="24"/>
          <w:shd w:val="clear" w:color="auto" w:fill="FFFFFF"/>
        </w:rPr>
      </w:pPr>
      <w:r w:rsidRPr="00D20A54">
        <w:rPr>
          <w:rFonts w:ascii="Times New Roman" w:hAnsi="Times New Roman" w:cs="Times New Roman"/>
          <w:color w:val="FF0000"/>
          <w:sz w:val="24"/>
          <w:szCs w:val="24"/>
          <w:shd w:val="clear" w:color="auto" w:fill="FFFFFF"/>
        </w:rPr>
        <w:t xml:space="preserve"> </w:t>
      </w:r>
      <w:r w:rsidRPr="00565B26">
        <w:rPr>
          <w:rFonts w:ascii="Times New Roman" w:hAnsi="Times New Roman" w:cs="Times New Roman"/>
          <w:sz w:val="24"/>
          <w:szCs w:val="24"/>
          <w:shd w:val="clear" w:color="auto" w:fill="FFFFFF"/>
        </w:rPr>
        <w:t>El régimen jerárquico de la organización militar y de las fuerzas de seguridad (FFSS) sería, entonces, el elemento a partir del cual se establecerían las responsabilidades y la valoración de los castigos. La exclusión de punición de crímenes vinculados con las torturas, secuestros, asesinatos y desapariciones, piedras angulares del terrorismo de Estado, acrecienta el número de funcionarios militares y agentes de las FFSS que quedarían impunes (Galante, 2017b). Los perpetradores, por su parte, fueron concebidos como meros ejecutores mecánicos, cuya autonomía se encontraba restringida por la supeditación a las órdenes recibidas (</w:t>
      </w:r>
      <w:proofErr w:type="spellStart"/>
      <w:r w:rsidRPr="00565B26">
        <w:rPr>
          <w:rFonts w:ascii="Times New Roman" w:hAnsi="Times New Roman" w:cs="Times New Roman"/>
          <w:sz w:val="24"/>
          <w:szCs w:val="24"/>
          <w:shd w:val="clear" w:color="auto" w:fill="FFFFFF"/>
        </w:rPr>
        <w:t>Crenzel</w:t>
      </w:r>
      <w:proofErr w:type="spellEnd"/>
      <w:r w:rsidRPr="00565B26">
        <w:rPr>
          <w:rFonts w:ascii="Times New Roman" w:hAnsi="Times New Roman" w:cs="Times New Roman"/>
          <w:sz w:val="24"/>
          <w:szCs w:val="24"/>
          <w:shd w:val="clear" w:color="auto" w:fill="FFFFFF"/>
        </w:rPr>
        <w:t xml:space="preserve">, 2014). Los argumentos </w:t>
      </w:r>
      <w:r w:rsidRPr="00565B26">
        <w:rPr>
          <w:rFonts w:ascii="Times New Roman" w:hAnsi="Times New Roman" w:cs="Times New Roman"/>
          <w:sz w:val="24"/>
          <w:szCs w:val="24"/>
          <w:shd w:val="clear" w:color="auto" w:fill="FFFFFF"/>
        </w:rPr>
        <w:lastRenderedPageBreak/>
        <w:t>esgrimidos por el gobierno en favor de la ley tenían que ver con la necesidad de establecer definiciones jurídicas precisas (Galante, 2017b).</w:t>
      </w:r>
    </w:p>
    <w:p w:rsidR="00D225DF" w:rsidRPr="004B0912" w:rsidRDefault="00D225DF" w:rsidP="00D225DF">
      <w:pPr>
        <w:spacing w:after="0" w:line="360" w:lineRule="auto"/>
        <w:ind w:firstLine="567"/>
        <w:jc w:val="both"/>
        <w:rPr>
          <w:rFonts w:ascii="Times New Roman" w:eastAsia="Times New Roman" w:hAnsi="Times New Roman" w:cs="Times New Roman"/>
          <w:sz w:val="24"/>
          <w:szCs w:val="24"/>
          <w:lang w:eastAsia="es-ES"/>
        </w:rPr>
      </w:pPr>
      <w:r w:rsidRPr="004B0912">
        <w:rPr>
          <w:rFonts w:ascii="Times New Roman" w:eastAsia="Times New Roman" w:hAnsi="Times New Roman" w:cs="Times New Roman"/>
          <w:sz w:val="24"/>
          <w:szCs w:val="24"/>
          <w:lang w:eastAsia="es-ES"/>
        </w:rPr>
        <w:t>Ahora bien, cabe preguntarse en qué contex</w:t>
      </w:r>
      <w:r>
        <w:rPr>
          <w:rFonts w:ascii="Times New Roman" w:eastAsia="Times New Roman" w:hAnsi="Times New Roman" w:cs="Times New Roman"/>
          <w:sz w:val="24"/>
          <w:szCs w:val="24"/>
          <w:lang w:eastAsia="es-ES"/>
        </w:rPr>
        <w:t>to se circunscribió</w:t>
      </w:r>
      <w:r w:rsidRPr="004B0912">
        <w:rPr>
          <w:rFonts w:ascii="Times New Roman" w:eastAsia="Times New Roman" w:hAnsi="Times New Roman" w:cs="Times New Roman"/>
          <w:sz w:val="24"/>
          <w:szCs w:val="24"/>
          <w:lang w:eastAsia="es-ES"/>
        </w:rPr>
        <w:t xml:space="preserve"> la sanción de una ley de estas características, qué factores movilizaro</w:t>
      </w:r>
      <w:r>
        <w:rPr>
          <w:rFonts w:ascii="Times New Roman" w:eastAsia="Times New Roman" w:hAnsi="Times New Roman" w:cs="Times New Roman"/>
          <w:sz w:val="24"/>
          <w:szCs w:val="24"/>
          <w:lang w:eastAsia="es-ES"/>
        </w:rPr>
        <w:t>n su promulgación, cómo se llegó</w:t>
      </w:r>
      <w:r w:rsidRPr="004B0912">
        <w:rPr>
          <w:rFonts w:ascii="Times New Roman" w:eastAsia="Times New Roman" w:hAnsi="Times New Roman" w:cs="Times New Roman"/>
          <w:sz w:val="24"/>
          <w:szCs w:val="24"/>
          <w:lang w:eastAsia="es-ES"/>
        </w:rPr>
        <w:t xml:space="preserve"> a un acuerdo acerca del establecimiento de niveles de responsabilidad. </w:t>
      </w:r>
    </w:p>
    <w:p w:rsidR="00D225DF" w:rsidRPr="004B0912" w:rsidRDefault="00D225DF" w:rsidP="00D225DF">
      <w:pPr>
        <w:spacing w:after="0" w:line="360" w:lineRule="auto"/>
        <w:ind w:firstLine="567"/>
        <w:jc w:val="both"/>
        <w:rPr>
          <w:rFonts w:ascii="Times New Roman" w:hAnsi="Times New Roman" w:cs="Times New Roman"/>
          <w:sz w:val="24"/>
          <w:szCs w:val="24"/>
          <w:shd w:val="clear" w:color="auto" w:fill="FFFFFF"/>
        </w:rPr>
      </w:pPr>
      <w:r w:rsidRPr="00640116">
        <w:rPr>
          <w:rFonts w:ascii="Times New Roman" w:eastAsia="Times New Roman" w:hAnsi="Times New Roman" w:cs="Times New Roman"/>
          <w:sz w:val="24"/>
          <w:szCs w:val="24"/>
          <w:lang w:eastAsia="es-ES"/>
        </w:rPr>
        <w:t xml:space="preserve">El 23 de Diciembre de 1986 el Congreso de la Nación sancionó la Ley 23.492 de “Punto Final”. Dicha norma estipuló que los tribunales contaban con sesenta días corridos para citar al personal de las Fuerzas Armadas a prestar declaración indagatoria, y respecto de las demandas de las víctimas y sus familiares, consideró extinguidas todas aquellas denuncias que se hicieran posteriormente a dicho plazo (Ley 23.492). Desde el gobierno se sostuvo que la ley no implicaría una atenuación de los juzgamientos, sino una aceleración del proceso judicial (Galante, 2015). Los </w:t>
      </w:r>
      <w:r w:rsidRPr="004B0912">
        <w:rPr>
          <w:rFonts w:ascii="Times New Roman" w:eastAsia="Times New Roman" w:hAnsi="Times New Roman" w:cs="Times New Roman"/>
          <w:sz w:val="24"/>
          <w:szCs w:val="24"/>
          <w:lang w:eastAsia="es-ES"/>
        </w:rPr>
        <w:t>resultados no se presentaron conforme a lo esperado y, en el plazo previsto, se multiplicaron la</w:t>
      </w:r>
      <w:r>
        <w:rPr>
          <w:rFonts w:ascii="Times New Roman" w:eastAsia="Times New Roman" w:hAnsi="Times New Roman" w:cs="Times New Roman"/>
          <w:sz w:val="24"/>
          <w:szCs w:val="24"/>
          <w:lang w:eastAsia="es-ES"/>
        </w:rPr>
        <w:t>s</w:t>
      </w:r>
      <w:r w:rsidRPr="004B0912">
        <w:rPr>
          <w:rFonts w:ascii="Times New Roman" w:eastAsia="Times New Roman" w:hAnsi="Times New Roman" w:cs="Times New Roman"/>
          <w:sz w:val="24"/>
          <w:szCs w:val="24"/>
          <w:lang w:eastAsia="es-ES"/>
        </w:rPr>
        <w:t xml:space="preserve"> denuncias y se incorporó un gran número de imputados por delitos de lesa humanidad, que involucraban a miembros de diferentes jerarquías dentro de las Fuerzas Armadas (</w:t>
      </w:r>
      <w:proofErr w:type="spellStart"/>
      <w:r>
        <w:rPr>
          <w:rFonts w:ascii="Times New Roman" w:eastAsia="Times New Roman" w:hAnsi="Times New Roman" w:cs="Times New Roman"/>
          <w:sz w:val="24"/>
          <w:szCs w:val="24"/>
          <w:lang w:eastAsia="es-ES"/>
        </w:rPr>
        <w:t>Acuaña</w:t>
      </w:r>
      <w:proofErr w:type="spellEnd"/>
      <w:r>
        <w:rPr>
          <w:rFonts w:ascii="Times New Roman" w:eastAsia="Times New Roman" w:hAnsi="Times New Roman" w:cs="Times New Roman"/>
          <w:sz w:val="24"/>
          <w:szCs w:val="24"/>
          <w:lang w:eastAsia="es-ES"/>
        </w:rPr>
        <w:t xml:space="preserve"> y </w:t>
      </w:r>
      <w:proofErr w:type="spellStart"/>
      <w:r>
        <w:rPr>
          <w:rFonts w:ascii="Times New Roman" w:eastAsia="Times New Roman" w:hAnsi="Times New Roman" w:cs="Times New Roman"/>
          <w:sz w:val="24"/>
          <w:szCs w:val="24"/>
          <w:lang w:eastAsia="es-ES"/>
        </w:rPr>
        <w:t>Smulovitz</w:t>
      </w:r>
      <w:proofErr w:type="spellEnd"/>
      <w:r>
        <w:rPr>
          <w:rFonts w:ascii="Times New Roman" w:eastAsia="Times New Roman" w:hAnsi="Times New Roman" w:cs="Times New Roman"/>
          <w:sz w:val="24"/>
          <w:szCs w:val="24"/>
          <w:lang w:eastAsia="es-ES"/>
        </w:rPr>
        <w:t xml:space="preserve">, 1993; </w:t>
      </w:r>
      <w:r w:rsidRPr="004B0912">
        <w:rPr>
          <w:rFonts w:ascii="Times New Roman" w:eastAsia="Times New Roman" w:hAnsi="Times New Roman" w:cs="Times New Roman"/>
          <w:sz w:val="24"/>
          <w:szCs w:val="24"/>
          <w:lang w:eastAsia="es-ES"/>
        </w:rPr>
        <w:t xml:space="preserve">Galante, 2015; 2017b). </w:t>
      </w:r>
    </w:p>
    <w:p w:rsidR="00D225DF" w:rsidRPr="004B0912" w:rsidRDefault="00D225DF" w:rsidP="00D225DF">
      <w:pPr>
        <w:shd w:val="clear" w:color="auto" w:fill="FFFFFF"/>
        <w:spacing w:after="0" w:line="360" w:lineRule="auto"/>
        <w:ind w:firstLine="567"/>
        <w:jc w:val="both"/>
        <w:rPr>
          <w:rFonts w:ascii="Times New Roman" w:eastAsia="Times New Roman" w:hAnsi="Times New Roman" w:cs="Times New Roman"/>
          <w:sz w:val="24"/>
          <w:szCs w:val="24"/>
          <w:lang w:eastAsia="es-ES"/>
        </w:rPr>
      </w:pPr>
      <w:r w:rsidRPr="004B0912">
        <w:rPr>
          <w:rFonts w:ascii="Times New Roman" w:eastAsia="Times New Roman" w:hAnsi="Times New Roman" w:cs="Times New Roman"/>
          <w:sz w:val="24"/>
          <w:szCs w:val="24"/>
          <w:lang w:eastAsia="es-ES"/>
        </w:rPr>
        <w:t xml:space="preserve">Los efectos de la ley no estuvieron exentos de conflictos. Por un lado, fue interpretada por las organizaciones de derechos humanos </w:t>
      </w:r>
      <w:r>
        <w:rPr>
          <w:rFonts w:ascii="Times New Roman" w:eastAsia="Times New Roman" w:hAnsi="Times New Roman" w:cs="Times New Roman"/>
          <w:sz w:val="24"/>
          <w:szCs w:val="24"/>
          <w:lang w:eastAsia="es-ES"/>
        </w:rPr>
        <w:t>como un instrumento de impunidad que beneficiaba a los perpetradores y que dificultaba el conocimiento de lo ocurrido con las víctimas</w:t>
      </w:r>
      <w:r w:rsidRPr="004B0912">
        <w:rPr>
          <w:rFonts w:ascii="Times New Roman" w:eastAsia="Times New Roman" w:hAnsi="Times New Roman" w:cs="Times New Roman"/>
          <w:sz w:val="24"/>
          <w:szCs w:val="24"/>
          <w:lang w:eastAsia="es-ES"/>
        </w:rPr>
        <w:t xml:space="preserve"> (</w:t>
      </w:r>
      <w:proofErr w:type="spellStart"/>
      <w:r w:rsidRPr="004B0912">
        <w:rPr>
          <w:rFonts w:ascii="Times New Roman" w:eastAsia="Times New Roman" w:hAnsi="Times New Roman" w:cs="Times New Roman"/>
          <w:sz w:val="24"/>
          <w:szCs w:val="24"/>
          <w:lang w:eastAsia="es-ES"/>
        </w:rPr>
        <w:t>Romanin</w:t>
      </w:r>
      <w:proofErr w:type="spellEnd"/>
      <w:r w:rsidRPr="004B0912">
        <w:rPr>
          <w:rFonts w:ascii="Times New Roman" w:eastAsia="Times New Roman" w:hAnsi="Times New Roman" w:cs="Times New Roman"/>
          <w:sz w:val="24"/>
          <w:szCs w:val="24"/>
          <w:lang w:eastAsia="es-ES"/>
        </w:rPr>
        <w:t>, 2015). Por otro, en abril de 1987, diversos oficiales se negaron a prestar declaración ante la Justicia, conflicto que culminó con los amotinamientos y rebeliones</w:t>
      </w:r>
      <w:r>
        <w:rPr>
          <w:rFonts w:ascii="Times New Roman" w:eastAsia="Times New Roman" w:hAnsi="Times New Roman" w:cs="Times New Roman"/>
          <w:sz w:val="24"/>
          <w:szCs w:val="24"/>
          <w:lang w:eastAsia="es-ES"/>
        </w:rPr>
        <w:t xml:space="preserve"> de un sector de la oficialidad de las FFAA</w:t>
      </w:r>
      <w:r w:rsidRPr="004B0912">
        <w:rPr>
          <w:rFonts w:ascii="Times New Roman" w:eastAsia="Times New Roman" w:hAnsi="Times New Roman" w:cs="Times New Roman"/>
          <w:sz w:val="24"/>
          <w:szCs w:val="24"/>
          <w:lang w:eastAsia="es-ES"/>
        </w:rPr>
        <w:t xml:space="preserve"> conocidos con el nombre de “levantamientos carapintadas” que demandaban, entre otras cosas, una solución política al problema de los juicios</w:t>
      </w:r>
      <w:r w:rsidRPr="004B0912">
        <w:rPr>
          <w:rStyle w:val="Refdenotaalpie"/>
          <w:rFonts w:ascii="Times New Roman" w:eastAsia="Times New Roman" w:hAnsi="Times New Roman" w:cs="Times New Roman"/>
          <w:sz w:val="24"/>
          <w:szCs w:val="24"/>
          <w:lang w:eastAsia="es-ES"/>
        </w:rPr>
        <w:footnoteReference w:id="5"/>
      </w:r>
      <w:r w:rsidRPr="004B0912">
        <w:rPr>
          <w:rFonts w:ascii="Times New Roman" w:eastAsia="Times New Roman" w:hAnsi="Times New Roman" w:cs="Times New Roman"/>
          <w:sz w:val="24"/>
          <w:szCs w:val="24"/>
          <w:lang w:eastAsia="es-ES"/>
        </w:rPr>
        <w:t xml:space="preserve"> (Acuña y </w:t>
      </w:r>
      <w:proofErr w:type="spellStart"/>
      <w:r w:rsidRPr="004B0912">
        <w:rPr>
          <w:rFonts w:ascii="Times New Roman" w:eastAsia="Times New Roman" w:hAnsi="Times New Roman" w:cs="Times New Roman"/>
          <w:sz w:val="24"/>
          <w:szCs w:val="24"/>
          <w:lang w:eastAsia="es-ES"/>
        </w:rPr>
        <w:t>Smulovitz</w:t>
      </w:r>
      <w:proofErr w:type="spellEnd"/>
      <w:r w:rsidRPr="004B0912">
        <w:rPr>
          <w:rFonts w:ascii="Times New Roman" w:eastAsia="Times New Roman" w:hAnsi="Times New Roman" w:cs="Times New Roman"/>
          <w:sz w:val="24"/>
          <w:szCs w:val="24"/>
          <w:lang w:eastAsia="es-ES"/>
        </w:rPr>
        <w:t>, 1993).</w:t>
      </w:r>
    </w:p>
    <w:p w:rsidR="00D225DF" w:rsidRPr="004B0912" w:rsidRDefault="00D225DF" w:rsidP="00D225DF">
      <w:pPr>
        <w:shd w:val="clear" w:color="auto" w:fill="FFFFFF"/>
        <w:spacing w:after="0" w:line="360" w:lineRule="auto"/>
        <w:ind w:firstLine="567"/>
        <w:jc w:val="both"/>
        <w:rPr>
          <w:rFonts w:ascii="Times New Roman" w:eastAsia="Times New Roman" w:hAnsi="Times New Roman" w:cs="Times New Roman"/>
          <w:sz w:val="24"/>
          <w:szCs w:val="24"/>
          <w:lang w:eastAsia="es-ES"/>
        </w:rPr>
      </w:pPr>
      <w:r w:rsidRPr="004B0912">
        <w:rPr>
          <w:rFonts w:ascii="Times New Roman" w:eastAsia="Times New Roman" w:hAnsi="Times New Roman" w:cs="Times New Roman"/>
          <w:sz w:val="24"/>
          <w:szCs w:val="24"/>
          <w:lang w:eastAsia="es-ES"/>
        </w:rPr>
        <w:t xml:space="preserve">En Mayo de 1987 el proyecto de ley de Obediencia Debida ingresó al Congreso acompañado de un mensaje presidencial que resaltaba la crisis de coyuntura y la necesidad de dar respuesta a la cuestión militar. Ante el peligro de nuevos levantamientos, la continuidad del régimen político democrático se erigía como un elemento fundamental. Esta lógica discursiva también fue empleada por quienes </w:t>
      </w:r>
      <w:r w:rsidRPr="004B0912">
        <w:rPr>
          <w:rFonts w:ascii="Times New Roman" w:eastAsia="Times New Roman" w:hAnsi="Times New Roman" w:cs="Times New Roman"/>
          <w:sz w:val="24"/>
          <w:szCs w:val="24"/>
          <w:lang w:eastAsia="es-ES"/>
        </w:rPr>
        <w:lastRenderedPageBreak/>
        <w:t>bregaban por la aprobación de la ley en el recinto, donde las presiones militares y el conflicto carapintada se esgrimían como cuestiones a resolver de forma urgente (Galante, 2015).</w:t>
      </w:r>
    </w:p>
    <w:p w:rsidR="00D225DF" w:rsidRPr="004B0912" w:rsidRDefault="00D225DF" w:rsidP="00D225DF">
      <w:pPr>
        <w:spacing w:after="0" w:line="360" w:lineRule="auto"/>
        <w:ind w:firstLine="567"/>
        <w:jc w:val="both"/>
        <w:rPr>
          <w:rFonts w:ascii="Times New Roman" w:eastAsia="Times New Roman" w:hAnsi="Times New Roman" w:cs="Times New Roman"/>
          <w:sz w:val="24"/>
          <w:szCs w:val="24"/>
          <w:lang w:eastAsia="es-ES"/>
        </w:rPr>
      </w:pPr>
      <w:r w:rsidRPr="004B0912">
        <w:rPr>
          <w:rFonts w:ascii="Times New Roman" w:eastAsia="Times New Roman" w:hAnsi="Times New Roman" w:cs="Times New Roman"/>
          <w:sz w:val="24"/>
          <w:szCs w:val="24"/>
          <w:lang w:eastAsia="es-ES"/>
        </w:rPr>
        <w:t>La Obediencia Debida parece responder, entonces, a las coacciones ejercidas por los sectores militares, que aún conserva</w:t>
      </w:r>
      <w:r>
        <w:rPr>
          <w:rFonts w:ascii="Times New Roman" w:eastAsia="Times New Roman" w:hAnsi="Times New Roman" w:cs="Times New Roman"/>
          <w:sz w:val="24"/>
          <w:szCs w:val="24"/>
          <w:lang w:eastAsia="es-ES"/>
        </w:rPr>
        <w:t>ba</w:t>
      </w:r>
      <w:r w:rsidRPr="004B0912">
        <w:rPr>
          <w:rFonts w:ascii="Times New Roman" w:eastAsia="Times New Roman" w:hAnsi="Times New Roman" w:cs="Times New Roman"/>
          <w:sz w:val="24"/>
          <w:szCs w:val="24"/>
          <w:lang w:eastAsia="es-ES"/>
        </w:rPr>
        <w:t xml:space="preserve">n poder e influencia en el gobierno de la transición y las </w:t>
      </w:r>
      <w:r>
        <w:rPr>
          <w:rFonts w:ascii="Times New Roman" w:eastAsia="Times New Roman" w:hAnsi="Times New Roman" w:cs="Times New Roman"/>
          <w:sz w:val="24"/>
          <w:szCs w:val="24"/>
          <w:lang w:eastAsia="es-ES"/>
        </w:rPr>
        <w:t>decisiones presidenciales parecía</w:t>
      </w:r>
      <w:r w:rsidRPr="004B0912">
        <w:rPr>
          <w:rFonts w:ascii="Times New Roman" w:eastAsia="Times New Roman" w:hAnsi="Times New Roman" w:cs="Times New Roman"/>
          <w:sz w:val="24"/>
          <w:szCs w:val="24"/>
          <w:lang w:eastAsia="es-ES"/>
        </w:rPr>
        <w:t>n estar supeditadas a esta situación. Sin embargo, entender la promulgación de la política pública de este modo sería, por lo menos, apresurado. Si bien no desconocemos el peso que tienen los actores militares en democracia, es menester tener en cuenta que la determinación de niveles de responsabilidad ya se encontraba presente en el discurso del presidente desde su campaña (</w:t>
      </w:r>
      <w:proofErr w:type="spellStart"/>
      <w:r w:rsidRPr="004B0912">
        <w:rPr>
          <w:rFonts w:ascii="Times New Roman" w:eastAsia="Times New Roman" w:hAnsi="Times New Roman" w:cs="Times New Roman"/>
          <w:sz w:val="24"/>
          <w:szCs w:val="24"/>
          <w:lang w:eastAsia="es-ES"/>
        </w:rPr>
        <w:t>Crenzel</w:t>
      </w:r>
      <w:proofErr w:type="spellEnd"/>
      <w:r w:rsidRPr="004B0912">
        <w:rPr>
          <w:rFonts w:ascii="Times New Roman" w:eastAsia="Times New Roman" w:hAnsi="Times New Roman" w:cs="Times New Roman"/>
          <w:sz w:val="24"/>
          <w:szCs w:val="24"/>
          <w:lang w:eastAsia="es-ES"/>
        </w:rPr>
        <w:t xml:space="preserve">, 2014). </w:t>
      </w:r>
    </w:p>
    <w:p w:rsidR="00D225DF" w:rsidRPr="004B0912" w:rsidRDefault="00D225DF" w:rsidP="00D225DF">
      <w:pPr>
        <w:spacing w:after="0" w:line="360" w:lineRule="auto"/>
        <w:ind w:firstLine="567"/>
        <w:jc w:val="both"/>
        <w:rPr>
          <w:rStyle w:val="Textoennegrita"/>
          <w:rFonts w:ascii="Times New Roman" w:eastAsia="Times New Roman" w:hAnsi="Times New Roman" w:cs="Times New Roman"/>
          <w:b w:val="0"/>
          <w:bCs w:val="0"/>
          <w:sz w:val="24"/>
          <w:szCs w:val="24"/>
          <w:lang w:eastAsia="es-ES"/>
        </w:rPr>
      </w:pPr>
      <w:r w:rsidRPr="004B0912">
        <w:rPr>
          <w:rFonts w:ascii="Times New Roman" w:hAnsi="Times New Roman" w:cs="Times New Roman"/>
          <w:sz w:val="24"/>
        </w:rPr>
        <w:t>El juzgamiento de las violaciones a los derechos humanos y el establecimiento de la justicia civil como ámbito privileg</w:t>
      </w:r>
      <w:r>
        <w:rPr>
          <w:rFonts w:ascii="Times New Roman" w:hAnsi="Times New Roman" w:cs="Times New Roman"/>
          <w:sz w:val="24"/>
        </w:rPr>
        <w:t>iado para los mismos se constituyero</w:t>
      </w:r>
      <w:r w:rsidRPr="004B0912">
        <w:rPr>
          <w:rFonts w:ascii="Times New Roman" w:hAnsi="Times New Roman" w:cs="Times New Roman"/>
          <w:sz w:val="24"/>
        </w:rPr>
        <w:t>n como proyectos políticos del gobierno de la transición democrática</w:t>
      </w:r>
      <w:r w:rsidRPr="004B0912">
        <w:rPr>
          <w:rStyle w:val="Refdenotaalpie"/>
          <w:rFonts w:ascii="Times New Roman" w:hAnsi="Times New Roman" w:cs="Times New Roman"/>
          <w:sz w:val="24"/>
        </w:rPr>
        <w:footnoteReference w:id="6"/>
      </w:r>
      <w:r w:rsidRPr="004B0912">
        <w:rPr>
          <w:rFonts w:ascii="Times New Roman" w:hAnsi="Times New Roman" w:cs="Times New Roman"/>
          <w:sz w:val="24"/>
        </w:rPr>
        <w:t xml:space="preserve">. La determinación de niveles de responsabilidad, y el consecuente tratamiento penal diferencial a cada uno de ellos, ya se encontraba presente en los discursos de campaña de Raúl Alfonsín, previos a su elección en 1983.  En primer lugar se hallaban las cúpulas militares, quienes tomaron las decisiones políticas y violaron derechos humanos fundamentales. En segundo lugar, quienes cometieron excesos en el cumplimiento de las órdenes recibidas. Finalmente aquellos que, </w:t>
      </w:r>
      <w:r>
        <w:rPr>
          <w:rFonts w:ascii="Times New Roman" w:hAnsi="Times New Roman" w:cs="Times New Roman"/>
          <w:sz w:val="24"/>
        </w:rPr>
        <w:t>“</w:t>
      </w:r>
      <w:r w:rsidRPr="004B0912">
        <w:rPr>
          <w:rFonts w:ascii="Times New Roman" w:hAnsi="Times New Roman" w:cs="Times New Roman"/>
          <w:sz w:val="24"/>
        </w:rPr>
        <w:t>convencidos de la legitimidad de sus actos</w:t>
      </w:r>
      <w:r>
        <w:rPr>
          <w:rFonts w:ascii="Times New Roman" w:hAnsi="Times New Roman" w:cs="Times New Roman"/>
          <w:sz w:val="24"/>
        </w:rPr>
        <w:t>”</w:t>
      </w:r>
      <w:r w:rsidRPr="004B0912">
        <w:rPr>
          <w:rFonts w:ascii="Times New Roman" w:hAnsi="Times New Roman" w:cs="Times New Roman"/>
          <w:sz w:val="24"/>
        </w:rPr>
        <w:t xml:space="preserve">, se encontraban sometidos a órdenes, esto es, obrando en virtud de obediencia debida (Galante, 2017a). </w:t>
      </w:r>
    </w:p>
    <w:p w:rsidR="00D225DF" w:rsidRPr="004B0912" w:rsidRDefault="00D225DF" w:rsidP="00D225DF">
      <w:pPr>
        <w:spacing w:after="0" w:line="360" w:lineRule="auto"/>
        <w:ind w:firstLine="567"/>
        <w:jc w:val="both"/>
        <w:rPr>
          <w:rFonts w:ascii="Times New Roman" w:hAnsi="Times New Roman" w:cs="Times New Roman"/>
          <w:sz w:val="24"/>
        </w:rPr>
      </w:pPr>
      <w:r w:rsidRPr="004B0912">
        <w:rPr>
          <w:rFonts w:ascii="Times New Roman" w:hAnsi="Times New Roman" w:cs="Times New Roman"/>
          <w:sz w:val="24"/>
        </w:rPr>
        <w:t xml:space="preserve">Con el proyecto de reforma del Código Militar en 1984, la terminología empleada fue transformándose y la idea de la convicción ideológica fue sustituida por la de coacción y error en la evaluación de las órdenes. De esta manera, el segundo nivel de responsabilidades se vería afectado: serían juzgados aquellos que pudieran probar la inexistencia de errores en la comprensión de las órdenes recibidas. La reforma tenía como uno </w:t>
      </w:r>
      <w:r>
        <w:rPr>
          <w:rFonts w:ascii="Times New Roman" w:hAnsi="Times New Roman" w:cs="Times New Roman"/>
          <w:sz w:val="24"/>
        </w:rPr>
        <w:t xml:space="preserve">de sus objetivos implementar un </w:t>
      </w:r>
      <w:r w:rsidRPr="004B0912">
        <w:rPr>
          <w:rFonts w:ascii="Times New Roman" w:hAnsi="Times New Roman" w:cs="Times New Roman"/>
          <w:sz w:val="24"/>
        </w:rPr>
        <w:t xml:space="preserve">diagrama de las responsabilidades y </w:t>
      </w:r>
      <w:r w:rsidRPr="004B0912">
        <w:rPr>
          <w:rFonts w:ascii="Times New Roman" w:hAnsi="Times New Roman" w:cs="Times New Roman"/>
          <w:sz w:val="24"/>
        </w:rPr>
        <w:lastRenderedPageBreak/>
        <w:t>controlar la cantidad de las condenas (Galante, 2017</w:t>
      </w:r>
      <w:r>
        <w:rPr>
          <w:rFonts w:ascii="Times New Roman" w:hAnsi="Times New Roman" w:cs="Times New Roman"/>
          <w:sz w:val="24"/>
        </w:rPr>
        <w:t>a</w:t>
      </w:r>
      <w:r w:rsidRPr="004B0912">
        <w:rPr>
          <w:rFonts w:ascii="Times New Roman" w:hAnsi="Times New Roman" w:cs="Times New Roman"/>
          <w:sz w:val="24"/>
        </w:rPr>
        <w:t>). Las intenciones del gobierno, no obstante, se vieron obstaculizadas tras el debate parlamentario, donde el proyecto de reforma recibió modificaciones importantes. Por un lado, la presunción de obediencia perdió su carácter imperativo y la decisión o no de aplicación de este principio quedaría en mano de los funcionarios judiciales. Por el otro, esta posible presunción de obediencia debería hacerse a excepción de todos aquellos hechos considerados atroces y aberrantes (Galante, 2015; 2017b).</w:t>
      </w:r>
    </w:p>
    <w:p w:rsidR="00D225DF" w:rsidRPr="004B0912" w:rsidRDefault="00D225DF" w:rsidP="00D225DF">
      <w:pPr>
        <w:spacing w:after="0" w:line="360" w:lineRule="auto"/>
        <w:ind w:firstLine="567"/>
        <w:jc w:val="both"/>
        <w:rPr>
          <w:rFonts w:ascii="Times New Roman" w:hAnsi="Times New Roman" w:cs="Times New Roman"/>
          <w:sz w:val="24"/>
        </w:rPr>
      </w:pPr>
      <w:r w:rsidRPr="004B0912">
        <w:rPr>
          <w:rFonts w:ascii="Times New Roman" w:hAnsi="Times New Roman" w:cs="Times New Roman"/>
          <w:sz w:val="24"/>
        </w:rPr>
        <w:t>La iniciativa del gobierno, sin embargo, no cesó y en 1985 intentó reencauzar el proyecto a partir de la actuación judicial. La Cámara Federal preparaba, tras meses de audiencias, el fallo en el “Juicio a las Juntas Militares”</w:t>
      </w:r>
      <w:r>
        <w:rPr>
          <w:rStyle w:val="Refdenotaalpie"/>
          <w:rFonts w:ascii="Times New Roman" w:hAnsi="Times New Roman" w:cs="Times New Roman"/>
          <w:sz w:val="24"/>
        </w:rPr>
        <w:footnoteReference w:id="7"/>
      </w:r>
      <w:r w:rsidRPr="004B0912">
        <w:rPr>
          <w:rFonts w:ascii="Times New Roman" w:hAnsi="Times New Roman" w:cs="Times New Roman"/>
          <w:sz w:val="24"/>
        </w:rPr>
        <w:t>, cuando el presidente concretó una reunión con los jueces para solicitarles que asumieran una definición en la sentencia que estableciera los límites de los niveles de responsabilidad y la obediencia debida. Si bien los jueces se negaron, propusieron una alternativa relacionada con una aceleración de los tiempos para la política de juzgamientos, lo que se transformaría posteriormente en el proyecto de ley de Punto Final. La delimitación de responsabilidades ya no estaría definida por las acciones concretas llevadas a cabo, sino por condiciones coyunturales establecidas por los plazos de la extinción penal (Galante, 2017b).</w:t>
      </w:r>
    </w:p>
    <w:p w:rsidR="00D225DF" w:rsidRPr="004B0912" w:rsidRDefault="00D225DF" w:rsidP="00D225DF">
      <w:pPr>
        <w:pStyle w:val="Default"/>
        <w:spacing w:line="360" w:lineRule="auto"/>
        <w:ind w:firstLine="567"/>
        <w:jc w:val="both"/>
        <w:rPr>
          <w:color w:val="auto"/>
        </w:rPr>
      </w:pPr>
      <w:r w:rsidRPr="004B0912">
        <w:rPr>
          <w:color w:val="auto"/>
        </w:rPr>
        <w:t>Ahora bien, cabe preguntarse por qué la idea de los t</w:t>
      </w:r>
      <w:r>
        <w:rPr>
          <w:color w:val="auto"/>
        </w:rPr>
        <w:t>res niveles de responsabilidad recién logró</w:t>
      </w:r>
      <w:r w:rsidRPr="004B0912">
        <w:rPr>
          <w:color w:val="auto"/>
        </w:rPr>
        <w:t xml:space="preserve"> adquirir el estatus de ley en 1987. El enfoque de las corrientes múltiples permitirá realizar un análisis exhaustivo que tenga en cuenta la intersección entre el problema, la política y las políticas, obteniendo c</w:t>
      </w:r>
      <w:r>
        <w:rPr>
          <w:color w:val="auto"/>
        </w:rPr>
        <w:t>omo resultado la sanción de la L</w:t>
      </w:r>
      <w:r w:rsidRPr="004B0912">
        <w:rPr>
          <w:color w:val="auto"/>
        </w:rPr>
        <w:t xml:space="preserve">ey de Obediencia Debida. </w:t>
      </w:r>
      <w:r>
        <w:rPr>
          <w:rFonts w:eastAsia="Times New Roman"/>
          <w:color w:val="auto"/>
          <w:lang w:eastAsia="es-ES"/>
        </w:rPr>
        <w:t>La coyuntura transicional, el impulso a la L</w:t>
      </w:r>
      <w:r w:rsidRPr="004B0912">
        <w:rPr>
          <w:rFonts w:eastAsia="Times New Roman"/>
          <w:color w:val="auto"/>
          <w:lang w:eastAsia="es-ES"/>
        </w:rPr>
        <w:t xml:space="preserve">ey de Punto Final y los posteriores conflictos desatados en el sector militar pueden </w:t>
      </w:r>
      <w:r>
        <w:rPr>
          <w:rFonts w:eastAsia="Times New Roman"/>
          <w:color w:val="auto"/>
          <w:lang w:eastAsia="es-ES"/>
        </w:rPr>
        <w:t>haber actuado, como veremos</w:t>
      </w:r>
      <w:r w:rsidRPr="004B0912">
        <w:rPr>
          <w:rFonts w:eastAsia="Times New Roman"/>
          <w:color w:val="auto"/>
          <w:lang w:eastAsia="es-ES"/>
        </w:rPr>
        <w:t>, como una ventana de oportunidad política</w:t>
      </w:r>
      <w:r>
        <w:rPr>
          <w:rFonts w:eastAsia="Times New Roman"/>
          <w:color w:val="auto"/>
          <w:lang w:eastAsia="es-ES"/>
        </w:rPr>
        <w:t xml:space="preserve"> para la unión de las tres corrientes</w:t>
      </w:r>
      <w:r w:rsidRPr="004B0912">
        <w:rPr>
          <w:rFonts w:eastAsia="Times New Roman"/>
          <w:color w:val="auto"/>
          <w:lang w:eastAsia="es-ES"/>
        </w:rPr>
        <w:t>.</w:t>
      </w:r>
    </w:p>
    <w:p w:rsidR="00D225DF" w:rsidRPr="004B0912" w:rsidRDefault="00D225DF" w:rsidP="00D225DF">
      <w:pPr>
        <w:jc w:val="both"/>
        <w:rPr>
          <w:rFonts w:ascii="Times New Roman" w:hAnsi="Times New Roman" w:cs="Times New Roman"/>
          <w:sz w:val="24"/>
          <w:szCs w:val="24"/>
          <w:shd w:val="clear" w:color="auto" w:fill="FFFFFF"/>
        </w:rPr>
      </w:pPr>
    </w:p>
    <w:p w:rsidR="00D225DF" w:rsidRPr="004B0912" w:rsidRDefault="00D225DF" w:rsidP="00D225DF">
      <w:pPr>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La l</w:t>
      </w:r>
      <w:r w:rsidRPr="004B0912">
        <w:rPr>
          <w:rFonts w:ascii="Times New Roman" w:hAnsi="Times New Roman" w:cs="Times New Roman"/>
          <w:i/>
          <w:sz w:val="24"/>
          <w:szCs w:val="24"/>
          <w:shd w:val="clear" w:color="auto" w:fill="FFFFFF"/>
        </w:rPr>
        <w:t>ey de Obediencia debida desde el enfoque de las corrientes múltiples</w:t>
      </w:r>
    </w:p>
    <w:p w:rsidR="00D225DF" w:rsidRPr="004B0912" w:rsidRDefault="00D225DF" w:rsidP="00D225DF">
      <w:pPr>
        <w:spacing w:after="0" w:line="360" w:lineRule="auto"/>
        <w:ind w:firstLine="567"/>
        <w:jc w:val="both"/>
        <w:rPr>
          <w:rFonts w:ascii="Times New Roman" w:hAnsi="Times New Roman" w:cs="Times New Roman"/>
          <w:sz w:val="24"/>
          <w:szCs w:val="24"/>
          <w:shd w:val="clear" w:color="auto" w:fill="FFFFFF"/>
        </w:rPr>
      </w:pPr>
      <w:r w:rsidRPr="004B0912">
        <w:rPr>
          <w:rFonts w:ascii="Times New Roman" w:hAnsi="Times New Roman" w:cs="Times New Roman"/>
          <w:sz w:val="24"/>
          <w:szCs w:val="24"/>
          <w:shd w:val="clear" w:color="auto" w:fill="FFFFFF"/>
        </w:rPr>
        <w:lastRenderedPageBreak/>
        <w:t xml:space="preserve">A partir de todo lo expuesto hasta aquí, procederemos a realizar un análisis de la sanción de la ley de Obediencia Debida a partir de las herramientas analíticas y conceptuales propuestas por el enfoque de las corrientes múltiples. En este sentido, se identificarán las corrientes relativas al problema, la política y las políticas, destacando los elementos que, según consideramos, propician su unión en una ventana de oportunidad. Cabe destacar que, más allá de una distinción que facilite la comprensión y el estudio, las tres corrientes se relacionan e imbrican entre sí. </w:t>
      </w:r>
    </w:p>
    <w:p w:rsidR="00D225DF" w:rsidRPr="004B0912" w:rsidRDefault="00D225DF" w:rsidP="00D225DF">
      <w:pPr>
        <w:spacing w:after="0" w:line="360" w:lineRule="auto"/>
        <w:ind w:firstLine="567"/>
        <w:jc w:val="both"/>
        <w:rPr>
          <w:rFonts w:ascii="Times New Roman" w:hAnsi="Times New Roman" w:cs="Times New Roman"/>
          <w:sz w:val="24"/>
          <w:szCs w:val="24"/>
          <w:shd w:val="clear" w:color="auto" w:fill="FFFFFF"/>
        </w:rPr>
      </w:pPr>
      <w:r w:rsidRPr="004B0912">
        <w:rPr>
          <w:rFonts w:ascii="Times New Roman" w:hAnsi="Times New Roman" w:cs="Times New Roman"/>
          <w:sz w:val="24"/>
          <w:szCs w:val="24"/>
          <w:shd w:val="clear" w:color="auto" w:fill="FFFFFF"/>
        </w:rPr>
        <w:t>La delimitación o no delimitación de niveles de responsabilidad hacia el interior de las Fuerzas Armadas, en virtud de su organización j</w:t>
      </w:r>
      <w:r>
        <w:rPr>
          <w:rFonts w:ascii="Times New Roman" w:hAnsi="Times New Roman" w:cs="Times New Roman"/>
          <w:sz w:val="24"/>
          <w:szCs w:val="24"/>
          <w:shd w:val="clear" w:color="auto" w:fill="FFFFFF"/>
        </w:rPr>
        <w:t>erárquica interna, se constituyó</w:t>
      </w:r>
      <w:r w:rsidRPr="004B0912">
        <w:rPr>
          <w:rFonts w:ascii="Times New Roman" w:hAnsi="Times New Roman" w:cs="Times New Roman"/>
          <w:sz w:val="24"/>
          <w:szCs w:val="24"/>
          <w:shd w:val="clear" w:color="auto" w:fill="FFFFFF"/>
        </w:rPr>
        <w:t xml:space="preserve"> como un problema público. Su formulación es siempre una tarea conflictiva, puesto que no todos los actores coincidirán en la definición del mismo y en las políticas públicas que deberían implementarse (Parsons, 2007). Los problemas poseen un carácter controvertido e involucran operaciones de construcción y reconstrucción simbólica (Padioleau, 1986). </w:t>
      </w:r>
    </w:p>
    <w:p w:rsidR="00D225DF" w:rsidRPr="004B0912" w:rsidRDefault="00D225DF" w:rsidP="00D225DF">
      <w:pPr>
        <w:spacing w:after="0" w:line="360" w:lineRule="auto"/>
        <w:ind w:firstLine="567"/>
        <w:jc w:val="both"/>
        <w:rPr>
          <w:rFonts w:ascii="Times New Roman" w:hAnsi="Times New Roman" w:cs="Times New Roman"/>
          <w:sz w:val="24"/>
          <w:szCs w:val="24"/>
          <w:shd w:val="clear" w:color="auto" w:fill="FFFFFF"/>
        </w:rPr>
      </w:pPr>
      <w:r w:rsidRPr="004B0912">
        <w:rPr>
          <w:rFonts w:ascii="Times New Roman" w:hAnsi="Times New Roman" w:cs="Times New Roman"/>
          <w:sz w:val="24"/>
          <w:szCs w:val="24"/>
          <w:shd w:val="clear" w:color="auto" w:fill="FFFFFF"/>
        </w:rPr>
        <w:t xml:space="preserve">Establecer que los delitos cometidos en virtud de la aceptación de órdenes emanadas por autoridades superiores no deberían ser punibles era una idea que, como se mencionó anteriormente, ya se encontraba presente en los discursos de campaña de Raúl Alfonsín, inscribiéndose en el espacio público y en la agenda gubernamental tras su asunción como presidente. </w:t>
      </w:r>
    </w:p>
    <w:p w:rsidR="00D225DF" w:rsidRPr="004B0912" w:rsidRDefault="00D225DF" w:rsidP="00D225DF">
      <w:pPr>
        <w:spacing w:after="0" w:line="360" w:lineRule="auto"/>
        <w:ind w:firstLine="567"/>
        <w:jc w:val="both"/>
        <w:rPr>
          <w:rFonts w:ascii="Times New Roman" w:hAnsi="Times New Roman" w:cs="Times New Roman"/>
          <w:sz w:val="24"/>
          <w:szCs w:val="24"/>
          <w:shd w:val="clear" w:color="auto" w:fill="FFFFFF"/>
        </w:rPr>
      </w:pPr>
      <w:r w:rsidRPr="004B0912">
        <w:rPr>
          <w:rFonts w:ascii="Times New Roman" w:hAnsi="Times New Roman" w:cs="Times New Roman"/>
          <w:sz w:val="24"/>
          <w:szCs w:val="24"/>
          <w:shd w:val="clear" w:color="auto" w:fill="FFFFFF"/>
        </w:rPr>
        <w:t>La cuestión no se agota en la “obediencia debida”. Aceptarla implica</w:t>
      </w:r>
      <w:r>
        <w:rPr>
          <w:rFonts w:ascii="Times New Roman" w:hAnsi="Times New Roman" w:cs="Times New Roman"/>
          <w:sz w:val="24"/>
          <w:szCs w:val="24"/>
          <w:shd w:val="clear" w:color="auto" w:fill="FFFFFF"/>
        </w:rPr>
        <w:t>ba</w:t>
      </w:r>
      <w:r w:rsidRPr="004B0912">
        <w:rPr>
          <w:rFonts w:ascii="Times New Roman" w:hAnsi="Times New Roman" w:cs="Times New Roman"/>
          <w:sz w:val="24"/>
          <w:szCs w:val="24"/>
          <w:shd w:val="clear" w:color="auto" w:fill="FFFFFF"/>
        </w:rPr>
        <w:t xml:space="preserve"> delimitar qué delitos no podrían ser desdeñados y poner en tela de juicio la capacidad reflexiva de quienes recibían las órdenes. Este último aspecto implica definir si la comisión de los</w:t>
      </w:r>
      <w:r>
        <w:rPr>
          <w:rFonts w:ascii="Times New Roman" w:hAnsi="Times New Roman" w:cs="Times New Roman"/>
          <w:sz w:val="24"/>
          <w:szCs w:val="24"/>
          <w:shd w:val="clear" w:color="auto" w:fill="FFFFFF"/>
        </w:rPr>
        <w:t xml:space="preserve"> actos tenía que ver con</w:t>
      </w:r>
      <w:r w:rsidRPr="004B0912">
        <w:rPr>
          <w:rFonts w:ascii="Times New Roman" w:hAnsi="Times New Roman" w:cs="Times New Roman"/>
          <w:sz w:val="24"/>
          <w:szCs w:val="24"/>
          <w:shd w:val="clear" w:color="auto" w:fill="FFFFFF"/>
        </w:rPr>
        <w:t xml:space="preserve"> el reconocimiento y adhesión a los principios ideológicos impulsados por la doctrina militar, como se propuso en un primer momento; o si, como se sostuvo después en el texto de ley, el acatamiento de órdenes se producía en virtud de la coerción y el temor a los castigos (</w:t>
      </w:r>
      <w:proofErr w:type="spellStart"/>
      <w:r w:rsidRPr="004B0912">
        <w:rPr>
          <w:rFonts w:ascii="Times New Roman" w:hAnsi="Times New Roman" w:cs="Times New Roman"/>
          <w:sz w:val="24"/>
          <w:szCs w:val="24"/>
          <w:shd w:val="clear" w:color="auto" w:fill="FFFFFF"/>
        </w:rPr>
        <w:t>Crenzel</w:t>
      </w:r>
      <w:proofErr w:type="spellEnd"/>
      <w:r w:rsidRPr="004B0912">
        <w:rPr>
          <w:rFonts w:ascii="Times New Roman" w:hAnsi="Times New Roman" w:cs="Times New Roman"/>
          <w:sz w:val="24"/>
          <w:szCs w:val="24"/>
          <w:shd w:val="clear" w:color="auto" w:fill="FFFFFF"/>
        </w:rPr>
        <w:t>. 2014).</w:t>
      </w:r>
    </w:p>
    <w:p w:rsidR="00D225DF" w:rsidRPr="00B462C6" w:rsidRDefault="00D225DF" w:rsidP="00D225DF">
      <w:pPr>
        <w:spacing w:after="0" w:line="360" w:lineRule="auto"/>
        <w:ind w:firstLine="567"/>
        <w:jc w:val="both"/>
        <w:rPr>
          <w:rFonts w:ascii="Times New Roman" w:hAnsi="Times New Roman" w:cs="Times New Roman"/>
          <w:sz w:val="24"/>
          <w:szCs w:val="24"/>
          <w:shd w:val="clear" w:color="auto" w:fill="FFFFFF"/>
        </w:rPr>
      </w:pPr>
      <w:r w:rsidRPr="004B0912">
        <w:rPr>
          <w:rFonts w:ascii="Times New Roman" w:hAnsi="Times New Roman" w:cs="Times New Roman"/>
          <w:sz w:val="24"/>
          <w:szCs w:val="24"/>
          <w:shd w:val="clear" w:color="auto" w:fill="FFFFFF"/>
        </w:rPr>
        <w:t>Más allá de las características particulares que adoptó la definición del problema en torno a la obediencia debida y los grados de responsabilidad, la cuestión de fondo tenía que ver con un aspecto de carácter general que el gobierno de la transición tuvo que afrontar: qué hacer con la cuestión militar y cóm</w:t>
      </w:r>
      <w:r>
        <w:rPr>
          <w:rFonts w:ascii="Times New Roman" w:hAnsi="Times New Roman" w:cs="Times New Roman"/>
          <w:sz w:val="24"/>
          <w:szCs w:val="24"/>
          <w:shd w:val="clear" w:color="auto" w:fill="FFFFFF"/>
        </w:rPr>
        <w:t>o imponer el control civil a un</w:t>
      </w:r>
      <w:r w:rsidRPr="00B462C6">
        <w:rPr>
          <w:rFonts w:ascii="Times New Roman" w:hAnsi="Times New Roman" w:cs="Times New Roman"/>
          <w:sz w:val="24"/>
          <w:szCs w:val="24"/>
          <w:shd w:val="clear" w:color="auto" w:fill="FFFFFF"/>
        </w:rPr>
        <w:t xml:space="preserve"> actor que todavía poseía fuerza, organización y capacidad de intervención aún en democracia, como había quedado demostrado tr</w:t>
      </w:r>
      <w:r>
        <w:rPr>
          <w:rFonts w:ascii="Times New Roman" w:hAnsi="Times New Roman" w:cs="Times New Roman"/>
          <w:sz w:val="24"/>
          <w:szCs w:val="24"/>
          <w:shd w:val="clear" w:color="auto" w:fill="FFFFFF"/>
        </w:rPr>
        <w:t xml:space="preserve">as los alzamientos carapintadas (Acuña y </w:t>
      </w:r>
      <w:proofErr w:type="spellStart"/>
      <w:r>
        <w:rPr>
          <w:rFonts w:ascii="Times New Roman" w:hAnsi="Times New Roman" w:cs="Times New Roman"/>
          <w:sz w:val="24"/>
          <w:szCs w:val="24"/>
          <w:shd w:val="clear" w:color="auto" w:fill="FFFFFF"/>
        </w:rPr>
        <w:t>Smulovitz</w:t>
      </w:r>
      <w:proofErr w:type="spellEnd"/>
      <w:r>
        <w:rPr>
          <w:rFonts w:ascii="Times New Roman" w:hAnsi="Times New Roman" w:cs="Times New Roman"/>
          <w:sz w:val="24"/>
          <w:szCs w:val="24"/>
          <w:shd w:val="clear" w:color="auto" w:fill="FFFFFF"/>
        </w:rPr>
        <w:t xml:space="preserve">, 1993; </w:t>
      </w:r>
      <w:proofErr w:type="spellStart"/>
      <w:r>
        <w:rPr>
          <w:rFonts w:ascii="Times New Roman" w:hAnsi="Times New Roman" w:cs="Times New Roman"/>
          <w:sz w:val="24"/>
          <w:szCs w:val="24"/>
          <w:shd w:val="clear" w:color="auto" w:fill="FFFFFF"/>
        </w:rPr>
        <w:t>Mazzei</w:t>
      </w:r>
      <w:proofErr w:type="spellEnd"/>
      <w:r>
        <w:rPr>
          <w:rFonts w:ascii="Times New Roman" w:hAnsi="Times New Roman" w:cs="Times New Roman"/>
          <w:sz w:val="24"/>
          <w:szCs w:val="24"/>
          <w:shd w:val="clear" w:color="auto" w:fill="FFFFFF"/>
        </w:rPr>
        <w:t>, 2011).</w:t>
      </w:r>
      <w:r w:rsidRPr="00B462C6">
        <w:rPr>
          <w:rFonts w:ascii="Times New Roman" w:hAnsi="Times New Roman" w:cs="Times New Roman"/>
          <w:sz w:val="24"/>
          <w:szCs w:val="24"/>
          <w:shd w:val="clear" w:color="auto" w:fill="FFFFFF"/>
        </w:rPr>
        <w:t xml:space="preserve"> El gobierno de la transición se enfrentaba a una </w:t>
      </w:r>
      <w:r w:rsidRPr="00B462C6">
        <w:rPr>
          <w:rFonts w:ascii="Times New Roman" w:hAnsi="Times New Roman" w:cs="Times New Roman"/>
          <w:sz w:val="24"/>
          <w:szCs w:val="24"/>
          <w:shd w:val="clear" w:color="auto" w:fill="FFFFFF"/>
        </w:rPr>
        <w:lastRenderedPageBreak/>
        <w:t xml:space="preserve">paradoja: </w:t>
      </w:r>
      <w:r w:rsidRPr="00B462C6">
        <w:rPr>
          <w:rFonts w:ascii="Times New Roman" w:hAnsi="Times New Roman" w:cs="Times New Roman"/>
          <w:sz w:val="24"/>
        </w:rPr>
        <w:t>si bien la creación y sostenimiento de las instituciones armadas son necesarios para la protección de las sociedades frente a diversas amenazas, estas mismas instituciones pueden constituirse en una amenaza para la propia sociedad, siendo el pasado dictatorial el mejor ejemplo de ello. El establecimiento de mecanismos de subordinación de las fuerzas militares al control civil, en consecuencia, se presentaba como una necesi</w:t>
      </w:r>
      <w:r>
        <w:rPr>
          <w:rFonts w:ascii="Times New Roman" w:hAnsi="Times New Roman" w:cs="Times New Roman"/>
          <w:sz w:val="24"/>
        </w:rPr>
        <w:t>dad imperiosa (</w:t>
      </w:r>
      <w:proofErr w:type="spellStart"/>
      <w:r>
        <w:rPr>
          <w:rFonts w:ascii="Times New Roman" w:hAnsi="Times New Roman" w:cs="Times New Roman"/>
          <w:sz w:val="24"/>
        </w:rPr>
        <w:t>Battaglino</w:t>
      </w:r>
      <w:proofErr w:type="spellEnd"/>
      <w:r>
        <w:rPr>
          <w:rFonts w:ascii="Times New Roman" w:hAnsi="Times New Roman" w:cs="Times New Roman"/>
          <w:sz w:val="24"/>
        </w:rPr>
        <w:t>, 2010)</w:t>
      </w:r>
    </w:p>
    <w:p w:rsidR="00D225DF" w:rsidRPr="004B0912" w:rsidRDefault="00D225DF" w:rsidP="00D225DF">
      <w:pPr>
        <w:spacing w:after="0" w:line="360" w:lineRule="auto"/>
        <w:ind w:firstLine="567"/>
        <w:jc w:val="both"/>
        <w:rPr>
          <w:rFonts w:ascii="Times New Roman" w:hAnsi="Times New Roman" w:cs="Times New Roman"/>
          <w:sz w:val="24"/>
          <w:szCs w:val="24"/>
          <w:shd w:val="clear" w:color="auto" w:fill="FFFFFF"/>
        </w:rPr>
      </w:pPr>
      <w:r w:rsidRPr="004B0912">
        <w:rPr>
          <w:rFonts w:ascii="Times New Roman" w:hAnsi="Times New Roman" w:cs="Times New Roman"/>
          <w:sz w:val="24"/>
        </w:rPr>
        <w:t>La delimitación del problema en torno a la obediencia debida conlleva el diseño de medidas en vías de su resolución. El gobierno de Raúl Alfonsín, como se vio en el apartado anterior, buscó impulsar, sin éxito, medidas relativas a los niveles de responsabilidad en diferentes momentos</w:t>
      </w:r>
      <w:r w:rsidRPr="004B0912">
        <w:rPr>
          <w:rFonts w:ascii="Times New Roman" w:hAnsi="Times New Roman" w:cs="Times New Roman"/>
          <w:sz w:val="24"/>
          <w:szCs w:val="24"/>
          <w:shd w:val="clear" w:color="auto" w:fill="FFFFFF"/>
        </w:rPr>
        <w:t>. La Reforma del Código de Justicia Militar en 1984 y las instrucciones a los jueces de la Cámara Federal en 1985 se orientaban en esta dirección. La respuesta al problema se encuentra,</w:t>
      </w:r>
      <w:r>
        <w:rPr>
          <w:rFonts w:ascii="Times New Roman" w:hAnsi="Times New Roman" w:cs="Times New Roman"/>
          <w:sz w:val="24"/>
          <w:szCs w:val="24"/>
          <w:shd w:val="clear" w:color="auto" w:fill="FFFFFF"/>
        </w:rPr>
        <w:t xml:space="preserve"> finalmente, en el proyecto de Ley de Obediencia Debida que ingresó</w:t>
      </w:r>
      <w:r w:rsidRPr="004B0912">
        <w:rPr>
          <w:rFonts w:ascii="Times New Roman" w:hAnsi="Times New Roman" w:cs="Times New Roman"/>
          <w:sz w:val="24"/>
          <w:szCs w:val="24"/>
          <w:shd w:val="clear" w:color="auto" w:fill="FFFFFF"/>
        </w:rPr>
        <w:t xml:space="preserve"> al Co</w:t>
      </w:r>
      <w:r>
        <w:rPr>
          <w:rFonts w:ascii="Times New Roman" w:hAnsi="Times New Roman" w:cs="Times New Roman"/>
          <w:sz w:val="24"/>
          <w:szCs w:val="24"/>
          <w:shd w:val="clear" w:color="auto" w:fill="FFFFFF"/>
        </w:rPr>
        <w:t>ngreso de la Nación en 1987 y fue</w:t>
      </w:r>
      <w:r w:rsidRPr="004B0912">
        <w:rPr>
          <w:rFonts w:ascii="Times New Roman" w:hAnsi="Times New Roman" w:cs="Times New Roman"/>
          <w:sz w:val="24"/>
          <w:szCs w:val="24"/>
          <w:shd w:val="clear" w:color="auto" w:fill="FFFFFF"/>
        </w:rPr>
        <w:t xml:space="preserve"> finalmente aprobado. </w:t>
      </w:r>
    </w:p>
    <w:p w:rsidR="00D225DF" w:rsidRPr="004B0912" w:rsidRDefault="00D225DF" w:rsidP="00D225DF">
      <w:pPr>
        <w:spacing w:after="0" w:line="360" w:lineRule="auto"/>
        <w:ind w:firstLine="567"/>
        <w:jc w:val="both"/>
        <w:rPr>
          <w:rFonts w:ascii="Times New Roman" w:hAnsi="Times New Roman" w:cs="Times New Roman"/>
          <w:sz w:val="24"/>
          <w:szCs w:val="24"/>
          <w:shd w:val="clear" w:color="auto" w:fill="FFFFFF"/>
        </w:rPr>
      </w:pPr>
      <w:r w:rsidRPr="004B0912">
        <w:rPr>
          <w:rFonts w:ascii="Times New Roman" w:hAnsi="Times New Roman" w:cs="Times New Roman"/>
          <w:sz w:val="24"/>
          <w:szCs w:val="24"/>
          <w:shd w:val="clear" w:color="auto" w:fill="FFFFFF"/>
        </w:rPr>
        <w:t xml:space="preserve">No sólo el gobierno impulsa políticas públicas, sino que los diferentes actores involucrados en la problemática elaboran discursos, argumentos y posibles tratamientos en pos de sus creencias e intereses particulares. </w:t>
      </w:r>
    </w:p>
    <w:p w:rsidR="00D225DF" w:rsidRPr="004B0912" w:rsidRDefault="00D225DF" w:rsidP="00D225DF">
      <w:pPr>
        <w:spacing w:after="0" w:line="360" w:lineRule="auto"/>
        <w:ind w:firstLine="567"/>
        <w:jc w:val="both"/>
        <w:rPr>
          <w:rFonts w:ascii="Times New Roman" w:hAnsi="Times New Roman" w:cs="Times New Roman"/>
          <w:sz w:val="24"/>
          <w:szCs w:val="24"/>
          <w:shd w:val="clear" w:color="auto" w:fill="FFFFFF"/>
        </w:rPr>
      </w:pPr>
      <w:r w:rsidRPr="004B0912">
        <w:rPr>
          <w:rFonts w:ascii="Times New Roman" w:hAnsi="Times New Roman" w:cs="Times New Roman"/>
          <w:sz w:val="24"/>
        </w:rPr>
        <w:t>En el debate parlamentario, el bloque correspondiente a la Unión Cívica Radical presentó argumentos similares a los del presidente en pos de la sanción de la ley. La escalada de violencia desatada por los recientes alzami</w:t>
      </w:r>
      <w:r>
        <w:rPr>
          <w:rFonts w:ascii="Times New Roman" w:hAnsi="Times New Roman" w:cs="Times New Roman"/>
          <w:sz w:val="24"/>
        </w:rPr>
        <w:t>entos carapintadas se constituyó</w:t>
      </w:r>
      <w:r w:rsidRPr="004B0912">
        <w:rPr>
          <w:rFonts w:ascii="Times New Roman" w:hAnsi="Times New Roman" w:cs="Times New Roman"/>
          <w:sz w:val="24"/>
        </w:rPr>
        <w:t xml:space="preserve"> en un argumento central para diputados y senadores radicales. Debía darse respuesta a un problema político y no estrictamente jurídico, en medio de las presiones existentes para dar solución a la cuestión militar</w:t>
      </w:r>
      <w:r>
        <w:rPr>
          <w:rFonts w:ascii="Times New Roman" w:hAnsi="Times New Roman" w:cs="Times New Roman"/>
          <w:sz w:val="24"/>
        </w:rPr>
        <w:t>. Los parlamentarios sostuvieron que la</w:t>
      </w:r>
      <w:r w:rsidRPr="004B0912">
        <w:rPr>
          <w:rFonts w:ascii="Times New Roman" w:hAnsi="Times New Roman" w:cs="Times New Roman"/>
          <w:sz w:val="24"/>
        </w:rPr>
        <w:t xml:space="preserve"> sanci</w:t>
      </w:r>
      <w:r>
        <w:rPr>
          <w:rFonts w:ascii="Times New Roman" w:hAnsi="Times New Roman" w:cs="Times New Roman"/>
          <w:sz w:val="24"/>
        </w:rPr>
        <w:t>ón de la ley se volvía</w:t>
      </w:r>
      <w:r w:rsidRPr="004B0912">
        <w:rPr>
          <w:rFonts w:ascii="Times New Roman" w:hAnsi="Times New Roman" w:cs="Times New Roman"/>
          <w:sz w:val="24"/>
        </w:rPr>
        <w:t xml:space="preserve"> imperiosa para el sostenimiento del régimen y las instituciones democráticas, tal como se había formulado en el programa de justicia transicional propuesto por el presidente incluso antes de su elección. Los partidos opositores, entre los que destaca</w:t>
      </w:r>
      <w:r>
        <w:rPr>
          <w:rFonts w:ascii="Times New Roman" w:hAnsi="Times New Roman" w:cs="Times New Roman"/>
          <w:sz w:val="24"/>
        </w:rPr>
        <w:t>ba</w:t>
      </w:r>
      <w:r w:rsidRPr="004B0912">
        <w:rPr>
          <w:rFonts w:ascii="Times New Roman" w:hAnsi="Times New Roman" w:cs="Times New Roman"/>
          <w:sz w:val="24"/>
        </w:rPr>
        <w:t xml:space="preserve">n el Partido Justicialista, </w:t>
      </w:r>
      <w:r>
        <w:rPr>
          <w:rFonts w:ascii="Times New Roman" w:hAnsi="Times New Roman" w:cs="Times New Roman"/>
          <w:sz w:val="24"/>
        </w:rPr>
        <w:t xml:space="preserve">el </w:t>
      </w:r>
      <w:r w:rsidRPr="004B0912">
        <w:rPr>
          <w:rFonts w:ascii="Times New Roman" w:hAnsi="Times New Roman" w:cs="Times New Roman"/>
          <w:sz w:val="24"/>
        </w:rPr>
        <w:t xml:space="preserve">Partido Intransigente y </w:t>
      </w:r>
      <w:r>
        <w:rPr>
          <w:rFonts w:ascii="Times New Roman" w:hAnsi="Times New Roman" w:cs="Times New Roman"/>
          <w:sz w:val="24"/>
        </w:rPr>
        <w:t xml:space="preserve">el </w:t>
      </w:r>
      <w:r w:rsidRPr="004B0912">
        <w:rPr>
          <w:rFonts w:ascii="Times New Roman" w:hAnsi="Times New Roman" w:cs="Times New Roman"/>
          <w:sz w:val="24"/>
        </w:rPr>
        <w:t xml:space="preserve">Partido Democracia Cristiana, definieron el proyecto de ley como una regresión y como una amnistía encubierta, resaltando contradicciones en el accionar del gobierno en materia de juzgamientos desde 1983. La definición de los delitos que debían considerarse como “excesos”, las </w:t>
      </w:r>
      <w:r>
        <w:rPr>
          <w:rFonts w:ascii="Times New Roman" w:hAnsi="Times New Roman" w:cs="Times New Roman"/>
          <w:sz w:val="24"/>
        </w:rPr>
        <w:t>demandas</w:t>
      </w:r>
      <w:r w:rsidRPr="004B0912">
        <w:rPr>
          <w:rFonts w:ascii="Times New Roman" w:hAnsi="Times New Roman" w:cs="Times New Roman"/>
          <w:sz w:val="24"/>
        </w:rPr>
        <w:t xml:space="preserve"> de “verdad y justicia” y la posibilidad de establecer indultos por parte del Ejecutivo, fueron otros de los temas centrales del debate. Finalmente, legisladores de la Unión del Centro Democrático y de partidos provinciales </w:t>
      </w:r>
      <w:r w:rsidRPr="004B0912">
        <w:rPr>
          <w:rFonts w:ascii="Times New Roman" w:hAnsi="Times New Roman" w:cs="Times New Roman"/>
          <w:sz w:val="24"/>
        </w:rPr>
        <w:lastRenderedPageBreak/>
        <w:t>reivindicaron el accionar militar durante la dictadura. Los partidos opositores a la sanción de la ley prop</w:t>
      </w:r>
      <w:r>
        <w:rPr>
          <w:rFonts w:ascii="Times New Roman" w:hAnsi="Times New Roman" w:cs="Times New Roman"/>
          <w:sz w:val="24"/>
        </w:rPr>
        <w:t>usieron</w:t>
      </w:r>
      <w:r w:rsidRPr="004B0912">
        <w:rPr>
          <w:rFonts w:ascii="Times New Roman" w:hAnsi="Times New Roman" w:cs="Times New Roman"/>
          <w:sz w:val="24"/>
        </w:rPr>
        <w:t>, en líneas generales, y más allá de la continuidad de los debates y reformas en el proyecto, una solución política extrajudicial, vinculada a la sanción de indultos, con la asunción de los costos políticos correspondientes por parte del Ejecutivo (Galante, 2015).</w:t>
      </w:r>
    </w:p>
    <w:p w:rsidR="00D225DF" w:rsidRPr="004B0912" w:rsidRDefault="00D225DF" w:rsidP="00D225DF">
      <w:pPr>
        <w:spacing w:after="0" w:line="360" w:lineRule="auto"/>
        <w:ind w:firstLine="567"/>
        <w:jc w:val="both"/>
        <w:rPr>
          <w:rFonts w:ascii="Times New Roman" w:hAnsi="Times New Roman" w:cs="Times New Roman"/>
          <w:sz w:val="24"/>
        </w:rPr>
      </w:pPr>
      <w:r w:rsidRPr="004B0912">
        <w:rPr>
          <w:rFonts w:ascii="Times New Roman" w:hAnsi="Times New Roman" w:cs="Times New Roman"/>
          <w:sz w:val="24"/>
        </w:rPr>
        <w:t>Fuera del recinto, otros actores de peso y relevancia en el espacio público manifestaron su posición. Los militares reivindica</w:t>
      </w:r>
      <w:r>
        <w:rPr>
          <w:rFonts w:ascii="Times New Roman" w:hAnsi="Times New Roman" w:cs="Times New Roman"/>
          <w:sz w:val="24"/>
        </w:rPr>
        <w:t>ro</w:t>
      </w:r>
      <w:r w:rsidRPr="004B0912">
        <w:rPr>
          <w:rFonts w:ascii="Times New Roman" w:hAnsi="Times New Roman" w:cs="Times New Roman"/>
          <w:sz w:val="24"/>
        </w:rPr>
        <w:t>n su accionar en lo que ent</w:t>
      </w:r>
      <w:r>
        <w:rPr>
          <w:rFonts w:ascii="Times New Roman" w:hAnsi="Times New Roman" w:cs="Times New Roman"/>
          <w:sz w:val="24"/>
        </w:rPr>
        <w:t>endían</w:t>
      </w:r>
      <w:r w:rsidRPr="004B0912">
        <w:rPr>
          <w:rFonts w:ascii="Times New Roman" w:hAnsi="Times New Roman" w:cs="Times New Roman"/>
          <w:sz w:val="24"/>
        </w:rPr>
        <w:t xml:space="preserve"> como una “guerra contra la subversión”, por lo que rechaza</w:t>
      </w:r>
      <w:r>
        <w:rPr>
          <w:rFonts w:ascii="Times New Roman" w:hAnsi="Times New Roman" w:cs="Times New Roman"/>
          <w:sz w:val="24"/>
        </w:rPr>
        <w:t>ba</w:t>
      </w:r>
      <w:r w:rsidRPr="004B0912">
        <w:rPr>
          <w:rFonts w:ascii="Times New Roman" w:hAnsi="Times New Roman" w:cs="Times New Roman"/>
          <w:sz w:val="24"/>
        </w:rPr>
        <w:t>n un</w:t>
      </w:r>
      <w:r>
        <w:rPr>
          <w:rFonts w:ascii="Times New Roman" w:hAnsi="Times New Roman" w:cs="Times New Roman"/>
          <w:sz w:val="24"/>
        </w:rPr>
        <w:t>a ley de Obediencia Debida que comprendía</w:t>
      </w:r>
      <w:r w:rsidRPr="004B0912">
        <w:rPr>
          <w:rFonts w:ascii="Times New Roman" w:hAnsi="Times New Roman" w:cs="Times New Roman"/>
          <w:sz w:val="24"/>
        </w:rPr>
        <w:t xml:space="preserve"> los actos cometidos como crímenes o delitos a ser juzgados</w:t>
      </w:r>
      <w:r>
        <w:rPr>
          <w:rFonts w:ascii="Times New Roman" w:hAnsi="Times New Roman" w:cs="Times New Roman"/>
          <w:sz w:val="24"/>
        </w:rPr>
        <w:t xml:space="preserve"> (</w:t>
      </w:r>
      <w:proofErr w:type="spellStart"/>
      <w:r>
        <w:rPr>
          <w:rFonts w:ascii="Times New Roman" w:hAnsi="Times New Roman" w:cs="Times New Roman"/>
          <w:sz w:val="24"/>
        </w:rPr>
        <w:t>Salvi</w:t>
      </w:r>
      <w:proofErr w:type="spellEnd"/>
      <w:r>
        <w:rPr>
          <w:rFonts w:ascii="Times New Roman" w:hAnsi="Times New Roman" w:cs="Times New Roman"/>
          <w:sz w:val="24"/>
        </w:rPr>
        <w:t>, 2009)</w:t>
      </w:r>
      <w:r w:rsidRPr="004B0912">
        <w:rPr>
          <w:rFonts w:ascii="Times New Roman" w:hAnsi="Times New Roman" w:cs="Times New Roman"/>
          <w:sz w:val="24"/>
        </w:rPr>
        <w:t>. Aún después de su sanción, y a pesar de ser entendida por amplios sectores como una concesión a las presiones militares, el frente de conflicto con este sector continúo abie</w:t>
      </w:r>
      <w:r>
        <w:rPr>
          <w:rFonts w:ascii="Times New Roman" w:hAnsi="Times New Roman" w:cs="Times New Roman"/>
          <w:sz w:val="24"/>
        </w:rPr>
        <w:t xml:space="preserve">rto (Acuña y </w:t>
      </w:r>
      <w:proofErr w:type="spellStart"/>
      <w:r>
        <w:rPr>
          <w:rFonts w:ascii="Times New Roman" w:hAnsi="Times New Roman" w:cs="Times New Roman"/>
          <w:sz w:val="24"/>
        </w:rPr>
        <w:t>Smulovitz</w:t>
      </w:r>
      <w:proofErr w:type="spellEnd"/>
      <w:r>
        <w:rPr>
          <w:rFonts w:ascii="Times New Roman" w:hAnsi="Times New Roman" w:cs="Times New Roman"/>
          <w:sz w:val="24"/>
        </w:rPr>
        <w:t xml:space="preserve">, 1993). </w:t>
      </w:r>
      <w:r w:rsidRPr="004B0912">
        <w:rPr>
          <w:rFonts w:ascii="Times New Roman" w:hAnsi="Times New Roman" w:cs="Times New Roman"/>
          <w:sz w:val="24"/>
        </w:rPr>
        <w:t xml:space="preserve">Las organizaciones y </w:t>
      </w:r>
      <w:r>
        <w:rPr>
          <w:rFonts w:ascii="Times New Roman" w:hAnsi="Times New Roman" w:cs="Times New Roman"/>
          <w:sz w:val="24"/>
        </w:rPr>
        <w:t>el movimiento</w:t>
      </w:r>
      <w:r w:rsidRPr="004B0912">
        <w:rPr>
          <w:rFonts w:ascii="Times New Roman" w:hAnsi="Times New Roman" w:cs="Times New Roman"/>
          <w:sz w:val="24"/>
        </w:rPr>
        <w:t xml:space="preserve"> de derechos humanos, por su parte, se vieron ante la necesidad de establecer si debían oponerse a la medida con total firmeza o si debían adherir a ella por tratarse de un proyecto que pretendía la consolidación democrática (Pereyra, 2005). Asociaciones como Madres de Plaza de Mayo abogaron por la primera opción, manifestando su decepción ante esta “ley de impunidad”, que dejaba sin castigo a los autores materiales de los crímenes ocurridos en dictadura, frente a lo que reclamaban juicio y castigo a los culpables (Lozano Fique, 2013).</w:t>
      </w:r>
    </w:p>
    <w:p w:rsidR="00D225DF" w:rsidRPr="004B0912" w:rsidRDefault="00D225DF" w:rsidP="00D225DF">
      <w:pPr>
        <w:spacing w:after="0" w:line="360" w:lineRule="auto"/>
        <w:ind w:firstLine="567"/>
        <w:jc w:val="both"/>
        <w:rPr>
          <w:rFonts w:ascii="Times New Roman" w:hAnsi="Times New Roman" w:cs="Times New Roman"/>
          <w:sz w:val="24"/>
        </w:rPr>
      </w:pPr>
      <w:r w:rsidRPr="004B0912">
        <w:rPr>
          <w:rFonts w:ascii="Times New Roman" w:hAnsi="Times New Roman" w:cs="Times New Roman"/>
          <w:sz w:val="24"/>
          <w:szCs w:val="24"/>
          <w:shd w:val="clear" w:color="auto" w:fill="FFFFFF"/>
        </w:rPr>
        <w:t>El fortalecimiento y consolidación del sistema democrático era el objetivo primordial que vertebraba los discursos públicos del presidente desde épocas de campaña. Si bien en el mensaj</w:t>
      </w:r>
      <w:r>
        <w:rPr>
          <w:rFonts w:ascii="Times New Roman" w:hAnsi="Times New Roman" w:cs="Times New Roman"/>
          <w:sz w:val="24"/>
          <w:szCs w:val="24"/>
          <w:shd w:val="clear" w:color="auto" w:fill="FFFFFF"/>
        </w:rPr>
        <w:t>e emitido al parlamento en 1987</w:t>
      </w:r>
      <w:r w:rsidRPr="004B0912">
        <w:rPr>
          <w:rFonts w:ascii="Times New Roman" w:hAnsi="Times New Roman" w:cs="Times New Roman"/>
          <w:sz w:val="24"/>
          <w:szCs w:val="24"/>
          <w:shd w:val="clear" w:color="auto" w:fill="FFFFFF"/>
        </w:rPr>
        <w:t xml:space="preserve"> incluyó menciones especiales a los levantamientos </w:t>
      </w:r>
      <w:r>
        <w:rPr>
          <w:rFonts w:ascii="Times New Roman" w:hAnsi="Times New Roman" w:cs="Times New Roman"/>
          <w:sz w:val="24"/>
          <w:szCs w:val="24"/>
          <w:shd w:val="clear" w:color="auto" w:fill="FFFFFF"/>
        </w:rPr>
        <w:t>de Semana Santa, esta temática</w:t>
      </w:r>
      <w:r w:rsidRPr="004B0912">
        <w:rPr>
          <w:rFonts w:ascii="Times New Roman" w:hAnsi="Times New Roman" w:cs="Times New Roman"/>
          <w:sz w:val="24"/>
          <w:szCs w:val="24"/>
          <w:shd w:val="clear" w:color="auto" w:fill="FFFFFF"/>
        </w:rPr>
        <w:t xml:space="preserve"> no fue desestimada en ningún momento y, como vimos, estuvo presente incluso en los argumentos parlamentarios (Galante, 2017a; 2017b). </w:t>
      </w:r>
      <w:r>
        <w:rPr>
          <w:rFonts w:ascii="Times New Roman" w:hAnsi="Times New Roman" w:cs="Times New Roman"/>
          <w:sz w:val="24"/>
          <w:szCs w:val="24"/>
          <w:shd w:val="clear" w:color="auto" w:fill="FFFFFF"/>
        </w:rPr>
        <w:t>Así, s</w:t>
      </w:r>
      <w:r w:rsidRPr="004B0912">
        <w:rPr>
          <w:rFonts w:ascii="Times New Roman" w:hAnsi="Times New Roman" w:cs="Times New Roman"/>
          <w:sz w:val="24"/>
          <w:szCs w:val="24"/>
          <w:shd w:val="clear" w:color="auto" w:fill="FFFFFF"/>
        </w:rPr>
        <w:t xml:space="preserve">e establecía una oposición radical entre democracia y dictadura, en la que la legitimidad de los tribunales adquiría un rol protagónico al momento de esclarecer y juzgar </w:t>
      </w:r>
      <w:r>
        <w:rPr>
          <w:rFonts w:ascii="Times New Roman" w:hAnsi="Times New Roman" w:cs="Times New Roman"/>
          <w:sz w:val="24"/>
          <w:szCs w:val="24"/>
          <w:shd w:val="clear" w:color="auto" w:fill="FFFFFF"/>
        </w:rPr>
        <w:t xml:space="preserve">los crímenes cometidos por el Estado en </w:t>
      </w:r>
      <w:r w:rsidRPr="004B0912">
        <w:rPr>
          <w:rFonts w:ascii="Times New Roman" w:hAnsi="Times New Roman" w:cs="Times New Roman"/>
          <w:sz w:val="24"/>
          <w:szCs w:val="24"/>
          <w:shd w:val="clear" w:color="auto" w:fill="FFFFFF"/>
        </w:rPr>
        <w:t>el pasado</w:t>
      </w:r>
      <w:r>
        <w:rPr>
          <w:rFonts w:ascii="Times New Roman" w:hAnsi="Times New Roman" w:cs="Times New Roman"/>
          <w:sz w:val="24"/>
          <w:szCs w:val="24"/>
          <w:shd w:val="clear" w:color="auto" w:fill="FFFFFF"/>
        </w:rPr>
        <w:t xml:space="preserve"> inmediato</w:t>
      </w:r>
      <w:r w:rsidRPr="004B0912">
        <w:rPr>
          <w:rFonts w:ascii="Times New Roman" w:hAnsi="Times New Roman" w:cs="Times New Roman"/>
          <w:sz w:val="24"/>
          <w:szCs w:val="24"/>
          <w:shd w:val="clear" w:color="auto" w:fill="FFFFFF"/>
        </w:rPr>
        <w:t xml:space="preserve"> (Galante, 2017a). Su importancia no tenía que ver únicamente con su capacidad jurídica, sino con su valor simbólico y político, en un contexto donde amplios sectores de la sociedad y del movimiento de derechos humanos se encontraban expectantes ante las promesas de justicia (</w:t>
      </w:r>
      <w:proofErr w:type="spellStart"/>
      <w:r w:rsidRPr="004B0912">
        <w:rPr>
          <w:rFonts w:ascii="Times New Roman" w:hAnsi="Times New Roman" w:cs="Times New Roman"/>
          <w:sz w:val="24"/>
          <w:szCs w:val="24"/>
          <w:shd w:val="clear" w:color="auto" w:fill="FFFFFF"/>
        </w:rPr>
        <w:t>Crenzel</w:t>
      </w:r>
      <w:proofErr w:type="spellEnd"/>
      <w:r w:rsidRPr="004B0912">
        <w:rPr>
          <w:rFonts w:ascii="Times New Roman" w:hAnsi="Times New Roman" w:cs="Times New Roman"/>
          <w:sz w:val="24"/>
          <w:szCs w:val="24"/>
          <w:shd w:val="clear" w:color="auto" w:fill="FFFFFF"/>
        </w:rPr>
        <w:t xml:space="preserve">, 2014). En palabras de Emilio </w:t>
      </w:r>
      <w:proofErr w:type="spellStart"/>
      <w:r w:rsidRPr="004B0912">
        <w:rPr>
          <w:rFonts w:ascii="Times New Roman" w:hAnsi="Times New Roman" w:cs="Times New Roman"/>
          <w:sz w:val="24"/>
          <w:szCs w:val="24"/>
          <w:shd w:val="clear" w:color="auto" w:fill="FFFFFF"/>
        </w:rPr>
        <w:t>Crenzel</w:t>
      </w:r>
      <w:proofErr w:type="spellEnd"/>
      <w:r w:rsidRPr="004B0912">
        <w:rPr>
          <w:rFonts w:ascii="Times New Roman" w:hAnsi="Times New Roman" w:cs="Times New Roman"/>
          <w:sz w:val="24"/>
          <w:szCs w:val="24"/>
          <w:shd w:val="clear" w:color="auto" w:fill="FFFFFF"/>
        </w:rPr>
        <w:t xml:space="preserve"> (2014:55): </w:t>
      </w:r>
      <w:r w:rsidRPr="004B0912">
        <w:rPr>
          <w:rFonts w:ascii="Times New Roman" w:hAnsi="Times New Roman" w:cs="Times New Roman"/>
          <w:i/>
          <w:sz w:val="24"/>
          <w:szCs w:val="24"/>
          <w:shd w:val="clear" w:color="auto" w:fill="FFFFFF"/>
        </w:rPr>
        <w:t xml:space="preserve">“Ahora las armas serían las pruebas y el escenario de lucha los tribunales. La razón democrática, equidistante de las partes, clausuraría con la ley en </w:t>
      </w:r>
      <w:r w:rsidRPr="004B0912">
        <w:rPr>
          <w:rFonts w:ascii="Times New Roman" w:hAnsi="Times New Roman" w:cs="Times New Roman"/>
          <w:i/>
          <w:sz w:val="24"/>
          <w:szCs w:val="24"/>
          <w:shd w:val="clear" w:color="auto" w:fill="FFFFFF"/>
        </w:rPr>
        <w:lastRenderedPageBreak/>
        <w:t>la mano el tiempo de violencia, recreando las instituciones para dirimir pacíficamente los conflictos”.</w:t>
      </w:r>
      <w:r w:rsidRPr="004B0912">
        <w:rPr>
          <w:rFonts w:ascii="Times New Roman" w:hAnsi="Times New Roman" w:cs="Times New Roman"/>
          <w:sz w:val="24"/>
          <w:szCs w:val="24"/>
          <w:shd w:val="clear" w:color="auto" w:fill="FFFFFF"/>
        </w:rPr>
        <w:t xml:space="preserve"> </w:t>
      </w:r>
    </w:p>
    <w:p w:rsidR="00D225DF" w:rsidRPr="004B0912" w:rsidRDefault="00D225DF" w:rsidP="00D225DF">
      <w:pPr>
        <w:spacing w:after="0" w:line="360" w:lineRule="auto"/>
        <w:ind w:firstLine="567"/>
        <w:jc w:val="both"/>
        <w:rPr>
          <w:rFonts w:ascii="Times New Roman" w:hAnsi="Times New Roman" w:cs="Times New Roman"/>
          <w:sz w:val="24"/>
          <w:szCs w:val="24"/>
          <w:shd w:val="clear" w:color="auto" w:fill="FFFFFF"/>
        </w:rPr>
      </w:pPr>
      <w:r w:rsidRPr="004B0912">
        <w:rPr>
          <w:rFonts w:ascii="Times New Roman" w:hAnsi="Times New Roman" w:cs="Times New Roman"/>
          <w:sz w:val="24"/>
          <w:szCs w:val="24"/>
          <w:shd w:val="clear" w:color="auto" w:fill="FFFFFF"/>
        </w:rPr>
        <w:t>La delimitación de niveles de responsabilidad no se encontraba ajena a esta cuestión subyacente y el Ejecutivo intentó, como vimos, impulsar esta medida política en diversas circunstancias y frente a la negativa y rechazo de una multiplicidad de actores que buscaron encauzar el problema hacia otras alternativas. El cálculo político y el examen de las relaciones de fuerza fueron considerados en la estrategia judicial impulsada por el líder radical (</w:t>
      </w:r>
      <w:proofErr w:type="spellStart"/>
      <w:r w:rsidRPr="004B0912">
        <w:rPr>
          <w:rFonts w:ascii="Times New Roman" w:hAnsi="Times New Roman" w:cs="Times New Roman"/>
          <w:sz w:val="24"/>
          <w:szCs w:val="24"/>
          <w:shd w:val="clear" w:color="auto" w:fill="FFFFFF"/>
        </w:rPr>
        <w:t>Crenzel</w:t>
      </w:r>
      <w:proofErr w:type="spellEnd"/>
      <w:r w:rsidRPr="004B0912">
        <w:rPr>
          <w:rFonts w:ascii="Times New Roman" w:hAnsi="Times New Roman" w:cs="Times New Roman"/>
          <w:sz w:val="24"/>
          <w:szCs w:val="24"/>
          <w:shd w:val="clear" w:color="auto" w:fill="FFFFFF"/>
        </w:rPr>
        <w:t xml:space="preserve">, 2014). </w:t>
      </w:r>
    </w:p>
    <w:p w:rsidR="00D225DF" w:rsidRPr="004B0912" w:rsidRDefault="00D225DF" w:rsidP="00D225DF">
      <w:pPr>
        <w:spacing w:after="0" w:line="360" w:lineRule="auto"/>
        <w:ind w:firstLine="567"/>
        <w:jc w:val="both"/>
        <w:rPr>
          <w:rFonts w:ascii="Times New Roman" w:hAnsi="Times New Roman" w:cs="Times New Roman"/>
          <w:sz w:val="24"/>
          <w:szCs w:val="24"/>
          <w:shd w:val="clear" w:color="auto" w:fill="FFFFFF"/>
        </w:rPr>
      </w:pPr>
      <w:r w:rsidRPr="004B0912">
        <w:rPr>
          <w:rFonts w:ascii="Times New Roman" w:hAnsi="Times New Roman" w:cs="Times New Roman"/>
          <w:sz w:val="24"/>
          <w:szCs w:val="24"/>
          <w:shd w:val="clear" w:color="auto" w:fill="FFFFFF"/>
        </w:rPr>
        <w:t>Identificado el problema, las políticas propuestas por los diferentes actores implicados y el clima político imperante, signado por</w:t>
      </w:r>
      <w:r>
        <w:rPr>
          <w:rFonts w:ascii="Times New Roman" w:hAnsi="Times New Roman" w:cs="Times New Roman"/>
          <w:sz w:val="24"/>
          <w:szCs w:val="24"/>
          <w:shd w:val="clear" w:color="auto" w:fill="FFFFFF"/>
        </w:rPr>
        <w:t xml:space="preserve"> la necesidad de fortalecer el</w:t>
      </w:r>
      <w:r w:rsidRPr="004B0912">
        <w:rPr>
          <w:rFonts w:ascii="Times New Roman" w:hAnsi="Times New Roman" w:cs="Times New Roman"/>
          <w:sz w:val="24"/>
          <w:szCs w:val="24"/>
          <w:shd w:val="clear" w:color="auto" w:fill="FFFFFF"/>
        </w:rPr>
        <w:t xml:space="preserve"> régimen y las instituciones democráticas, resta ahora exp</w:t>
      </w:r>
      <w:r>
        <w:rPr>
          <w:rFonts w:ascii="Times New Roman" w:hAnsi="Times New Roman" w:cs="Times New Roman"/>
          <w:sz w:val="24"/>
          <w:szCs w:val="24"/>
          <w:shd w:val="clear" w:color="auto" w:fill="FFFFFF"/>
        </w:rPr>
        <w:t>licar por qué la sanción de la Ley de Obediencia Debida tuvo</w:t>
      </w:r>
      <w:r w:rsidRPr="004B0912">
        <w:rPr>
          <w:rFonts w:ascii="Times New Roman" w:hAnsi="Times New Roman" w:cs="Times New Roman"/>
          <w:sz w:val="24"/>
          <w:szCs w:val="24"/>
          <w:shd w:val="clear" w:color="auto" w:fill="FFFFFF"/>
        </w:rPr>
        <w:t xml:space="preserve"> lugar recién en 1987. La respuesta</w:t>
      </w:r>
      <w:r>
        <w:rPr>
          <w:rFonts w:ascii="Times New Roman" w:hAnsi="Times New Roman" w:cs="Times New Roman"/>
          <w:sz w:val="24"/>
          <w:szCs w:val="24"/>
          <w:shd w:val="clear" w:color="auto" w:fill="FFFFFF"/>
        </w:rPr>
        <w:t xml:space="preserve"> se inscribe en la identificación de</w:t>
      </w:r>
      <w:r w:rsidRPr="004B0912">
        <w:rPr>
          <w:rFonts w:ascii="Times New Roman" w:hAnsi="Times New Roman" w:cs="Times New Roman"/>
          <w:sz w:val="24"/>
          <w:szCs w:val="24"/>
          <w:shd w:val="clear" w:color="auto" w:fill="FFFFFF"/>
        </w:rPr>
        <w:t xml:space="preserve"> la unión de las tres corrientes en una ventana de oportunidad política. Si bien el gobierno buscó impulsar la consolidación de esta política pública en dive</w:t>
      </w:r>
      <w:r>
        <w:rPr>
          <w:rFonts w:ascii="Times New Roman" w:hAnsi="Times New Roman" w:cs="Times New Roman"/>
          <w:sz w:val="24"/>
          <w:szCs w:val="24"/>
          <w:shd w:val="clear" w:color="auto" w:fill="FFFFFF"/>
        </w:rPr>
        <w:t>rsos momentos, consideramos</w:t>
      </w:r>
      <w:r w:rsidRPr="004B0912">
        <w:rPr>
          <w:rFonts w:ascii="Times New Roman" w:hAnsi="Times New Roman" w:cs="Times New Roman"/>
          <w:sz w:val="24"/>
          <w:szCs w:val="24"/>
          <w:shd w:val="clear" w:color="auto" w:fill="FFFFFF"/>
        </w:rPr>
        <w:t xml:space="preserve"> que las múltiples denuncias llevadas a cabo tras la aceleración de los</w:t>
      </w:r>
      <w:r>
        <w:rPr>
          <w:rFonts w:ascii="Times New Roman" w:hAnsi="Times New Roman" w:cs="Times New Roman"/>
          <w:sz w:val="24"/>
          <w:szCs w:val="24"/>
          <w:shd w:val="clear" w:color="auto" w:fill="FFFFFF"/>
        </w:rPr>
        <w:t xml:space="preserve"> plazos propuestos por la L</w:t>
      </w:r>
      <w:r w:rsidRPr="004B0912">
        <w:rPr>
          <w:rFonts w:ascii="Times New Roman" w:hAnsi="Times New Roman" w:cs="Times New Roman"/>
          <w:sz w:val="24"/>
          <w:szCs w:val="24"/>
          <w:shd w:val="clear" w:color="auto" w:fill="FFFFFF"/>
        </w:rPr>
        <w:t xml:space="preserve">ey de Punto Final y los posteriores alzamientos carapintadas actuaron como el marco propicio para la unión de las tres corrientes y la sanción de la ley. </w:t>
      </w:r>
    </w:p>
    <w:p w:rsidR="00D225DF" w:rsidRPr="004B0912" w:rsidRDefault="00D225DF" w:rsidP="00D225DF">
      <w:pPr>
        <w:pStyle w:val="Default"/>
        <w:spacing w:line="360" w:lineRule="auto"/>
        <w:ind w:firstLine="567"/>
        <w:jc w:val="both"/>
        <w:rPr>
          <w:color w:val="auto"/>
          <w:shd w:val="clear" w:color="auto" w:fill="FFFFFF"/>
        </w:rPr>
      </w:pPr>
      <w:r w:rsidRPr="004B0912">
        <w:rPr>
          <w:color w:val="auto"/>
          <w:shd w:val="clear" w:color="auto" w:fill="FFFFFF"/>
        </w:rPr>
        <w:t xml:space="preserve">En un contexto en el que se tornó imperioso dar una respuesta, el gobierno encontró finalmente la oportunidad de presentar el proyecto </w:t>
      </w:r>
      <w:r>
        <w:rPr>
          <w:color w:val="auto"/>
          <w:shd w:val="clear" w:color="auto" w:fill="FFFFFF"/>
        </w:rPr>
        <w:t>ante</w:t>
      </w:r>
      <w:r w:rsidRPr="004B0912">
        <w:rPr>
          <w:color w:val="auto"/>
          <w:shd w:val="clear" w:color="auto" w:fill="FFFFFF"/>
        </w:rPr>
        <w:t xml:space="preserve"> el Congreso, le otorgó una </w:t>
      </w:r>
      <w:r>
        <w:rPr>
          <w:color w:val="auto"/>
          <w:shd w:val="clear" w:color="auto" w:fill="FFFFFF"/>
        </w:rPr>
        <w:t xml:space="preserve">relativa </w:t>
      </w:r>
      <w:r w:rsidRPr="004B0912">
        <w:rPr>
          <w:color w:val="auto"/>
          <w:shd w:val="clear" w:color="auto" w:fill="FFFFFF"/>
        </w:rPr>
        <w:t xml:space="preserve">legitimidad formal y le permitió compartir las responsabilidades de la decisión con el poder legislativo (Acuña y </w:t>
      </w:r>
      <w:proofErr w:type="spellStart"/>
      <w:r w:rsidRPr="004B0912">
        <w:rPr>
          <w:color w:val="auto"/>
          <w:shd w:val="clear" w:color="auto" w:fill="FFFFFF"/>
        </w:rPr>
        <w:t>Smulovitz</w:t>
      </w:r>
      <w:proofErr w:type="spellEnd"/>
      <w:r w:rsidRPr="004B0912">
        <w:rPr>
          <w:color w:val="auto"/>
          <w:shd w:val="clear" w:color="auto" w:fill="FFFFFF"/>
        </w:rPr>
        <w:t>, 1993)</w:t>
      </w:r>
    </w:p>
    <w:p w:rsidR="00D225DF" w:rsidRPr="004B0912" w:rsidRDefault="00D225DF" w:rsidP="00D225DF">
      <w:pPr>
        <w:spacing w:line="360" w:lineRule="auto"/>
        <w:ind w:firstLine="567"/>
        <w:jc w:val="both"/>
        <w:rPr>
          <w:rFonts w:ascii="Times New Roman" w:hAnsi="Times New Roman" w:cs="Times New Roman"/>
          <w:sz w:val="24"/>
          <w:szCs w:val="24"/>
          <w:shd w:val="clear" w:color="auto" w:fill="FFFFFF"/>
        </w:rPr>
      </w:pPr>
      <w:r w:rsidRPr="004B0912">
        <w:rPr>
          <w:rFonts w:ascii="Times New Roman" w:hAnsi="Times New Roman" w:cs="Times New Roman"/>
          <w:sz w:val="24"/>
          <w:szCs w:val="24"/>
          <w:shd w:val="clear" w:color="auto" w:fill="FFFFFF"/>
        </w:rPr>
        <w:t xml:space="preserve">Más allá de los avatares que rodearon la sanción de la ley y la definición de niveles de </w:t>
      </w:r>
      <w:r>
        <w:rPr>
          <w:rFonts w:ascii="Times New Roman" w:hAnsi="Times New Roman" w:cs="Times New Roman"/>
          <w:sz w:val="24"/>
          <w:szCs w:val="24"/>
          <w:shd w:val="clear" w:color="auto" w:fill="FFFFFF"/>
        </w:rPr>
        <w:t>responsabilidad desde 1982, la L</w:t>
      </w:r>
      <w:r w:rsidRPr="004B0912">
        <w:rPr>
          <w:rFonts w:ascii="Times New Roman" w:hAnsi="Times New Roman" w:cs="Times New Roman"/>
          <w:sz w:val="24"/>
          <w:szCs w:val="24"/>
          <w:shd w:val="clear" w:color="auto" w:fill="FFFFFF"/>
        </w:rPr>
        <w:t xml:space="preserve">ey de Obediencia Debida fue vista por amplios sectores de la población como una renuncia del gobierno a garantizar la democracia y el estado de derecho, </w:t>
      </w:r>
      <w:r>
        <w:rPr>
          <w:rFonts w:ascii="Times New Roman" w:hAnsi="Times New Roman" w:cs="Times New Roman"/>
          <w:sz w:val="24"/>
          <w:szCs w:val="24"/>
          <w:shd w:val="clear" w:color="auto" w:fill="FFFFFF"/>
        </w:rPr>
        <w:t xml:space="preserve">otorgando </w:t>
      </w:r>
      <w:r w:rsidRPr="004B0912">
        <w:rPr>
          <w:rFonts w:ascii="Times New Roman" w:hAnsi="Times New Roman" w:cs="Times New Roman"/>
          <w:sz w:val="24"/>
          <w:szCs w:val="24"/>
          <w:shd w:val="clear" w:color="auto" w:fill="FFFFFF"/>
        </w:rPr>
        <w:t xml:space="preserve">concesiones al sector militar y mostrando su debilidad. Ninguno de los actores mencionados vio cumplidos sus objetivos de máxima y el </w:t>
      </w:r>
      <w:r>
        <w:rPr>
          <w:rFonts w:ascii="Times New Roman" w:hAnsi="Times New Roman" w:cs="Times New Roman"/>
          <w:sz w:val="24"/>
          <w:szCs w:val="24"/>
          <w:shd w:val="clear" w:color="auto" w:fill="FFFFFF"/>
        </w:rPr>
        <w:t xml:space="preserve">poder ejecutivo </w:t>
      </w:r>
      <w:r w:rsidRPr="004B0912">
        <w:rPr>
          <w:rFonts w:ascii="Times New Roman" w:hAnsi="Times New Roman" w:cs="Times New Roman"/>
          <w:sz w:val="24"/>
          <w:szCs w:val="24"/>
          <w:shd w:val="clear" w:color="auto" w:fill="FFFFFF"/>
        </w:rPr>
        <w:t xml:space="preserve">no pudo articular la demanda de justicia y las reivindicaciones militares (Acuña y </w:t>
      </w:r>
      <w:proofErr w:type="spellStart"/>
      <w:r w:rsidRPr="004B0912">
        <w:rPr>
          <w:rFonts w:ascii="Times New Roman" w:hAnsi="Times New Roman" w:cs="Times New Roman"/>
          <w:sz w:val="24"/>
          <w:szCs w:val="24"/>
          <w:shd w:val="clear" w:color="auto" w:fill="FFFFFF"/>
        </w:rPr>
        <w:t>Smulovitz</w:t>
      </w:r>
      <w:proofErr w:type="spellEnd"/>
      <w:r w:rsidRPr="004B0912">
        <w:rPr>
          <w:rFonts w:ascii="Times New Roman" w:hAnsi="Times New Roman" w:cs="Times New Roman"/>
          <w:sz w:val="24"/>
          <w:szCs w:val="24"/>
          <w:shd w:val="clear" w:color="auto" w:fill="FFFFFF"/>
        </w:rPr>
        <w:t xml:space="preserve">, 1993). Pese a esto, la apuesta hecha por el gobierno radical no puede verse meramente como un fracaso. Hasta el día de hoy, los tribunales se consideran el lugar privilegiado al momento de acordar definiciones y juicios </w:t>
      </w:r>
      <w:r>
        <w:rPr>
          <w:rFonts w:ascii="Times New Roman" w:hAnsi="Times New Roman" w:cs="Times New Roman"/>
          <w:sz w:val="24"/>
          <w:szCs w:val="24"/>
          <w:shd w:val="clear" w:color="auto" w:fill="FFFFFF"/>
        </w:rPr>
        <w:t>sobre pretéritos procesos de violencia y violaciones a los derechos humanos</w:t>
      </w:r>
      <w:r w:rsidRPr="004B0912">
        <w:rPr>
          <w:rFonts w:ascii="Times New Roman" w:hAnsi="Times New Roman" w:cs="Times New Roman"/>
          <w:sz w:val="24"/>
          <w:szCs w:val="24"/>
          <w:shd w:val="clear" w:color="auto" w:fill="FFFFFF"/>
        </w:rPr>
        <w:t xml:space="preserve">. Las posturas revanchistas han sido en buena medida desterradas como alternativas y el </w:t>
      </w:r>
      <w:r w:rsidRPr="004B0912">
        <w:rPr>
          <w:rFonts w:ascii="Times New Roman" w:hAnsi="Times New Roman" w:cs="Times New Roman"/>
          <w:sz w:val="24"/>
          <w:szCs w:val="24"/>
          <w:shd w:val="clear" w:color="auto" w:fill="FFFFFF"/>
        </w:rPr>
        <w:lastRenderedPageBreak/>
        <w:t xml:space="preserve">Estado sigue siendo considerado como un actor neutral, al que es preciso demandar la administración de justicia. La verdad </w:t>
      </w:r>
      <w:r>
        <w:rPr>
          <w:rFonts w:ascii="Times New Roman" w:hAnsi="Times New Roman" w:cs="Times New Roman"/>
          <w:sz w:val="24"/>
          <w:szCs w:val="24"/>
          <w:shd w:val="clear" w:color="auto" w:fill="FFFFFF"/>
        </w:rPr>
        <w:t>jurídic</w:t>
      </w:r>
      <w:r w:rsidRPr="004B0912">
        <w:rPr>
          <w:rFonts w:ascii="Times New Roman" w:hAnsi="Times New Roman" w:cs="Times New Roman"/>
          <w:sz w:val="24"/>
          <w:szCs w:val="24"/>
          <w:shd w:val="clear" w:color="auto" w:fill="FFFFFF"/>
        </w:rPr>
        <w:t>a sobre el pasado dictatorial es, en buena medida, construida a partir de un proceso donde se administran pruebas y se establecen absoluciones o condenas (</w:t>
      </w:r>
      <w:proofErr w:type="spellStart"/>
      <w:r w:rsidRPr="004B0912">
        <w:rPr>
          <w:rFonts w:ascii="Times New Roman" w:hAnsi="Times New Roman" w:cs="Times New Roman"/>
          <w:sz w:val="24"/>
          <w:szCs w:val="24"/>
          <w:shd w:val="clear" w:color="auto" w:fill="FFFFFF"/>
        </w:rPr>
        <w:t>Crenzel</w:t>
      </w:r>
      <w:proofErr w:type="spellEnd"/>
      <w:r w:rsidRPr="004B0912">
        <w:rPr>
          <w:rFonts w:ascii="Times New Roman" w:hAnsi="Times New Roman" w:cs="Times New Roman"/>
          <w:sz w:val="24"/>
          <w:szCs w:val="24"/>
          <w:shd w:val="clear" w:color="auto" w:fill="FFFFFF"/>
        </w:rPr>
        <w:t xml:space="preserve">, 2014). </w:t>
      </w:r>
    </w:p>
    <w:p w:rsidR="00D225DF" w:rsidRPr="004B0912" w:rsidRDefault="00D225DF" w:rsidP="00D225DF">
      <w:pPr>
        <w:rPr>
          <w:rFonts w:ascii="Times New Roman" w:hAnsi="Times New Roman" w:cs="Times New Roman"/>
          <w:b/>
        </w:rPr>
      </w:pPr>
    </w:p>
    <w:p w:rsidR="00D225DF" w:rsidRPr="004B0912" w:rsidRDefault="00D225DF" w:rsidP="00D225DF">
      <w:pPr>
        <w:rPr>
          <w:rFonts w:ascii="Times New Roman" w:hAnsi="Times New Roman" w:cs="Times New Roman"/>
          <w:b/>
        </w:rPr>
      </w:pPr>
      <w:r w:rsidRPr="004B0912">
        <w:rPr>
          <w:rFonts w:ascii="Times New Roman" w:hAnsi="Times New Roman" w:cs="Times New Roman"/>
          <w:b/>
        </w:rPr>
        <w:t>Reflexiones finales</w:t>
      </w:r>
    </w:p>
    <w:p w:rsidR="00D225DF" w:rsidRPr="004B0912" w:rsidRDefault="00D225DF" w:rsidP="00D225DF">
      <w:pPr>
        <w:spacing w:after="0" w:line="360" w:lineRule="auto"/>
        <w:ind w:firstLine="567"/>
        <w:jc w:val="both"/>
        <w:rPr>
          <w:rFonts w:ascii="Times New Roman" w:hAnsi="Times New Roman" w:cs="Times New Roman"/>
          <w:sz w:val="24"/>
        </w:rPr>
      </w:pPr>
      <w:r w:rsidRPr="004B0912">
        <w:rPr>
          <w:rFonts w:ascii="Times New Roman" w:hAnsi="Times New Roman" w:cs="Times New Roman"/>
          <w:sz w:val="24"/>
        </w:rPr>
        <w:t xml:space="preserve">La sanción de la ley de Obediencia Debida en 1987 no puede entenderse sin prestar atención al contexto histórico, político y social de la época así como a las relaciones de fuerza imperantes y a las ideas que circulaban en relación a un pasado signado por la violencia y la represión estatal. El acento puesto en la justicia y los tribunales constituyó la apuesta para abordar </w:t>
      </w:r>
      <w:r>
        <w:rPr>
          <w:rFonts w:ascii="Times New Roman" w:hAnsi="Times New Roman" w:cs="Times New Roman"/>
          <w:sz w:val="24"/>
        </w:rPr>
        <w:t>dicho</w:t>
      </w:r>
      <w:r w:rsidRPr="004B0912">
        <w:rPr>
          <w:rFonts w:ascii="Times New Roman" w:hAnsi="Times New Roman" w:cs="Times New Roman"/>
          <w:sz w:val="24"/>
        </w:rPr>
        <w:t xml:space="preserve"> pasado y, a su vez, consolidar las instituciones democráticas pensando en el presente y en el futuro (</w:t>
      </w:r>
      <w:proofErr w:type="spellStart"/>
      <w:r w:rsidRPr="004B0912">
        <w:rPr>
          <w:rFonts w:ascii="Times New Roman" w:hAnsi="Times New Roman" w:cs="Times New Roman"/>
          <w:sz w:val="24"/>
        </w:rPr>
        <w:t>Crenzel</w:t>
      </w:r>
      <w:proofErr w:type="spellEnd"/>
      <w:r w:rsidRPr="004B0912">
        <w:rPr>
          <w:rFonts w:ascii="Times New Roman" w:hAnsi="Times New Roman" w:cs="Times New Roman"/>
          <w:sz w:val="24"/>
        </w:rPr>
        <w:t>, 2014).</w:t>
      </w:r>
    </w:p>
    <w:p w:rsidR="00D225DF" w:rsidRPr="004B0912" w:rsidRDefault="00D225DF" w:rsidP="00D225DF">
      <w:pPr>
        <w:spacing w:after="0" w:line="360" w:lineRule="auto"/>
        <w:ind w:firstLine="567"/>
        <w:jc w:val="both"/>
        <w:rPr>
          <w:rFonts w:ascii="Times New Roman" w:hAnsi="Times New Roman" w:cs="Times New Roman"/>
          <w:sz w:val="24"/>
        </w:rPr>
      </w:pPr>
      <w:r>
        <w:rPr>
          <w:rFonts w:ascii="Times New Roman" w:hAnsi="Times New Roman" w:cs="Times New Roman"/>
          <w:sz w:val="24"/>
        </w:rPr>
        <w:t>La L</w:t>
      </w:r>
      <w:r w:rsidRPr="004B0912">
        <w:rPr>
          <w:rFonts w:ascii="Times New Roman" w:hAnsi="Times New Roman" w:cs="Times New Roman"/>
          <w:sz w:val="24"/>
        </w:rPr>
        <w:t>ey de Obediencia Debida, así como la Ley de Punto Final, no sólo presentaron controversias al momento de su sanción, sino que los conflictos resurgieron en diferentes períodos y circunstancias, hasta ser declaradas nulas, inválidas e inconstitucionales por la Corte Suprema de Justicia de la Nación en el año 2005 (CELS</w:t>
      </w:r>
      <w:r>
        <w:rPr>
          <w:rFonts w:ascii="Times New Roman" w:hAnsi="Times New Roman" w:cs="Times New Roman"/>
          <w:sz w:val="24"/>
        </w:rPr>
        <w:t>, 2005).</w:t>
      </w:r>
    </w:p>
    <w:p w:rsidR="00D225DF" w:rsidRPr="004B0912" w:rsidRDefault="00D225DF" w:rsidP="00D225DF">
      <w:pPr>
        <w:spacing w:after="0" w:line="360" w:lineRule="auto"/>
        <w:ind w:firstLine="567"/>
        <w:jc w:val="both"/>
        <w:rPr>
          <w:rFonts w:ascii="Times New Roman" w:hAnsi="Times New Roman" w:cs="Times New Roman"/>
          <w:sz w:val="24"/>
        </w:rPr>
      </w:pPr>
      <w:r w:rsidRPr="004B0912">
        <w:rPr>
          <w:rFonts w:ascii="Times New Roman" w:hAnsi="Times New Roman" w:cs="Times New Roman"/>
          <w:sz w:val="24"/>
        </w:rPr>
        <w:t xml:space="preserve">El presente trabajo tuvo como objetivo arrojar luz sobre los elementos presentes a la hora de formular y tomar decisiones en materia de políticas públicas. El enfoque de las corrientes múltiples provee las herramientas para un análisis complejo, prestando atención al dinamismo propio de </w:t>
      </w:r>
      <w:r>
        <w:rPr>
          <w:rFonts w:ascii="Times New Roman" w:hAnsi="Times New Roman" w:cs="Times New Roman"/>
          <w:sz w:val="24"/>
        </w:rPr>
        <w:t>su implementación,</w:t>
      </w:r>
      <w:r w:rsidRPr="004B0912">
        <w:rPr>
          <w:rFonts w:ascii="Times New Roman" w:hAnsi="Times New Roman" w:cs="Times New Roman"/>
          <w:sz w:val="24"/>
        </w:rPr>
        <w:t xml:space="preserve"> así como al peso de los factores socio-históricos que pueden propiciar u obstaculizar el desarrollo de diferentes programas de acción.</w:t>
      </w:r>
    </w:p>
    <w:p w:rsidR="00D225DF" w:rsidRPr="004B0912" w:rsidRDefault="00D225DF" w:rsidP="00D225DF">
      <w:pPr>
        <w:spacing w:after="0" w:line="360" w:lineRule="auto"/>
        <w:ind w:firstLine="567"/>
        <w:jc w:val="both"/>
        <w:rPr>
          <w:rFonts w:ascii="Times New Roman" w:hAnsi="Times New Roman" w:cs="Times New Roman"/>
          <w:sz w:val="24"/>
          <w:szCs w:val="24"/>
        </w:rPr>
      </w:pPr>
      <w:r w:rsidRPr="004B0912">
        <w:rPr>
          <w:rFonts w:ascii="Times New Roman" w:hAnsi="Times New Roman" w:cs="Times New Roman"/>
          <w:sz w:val="24"/>
          <w:szCs w:val="24"/>
        </w:rPr>
        <w:t xml:space="preserve">Las políticas públicas actúan como un tema central </w:t>
      </w:r>
      <w:r>
        <w:rPr>
          <w:rFonts w:ascii="Times New Roman" w:hAnsi="Times New Roman" w:cs="Times New Roman"/>
          <w:sz w:val="24"/>
          <w:szCs w:val="24"/>
        </w:rPr>
        <w:t xml:space="preserve">en </w:t>
      </w:r>
      <w:r w:rsidRPr="004B0912">
        <w:rPr>
          <w:rFonts w:ascii="Times New Roman" w:hAnsi="Times New Roman" w:cs="Times New Roman"/>
          <w:sz w:val="24"/>
          <w:szCs w:val="24"/>
        </w:rPr>
        <w:t xml:space="preserve">el análisis </w:t>
      </w:r>
      <w:r>
        <w:rPr>
          <w:rFonts w:ascii="Times New Roman" w:hAnsi="Times New Roman" w:cs="Times New Roman"/>
          <w:sz w:val="24"/>
          <w:szCs w:val="24"/>
        </w:rPr>
        <w:t>pro</w:t>
      </w:r>
      <w:r w:rsidRPr="004B0912">
        <w:rPr>
          <w:rFonts w:ascii="Times New Roman" w:hAnsi="Times New Roman" w:cs="Times New Roman"/>
          <w:sz w:val="24"/>
          <w:szCs w:val="24"/>
        </w:rPr>
        <w:t xml:space="preserve">puesto </w:t>
      </w:r>
      <w:r>
        <w:rPr>
          <w:rFonts w:ascii="Times New Roman" w:hAnsi="Times New Roman" w:cs="Times New Roman"/>
          <w:sz w:val="24"/>
          <w:szCs w:val="24"/>
        </w:rPr>
        <w:t>y</w:t>
      </w:r>
      <w:r w:rsidRPr="004B0912">
        <w:rPr>
          <w:rFonts w:ascii="Times New Roman" w:hAnsi="Times New Roman" w:cs="Times New Roman"/>
          <w:sz w:val="24"/>
          <w:szCs w:val="24"/>
        </w:rPr>
        <w:t xml:space="preserve"> prov</w:t>
      </w:r>
      <w:r>
        <w:rPr>
          <w:rFonts w:ascii="Times New Roman" w:hAnsi="Times New Roman" w:cs="Times New Roman"/>
          <w:sz w:val="24"/>
          <w:szCs w:val="24"/>
        </w:rPr>
        <w:t>een de un conocimiento capilar sobre el</w:t>
      </w:r>
      <w:r w:rsidRPr="004B0912">
        <w:rPr>
          <w:rFonts w:ascii="Times New Roman" w:hAnsi="Times New Roman" w:cs="Times New Roman"/>
          <w:sz w:val="24"/>
          <w:szCs w:val="24"/>
        </w:rPr>
        <w:t xml:space="preserve"> funcionamiento del Estado, dando cuenta del entrecruzamiento de diferentes actores, así como también de los distintos recursos, imaginarios y significados puestos en juego.</w:t>
      </w:r>
      <w:r w:rsidRPr="004B0912">
        <w:rPr>
          <w:rFonts w:ascii="Times New Roman" w:hAnsi="Times New Roman" w:cs="Times New Roman"/>
          <w:sz w:val="24"/>
        </w:rPr>
        <w:t xml:space="preserve"> </w:t>
      </w:r>
      <w:r w:rsidRPr="004B0912">
        <w:rPr>
          <w:rFonts w:ascii="Times New Roman" w:hAnsi="Times New Roman" w:cs="Times New Roman"/>
          <w:sz w:val="24"/>
          <w:szCs w:val="24"/>
        </w:rPr>
        <w:t xml:space="preserve">Este tipo de análisis, lejos de constituirse en estudios normativos que distingan entre buenas y malas medidas o se sustenten en proveer herramientas para un funcionamiento eficiente, permite captar la complejidad de la actividad estatal, dar cuenta de sus diferentes facetas y centrar la atención en las significaciones otorgadas por los diferentes actores (Padioleau, 1989). </w:t>
      </w:r>
    </w:p>
    <w:p w:rsidR="009431E5" w:rsidRDefault="009431E5" w:rsidP="00D225DF">
      <w:pPr>
        <w:jc w:val="both"/>
        <w:rPr>
          <w:rFonts w:ascii="Times New Roman" w:hAnsi="Times New Roman" w:cs="Times New Roman"/>
          <w:sz w:val="24"/>
        </w:rPr>
      </w:pPr>
    </w:p>
    <w:p w:rsidR="00D225DF" w:rsidRPr="004B0912" w:rsidRDefault="00D225DF" w:rsidP="00D225DF">
      <w:pPr>
        <w:jc w:val="both"/>
        <w:rPr>
          <w:rFonts w:ascii="Times New Roman" w:hAnsi="Times New Roman" w:cs="Times New Roman"/>
          <w:b/>
          <w:sz w:val="24"/>
          <w:szCs w:val="24"/>
          <w:shd w:val="clear" w:color="auto" w:fill="FFFFFF"/>
        </w:rPr>
      </w:pPr>
      <w:r w:rsidRPr="004B0912">
        <w:rPr>
          <w:rFonts w:ascii="Times New Roman" w:hAnsi="Times New Roman" w:cs="Times New Roman"/>
          <w:b/>
          <w:sz w:val="24"/>
          <w:szCs w:val="24"/>
          <w:shd w:val="clear" w:color="auto" w:fill="FFFFFF"/>
        </w:rPr>
        <w:lastRenderedPageBreak/>
        <w:t>Bibliografía</w:t>
      </w:r>
    </w:p>
    <w:p w:rsidR="00D225DF" w:rsidRDefault="00D225DF" w:rsidP="00D225DF">
      <w:pPr>
        <w:pStyle w:val="Prrafodelista"/>
        <w:numPr>
          <w:ilvl w:val="0"/>
          <w:numId w:val="1"/>
        </w:numPr>
        <w:ind w:left="0" w:firstLine="567"/>
        <w:jc w:val="both"/>
        <w:rPr>
          <w:rFonts w:ascii="Times New Roman" w:hAnsi="Times New Roman" w:cs="Times New Roman"/>
          <w:sz w:val="24"/>
        </w:rPr>
      </w:pPr>
      <w:r w:rsidRPr="004B0912">
        <w:rPr>
          <w:rFonts w:ascii="Times New Roman" w:hAnsi="Times New Roman" w:cs="Times New Roman"/>
          <w:sz w:val="24"/>
        </w:rPr>
        <w:t xml:space="preserve">Acuña, C., &amp; </w:t>
      </w:r>
      <w:proofErr w:type="spellStart"/>
      <w:r w:rsidRPr="004B0912">
        <w:rPr>
          <w:rFonts w:ascii="Times New Roman" w:hAnsi="Times New Roman" w:cs="Times New Roman"/>
          <w:sz w:val="24"/>
        </w:rPr>
        <w:t>Smulovitz</w:t>
      </w:r>
      <w:proofErr w:type="spellEnd"/>
      <w:r w:rsidRPr="004B0912">
        <w:rPr>
          <w:rFonts w:ascii="Times New Roman" w:hAnsi="Times New Roman" w:cs="Times New Roman"/>
          <w:sz w:val="24"/>
        </w:rPr>
        <w:t>, C. (1993). Militares en la transición argentina: del gobierno a la subordinación constitucional. VVM: Juicio, castigos y memorias, Buenos Aires, Ediciones Nueva Visión.</w:t>
      </w:r>
    </w:p>
    <w:p w:rsidR="00D225DF" w:rsidRDefault="00D225DF" w:rsidP="00D225DF">
      <w:pPr>
        <w:pStyle w:val="Prrafodelista"/>
        <w:numPr>
          <w:ilvl w:val="0"/>
          <w:numId w:val="1"/>
        </w:numPr>
        <w:ind w:left="0" w:firstLine="567"/>
        <w:jc w:val="both"/>
        <w:rPr>
          <w:rFonts w:ascii="Times New Roman" w:hAnsi="Times New Roman" w:cs="Times New Roman"/>
          <w:sz w:val="24"/>
        </w:rPr>
      </w:pPr>
      <w:proofErr w:type="spellStart"/>
      <w:r>
        <w:rPr>
          <w:rFonts w:ascii="Times New Roman" w:hAnsi="Times New Roman" w:cs="Times New Roman"/>
          <w:sz w:val="24"/>
        </w:rPr>
        <w:t>Bacci</w:t>
      </w:r>
      <w:proofErr w:type="spellEnd"/>
      <w:r>
        <w:rPr>
          <w:rFonts w:ascii="Times New Roman" w:hAnsi="Times New Roman" w:cs="Times New Roman"/>
          <w:sz w:val="24"/>
        </w:rPr>
        <w:t>, C</w:t>
      </w:r>
      <w:r w:rsidRPr="00AD27A7">
        <w:rPr>
          <w:rFonts w:ascii="Times New Roman" w:hAnsi="Times New Roman" w:cs="Times New Roman"/>
          <w:sz w:val="24"/>
        </w:rPr>
        <w:t xml:space="preserve">. </w:t>
      </w:r>
      <w:r>
        <w:rPr>
          <w:rFonts w:ascii="Times New Roman" w:hAnsi="Times New Roman" w:cs="Times New Roman"/>
          <w:sz w:val="24"/>
        </w:rPr>
        <w:t>(</w:t>
      </w:r>
      <w:r w:rsidRPr="00AD27A7">
        <w:rPr>
          <w:rFonts w:ascii="Times New Roman" w:hAnsi="Times New Roman" w:cs="Times New Roman"/>
          <w:sz w:val="24"/>
        </w:rPr>
        <w:t>2015</w:t>
      </w:r>
      <w:r>
        <w:rPr>
          <w:rFonts w:ascii="Times New Roman" w:hAnsi="Times New Roman" w:cs="Times New Roman"/>
          <w:sz w:val="24"/>
        </w:rPr>
        <w:t>)</w:t>
      </w:r>
      <w:r w:rsidRPr="00AD27A7">
        <w:rPr>
          <w:rFonts w:ascii="Times New Roman" w:hAnsi="Times New Roman" w:cs="Times New Roman"/>
          <w:sz w:val="24"/>
        </w:rPr>
        <w:t>. “Testimonios en democracia: el Juicio a las</w:t>
      </w:r>
      <w:r>
        <w:rPr>
          <w:rFonts w:ascii="Times New Roman" w:hAnsi="Times New Roman" w:cs="Times New Roman"/>
          <w:sz w:val="24"/>
        </w:rPr>
        <w:t xml:space="preserve"> Juntas militares en Argentina”</w:t>
      </w:r>
      <w:r w:rsidRPr="00AD27A7">
        <w:rPr>
          <w:rFonts w:ascii="Times New Roman" w:hAnsi="Times New Roman" w:cs="Times New Roman"/>
          <w:sz w:val="24"/>
        </w:rPr>
        <w:t xml:space="preserve">. </w:t>
      </w:r>
      <w:proofErr w:type="spellStart"/>
      <w:r w:rsidRPr="00AD27A7">
        <w:rPr>
          <w:rFonts w:ascii="Times New Roman" w:hAnsi="Times New Roman" w:cs="Times New Roman"/>
          <w:sz w:val="24"/>
        </w:rPr>
        <w:t>Agora</w:t>
      </w:r>
      <w:proofErr w:type="spellEnd"/>
      <w:r w:rsidRPr="00AD27A7">
        <w:rPr>
          <w:rFonts w:ascii="Times New Roman" w:hAnsi="Times New Roman" w:cs="Times New Roman"/>
          <w:sz w:val="24"/>
        </w:rPr>
        <w:t xml:space="preserve">. </w:t>
      </w:r>
      <w:proofErr w:type="spellStart"/>
      <w:r w:rsidRPr="00AD27A7">
        <w:rPr>
          <w:rFonts w:ascii="Times New Roman" w:hAnsi="Times New Roman" w:cs="Times New Roman"/>
          <w:sz w:val="24"/>
        </w:rPr>
        <w:t>Vol</w:t>
      </w:r>
      <w:proofErr w:type="spellEnd"/>
      <w:r w:rsidRPr="00AD27A7">
        <w:rPr>
          <w:rFonts w:ascii="Times New Roman" w:hAnsi="Times New Roman" w:cs="Times New Roman"/>
          <w:sz w:val="24"/>
        </w:rPr>
        <w:t xml:space="preserve"> N°2, N° 4. P. 29-50</w:t>
      </w:r>
    </w:p>
    <w:p w:rsidR="00D225DF" w:rsidRPr="00AD27A7" w:rsidRDefault="00D225DF" w:rsidP="00D225DF">
      <w:pPr>
        <w:pStyle w:val="Prrafodelista"/>
        <w:numPr>
          <w:ilvl w:val="0"/>
          <w:numId w:val="1"/>
        </w:numPr>
        <w:ind w:left="0" w:firstLine="567"/>
        <w:jc w:val="both"/>
        <w:rPr>
          <w:rFonts w:ascii="Times New Roman" w:hAnsi="Times New Roman" w:cs="Times New Roman"/>
          <w:sz w:val="24"/>
        </w:rPr>
      </w:pPr>
      <w:proofErr w:type="spellStart"/>
      <w:r>
        <w:rPr>
          <w:rFonts w:ascii="Times New Roman" w:hAnsi="Times New Roman" w:cs="Times New Roman"/>
          <w:sz w:val="24"/>
        </w:rPr>
        <w:t>Battaglino</w:t>
      </w:r>
      <w:proofErr w:type="spellEnd"/>
      <w:r>
        <w:rPr>
          <w:rFonts w:ascii="Times New Roman" w:hAnsi="Times New Roman" w:cs="Times New Roman"/>
          <w:sz w:val="24"/>
        </w:rPr>
        <w:t xml:space="preserve">, J. </w:t>
      </w:r>
      <w:r w:rsidRPr="007E69B2">
        <w:rPr>
          <w:rFonts w:ascii="Times New Roman" w:hAnsi="Times New Roman" w:cs="Times New Roman"/>
          <w:sz w:val="24"/>
        </w:rPr>
        <w:t>(2010): “La política mil</w:t>
      </w:r>
      <w:r w:rsidRPr="00AD27A7">
        <w:rPr>
          <w:rFonts w:ascii="Times New Roman" w:hAnsi="Times New Roman" w:cs="Times New Roman"/>
          <w:sz w:val="24"/>
        </w:rPr>
        <w:t xml:space="preserve">itar de Alfonsín: la implementación del control civil en un contexto desfavorable”, en </w:t>
      </w:r>
      <w:proofErr w:type="spellStart"/>
      <w:r w:rsidRPr="00AD27A7">
        <w:rPr>
          <w:rFonts w:ascii="Times New Roman" w:hAnsi="Times New Roman" w:cs="Times New Roman"/>
          <w:sz w:val="24"/>
        </w:rPr>
        <w:t>Gargarella</w:t>
      </w:r>
      <w:proofErr w:type="spellEnd"/>
      <w:r w:rsidRPr="00AD27A7">
        <w:rPr>
          <w:rFonts w:ascii="Times New Roman" w:hAnsi="Times New Roman" w:cs="Times New Roman"/>
          <w:sz w:val="24"/>
        </w:rPr>
        <w:t xml:space="preserve">, Roberto; Murillo, María Victoria y Mario </w:t>
      </w:r>
      <w:proofErr w:type="spellStart"/>
      <w:r w:rsidRPr="00AD27A7">
        <w:rPr>
          <w:rFonts w:ascii="Times New Roman" w:hAnsi="Times New Roman" w:cs="Times New Roman"/>
          <w:sz w:val="24"/>
        </w:rPr>
        <w:t>Pecheny</w:t>
      </w:r>
      <w:proofErr w:type="spellEnd"/>
      <w:r w:rsidRPr="00AD27A7">
        <w:rPr>
          <w:rFonts w:ascii="Times New Roman" w:hAnsi="Times New Roman" w:cs="Times New Roman"/>
          <w:sz w:val="24"/>
        </w:rPr>
        <w:t>, compiladores, Discutir Alfonsín. Siglo XXI editores, Buenos Aires</w:t>
      </w:r>
    </w:p>
    <w:p w:rsidR="00D225DF" w:rsidRPr="00E50E0F" w:rsidRDefault="00D225DF" w:rsidP="00D225DF">
      <w:pPr>
        <w:pStyle w:val="Prrafodelista"/>
        <w:numPr>
          <w:ilvl w:val="0"/>
          <w:numId w:val="1"/>
        </w:numPr>
        <w:ind w:left="0" w:firstLine="567"/>
        <w:jc w:val="both"/>
        <w:rPr>
          <w:rFonts w:ascii="Times New Roman" w:hAnsi="Times New Roman" w:cs="Times New Roman"/>
          <w:sz w:val="24"/>
        </w:rPr>
      </w:pPr>
      <w:r w:rsidRPr="00E50E0F">
        <w:rPr>
          <w:rFonts w:ascii="Times New Roman" w:hAnsi="Times New Roman" w:cs="Times New Roman"/>
          <w:sz w:val="24"/>
        </w:rPr>
        <w:t xml:space="preserve">Canelo, P. (2008). El Proceso en su laberinto: la interna militar de Videla a </w:t>
      </w:r>
      <w:proofErr w:type="spellStart"/>
      <w:r w:rsidRPr="00E50E0F">
        <w:rPr>
          <w:rFonts w:ascii="Times New Roman" w:hAnsi="Times New Roman" w:cs="Times New Roman"/>
          <w:sz w:val="24"/>
        </w:rPr>
        <w:t>Bignone</w:t>
      </w:r>
      <w:proofErr w:type="spellEnd"/>
      <w:r w:rsidRPr="00E50E0F">
        <w:rPr>
          <w:rFonts w:ascii="Times New Roman" w:hAnsi="Times New Roman" w:cs="Times New Roman"/>
          <w:sz w:val="24"/>
        </w:rPr>
        <w:t>. Prometeo Libros Editorial.</w:t>
      </w:r>
    </w:p>
    <w:p w:rsidR="00D225DF" w:rsidRPr="004B0912" w:rsidRDefault="00D225DF" w:rsidP="00D225DF">
      <w:pPr>
        <w:pStyle w:val="Prrafodelista"/>
        <w:numPr>
          <w:ilvl w:val="0"/>
          <w:numId w:val="1"/>
        </w:numPr>
        <w:ind w:left="0" w:firstLine="567"/>
        <w:jc w:val="both"/>
        <w:rPr>
          <w:rFonts w:ascii="Times New Roman" w:hAnsi="Times New Roman" w:cs="Times New Roman"/>
          <w:sz w:val="24"/>
        </w:rPr>
      </w:pPr>
      <w:r w:rsidRPr="004B0912">
        <w:rPr>
          <w:rFonts w:ascii="Times New Roman" w:hAnsi="Times New Roman" w:cs="Times New Roman"/>
          <w:sz w:val="24"/>
        </w:rPr>
        <w:t>Canelo, P. (2013). ¿Qué hacer con las Fuerzas Armadas? Treinta años de “cuestión militar” en la Argentina. DOSSIER ARGENTINA: 30 años de democracia, 136.</w:t>
      </w:r>
    </w:p>
    <w:p w:rsidR="00D225DF" w:rsidRDefault="00D225DF" w:rsidP="00D225DF">
      <w:pPr>
        <w:pStyle w:val="Prrafodelista"/>
        <w:numPr>
          <w:ilvl w:val="0"/>
          <w:numId w:val="1"/>
        </w:numPr>
        <w:ind w:left="0" w:firstLine="567"/>
        <w:jc w:val="both"/>
        <w:rPr>
          <w:rFonts w:ascii="Times New Roman" w:hAnsi="Times New Roman" w:cs="Times New Roman"/>
          <w:sz w:val="24"/>
        </w:rPr>
      </w:pPr>
      <w:r w:rsidRPr="00083A50">
        <w:rPr>
          <w:rFonts w:ascii="Times New Roman" w:hAnsi="Times New Roman" w:cs="Times New Roman"/>
          <w:sz w:val="24"/>
        </w:rPr>
        <w:t>Centro de Estudios Legales y Sociales</w:t>
      </w:r>
      <w:r>
        <w:rPr>
          <w:rFonts w:ascii="Times New Roman" w:hAnsi="Times New Roman" w:cs="Times New Roman"/>
          <w:sz w:val="24"/>
        </w:rPr>
        <w:t xml:space="preserve"> (2005)</w:t>
      </w:r>
      <w:r w:rsidRPr="00083A50">
        <w:rPr>
          <w:rFonts w:ascii="Times New Roman" w:hAnsi="Times New Roman" w:cs="Times New Roman"/>
          <w:sz w:val="24"/>
        </w:rPr>
        <w:t xml:space="preserve">. “Las leyes de Punto Final y Obediencia Debida son inconstitucionales. Síntesis del fallo de la Corte Suprema de Justicia de la Nación que resuelve la inconstitucionalidad de las leyes del perdón”, disponible en: </w:t>
      </w:r>
      <w:hyperlink r:id="rId8" w:history="1">
        <w:r w:rsidRPr="00083A50">
          <w:rPr>
            <w:rFonts w:ascii="Times New Roman" w:hAnsi="Times New Roman" w:cs="Times New Roman"/>
            <w:sz w:val="24"/>
          </w:rPr>
          <w:t>https://www.studocu.com/es-ar/document/universidad-nacional-de-avellaneda/sociologia-juridica/apuntes/sintesis-fallo-caso-poblete/3073086/view</w:t>
        </w:r>
      </w:hyperlink>
      <w:r w:rsidRPr="00083A50">
        <w:rPr>
          <w:rFonts w:ascii="Times New Roman" w:hAnsi="Times New Roman" w:cs="Times New Roman"/>
          <w:sz w:val="24"/>
        </w:rPr>
        <w:t xml:space="preserve"> Consultado: 26/5/2019 </w:t>
      </w:r>
    </w:p>
    <w:p w:rsidR="00D225DF" w:rsidRPr="004B0912" w:rsidRDefault="00D225DF" w:rsidP="00D225DF">
      <w:pPr>
        <w:pStyle w:val="Prrafodelista"/>
        <w:numPr>
          <w:ilvl w:val="0"/>
          <w:numId w:val="1"/>
        </w:numPr>
        <w:ind w:left="0" w:firstLine="567"/>
        <w:jc w:val="both"/>
        <w:rPr>
          <w:rFonts w:ascii="Times New Roman" w:hAnsi="Times New Roman" w:cs="Times New Roman"/>
          <w:sz w:val="24"/>
        </w:rPr>
      </w:pPr>
      <w:proofErr w:type="spellStart"/>
      <w:r w:rsidRPr="004B0912">
        <w:rPr>
          <w:rFonts w:ascii="Times New Roman" w:hAnsi="Times New Roman" w:cs="Times New Roman"/>
          <w:sz w:val="24"/>
        </w:rPr>
        <w:t>Crenzel</w:t>
      </w:r>
      <w:proofErr w:type="spellEnd"/>
      <w:r w:rsidRPr="004B0912">
        <w:rPr>
          <w:rFonts w:ascii="Times New Roman" w:hAnsi="Times New Roman" w:cs="Times New Roman"/>
          <w:sz w:val="24"/>
        </w:rPr>
        <w:t xml:space="preserve">, E.A. (2014). ¿Cómo enfrentar las violaciones a los derechos humanos? La elaboración de la estrategia de justicia en la transición a la democracia en la Argentina. Revista de </w:t>
      </w:r>
      <w:proofErr w:type="spellStart"/>
      <w:r w:rsidRPr="004B0912">
        <w:rPr>
          <w:rFonts w:ascii="Times New Roman" w:hAnsi="Times New Roman" w:cs="Times New Roman"/>
          <w:sz w:val="24"/>
        </w:rPr>
        <w:t>Direito</w:t>
      </w:r>
      <w:proofErr w:type="spellEnd"/>
      <w:r w:rsidRPr="004B0912">
        <w:rPr>
          <w:rFonts w:ascii="Times New Roman" w:hAnsi="Times New Roman" w:cs="Times New Roman"/>
          <w:sz w:val="24"/>
        </w:rPr>
        <w:t xml:space="preserve"> da </w:t>
      </w:r>
      <w:proofErr w:type="spellStart"/>
      <w:r w:rsidRPr="004B0912">
        <w:rPr>
          <w:rFonts w:ascii="Times New Roman" w:hAnsi="Times New Roman" w:cs="Times New Roman"/>
          <w:sz w:val="24"/>
        </w:rPr>
        <w:t>Cidade</w:t>
      </w:r>
      <w:proofErr w:type="spellEnd"/>
      <w:r w:rsidRPr="004B0912">
        <w:rPr>
          <w:rFonts w:ascii="Times New Roman" w:hAnsi="Times New Roman" w:cs="Times New Roman"/>
          <w:sz w:val="24"/>
        </w:rPr>
        <w:t>, 6(1), 44-64.</w:t>
      </w:r>
    </w:p>
    <w:p w:rsidR="00D225DF" w:rsidRPr="004B0912" w:rsidRDefault="00D225DF" w:rsidP="00D225DF">
      <w:pPr>
        <w:pStyle w:val="Prrafodelista"/>
        <w:numPr>
          <w:ilvl w:val="0"/>
          <w:numId w:val="1"/>
        </w:numPr>
        <w:ind w:left="0" w:firstLine="567"/>
        <w:jc w:val="both"/>
        <w:rPr>
          <w:rFonts w:ascii="Times New Roman" w:hAnsi="Times New Roman" w:cs="Times New Roman"/>
          <w:sz w:val="24"/>
        </w:rPr>
      </w:pPr>
      <w:r w:rsidRPr="004B0912">
        <w:rPr>
          <w:rFonts w:ascii="Times New Roman" w:hAnsi="Times New Roman" w:cs="Times New Roman"/>
          <w:sz w:val="24"/>
        </w:rPr>
        <w:t>Delgadillo (2011), J. M. S. Políticas públicas y políticas de la memoria en Argentina y Chile: agendas y toma de decisiones.</w:t>
      </w:r>
    </w:p>
    <w:p w:rsidR="00D225DF" w:rsidRDefault="00D225DF" w:rsidP="00D225DF">
      <w:pPr>
        <w:pStyle w:val="Prrafodelista"/>
        <w:numPr>
          <w:ilvl w:val="0"/>
          <w:numId w:val="1"/>
        </w:numPr>
        <w:ind w:left="0" w:firstLine="567"/>
        <w:jc w:val="both"/>
        <w:rPr>
          <w:rFonts w:ascii="Times New Roman" w:hAnsi="Times New Roman" w:cs="Times New Roman"/>
          <w:sz w:val="24"/>
        </w:rPr>
      </w:pPr>
      <w:r w:rsidRPr="004B0912">
        <w:rPr>
          <w:rFonts w:ascii="Times New Roman" w:hAnsi="Times New Roman" w:cs="Times New Roman"/>
          <w:sz w:val="24"/>
        </w:rPr>
        <w:t>Domínguez Virgen, J. C. (2011). Ventanas de oportunidad y coaliciones de política pública: el caso del proyecto para un nuevo aeropuerto en la ciudad de México desde una perspectiva histórica. Secuencia, (79), 63-88.</w:t>
      </w:r>
    </w:p>
    <w:p w:rsidR="00D225DF" w:rsidRDefault="00D225DF" w:rsidP="00D225DF">
      <w:pPr>
        <w:pStyle w:val="Prrafodelista"/>
        <w:numPr>
          <w:ilvl w:val="0"/>
          <w:numId w:val="1"/>
        </w:numPr>
        <w:ind w:left="0" w:firstLine="567"/>
        <w:jc w:val="both"/>
        <w:rPr>
          <w:rFonts w:ascii="Times New Roman" w:hAnsi="Times New Roman" w:cs="Times New Roman"/>
          <w:sz w:val="24"/>
        </w:rPr>
      </w:pPr>
      <w:r>
        <w:rPr>
          <w:rFonts w:ascii="Times New Roman" w:hAnsi="Times New Roman" w:cs="Times New Roman"/>
          <w:sz w:val="24"/>
        </w:rPr>
        <w:t>Franco, M. (2014)</w:t>
      </w:r>
      <w:r w:rsidRPr="007E69B2">
        <w:rPr>
          <w:rFonts w:ascii="Times New Roman" w:hAnsi="Times New Roman" w:cs="Times New Roman"/>
          <w:sz w:val="24"/>
        </w:rPr>
        <w:t xml:space="preserve">; La "teoría de los dos demonios", un símbolo de la </w:t>
      </w:r>
      <w:proofErr w:type="spellStart"/>
      <w:r w:rsidRPr="007E69B2">
        <w:rPr>
          <w:rFonts w:ascii="Times New Roman" w:hAnsi="Times New Roman" w:cs="Times New Roman"/>
          <w:sz w:val="24"/>
        </w:rPr>
        <w:t>posdictadura</w:t>
      </w:r>
      <w:proofErr w:type="spellEnd"/>
      <w:r w:rsidRPr="007E69B2">
        <w:rPr>
          <w:rFonts w:ascii="Times New Roman" w:hAnsi="Times New Roman" w:cs="Times New Roman"/>
          <w:sz w:val="24"/>
        </w:rPr>
        <w:t xml:space="preserve"> en la Argentina; North Carolina </w:t>
      </w:r>
      <w:proofErr w:type="spellStart"/>
      <w:r w:rsidRPr="007E69B2">
        <w:rPr>
          <w:rFonts w:ascii="Times New Roman" w:hAnsi="Times New Roman" w:cs="Times New Roman"/>
          <w:sz w:val="24"/>
        </w:rPr>
        <w:t>State</w:t>
      </w:r>
      <w:proofErr w:type="spellEnd"/>
      <w:r w:rsidRPr="007E69B2">
        <w:rPr>
          <w:rFonts w:ascii="Times New Roman" w:hAnsi="Times New Roman" w:cs="Times New Roman"/>
          <w:sz w:val="24"/>
        </w:rPr>
        <w:t xml:space="preserve"> </w:t>
      </w:r>
      <w:proofErr w:type="spellStart"/>
      <w:r w:rsidRPr="007E69B2">
        <w:rPr>
          <w:rFonts w:ascii="Times New Roman" w:hAnsi="Times New Roman" w:cs="Times New Roman"/>
          <w:sz w:val="24"/>
        </w:rPr>
        <w:t>University</w:t>
      </w:r>
      <w:proofErr w:type="spellEnd"/>
      <w:r w:rsidRPr="007E69B2">
        <w:rPr>
          <w:rFonts w:ascii="Times New Roman" w:hAnsi="Times New Roman" w:cs="Times New Roman"/>
          <w:sz w:val="24"/>
        </w:rPr>
        <w:t xml:space="preserve">. </w:t>
      </w:r>
      <w:proofErr w:type="spellStart"/>
      <w:r w:rsidRPr="007E69B2">
        <w:rPr>
          <w:rFonts w:ascii="Times New Roman" w:hAnsi="Times New Roman" w:cs="Times New Roman"/>
          <w:sz w:val="24"/>
        </w:rPr>
        <w:t>Department</w:t>
      </w:r>
      <w:proofErr w:type="spellEnd"/>
      <w:r w:rsidRPr="007E69B2">
        <w:rPr>
          <w:rFonts w:ascii="Times New Roman" w:hAnsi="Times New Roman" w:cs="Times New Roman"/>
          <w:sz w:val="24"/>
        </w:rPr>
        <w:t xml:space="preserve"> of </w:t>
      </w:r>
      <w:proofErr w:type="spellStart"/>
      <w:r w:rsidRPr="007E69B2">
        <w:rPr>
          <w:rFonts w:ascii="Times New Roman" w:hAnsi="Times New Roman" w:cs="Times New Roman"/>
          <w:sz w:val="24"/>
        </w:rPr>
        <w:t>Foreign</w:t>
      </w:r>
      <w:proofErr w:type="spellEnd"/>
      <w:r w:rsidRPr="007E69B2">
        <w:rPr>
          <w:rFonts w:ascii="Times New Roman" w:hAnsi="Times New Roman" w:cs="Times New Roman"/>
          <w:sz w:val="24"/>
        </w:rPr>
        <w:t xml:space="preserve"> </w:t>
      </w:r>
      <w:proofErr w:type="spellStart"/>
      <w:r w:rsidRPr="007E69B2">
        <w:rPr>
          <w:rFonts w:ascii="Times New Roman" w:hAnsi="Times New Roman" w:cs="Times New Roman"/>
          <w:sz w:val="24"/>
        </w:rPr>
        <w:t>Languages</w:t>
      </w:r>
      <w:proofErr w:type="spellEnd"/>
      <w:r w:rsidRPr="007E69B2">
        <w:rPr>
          <w:rFonts w:ascii="Times New Roman" w:hAnsi="Times New Roman" w:cs="Times New Roman"/>
          <w:sz w:val="24"/>
        </w:rPr>
        <w:t xml:space="preserve"> and </w:t>
      </w:r>
      <w:proofErr w:type="spellStart"/>
      <w:r w:rsidRPr="007E69B2">
        <w:rPr>
          <w:rFonts w:ascii="Times New Roman" w:hAnsi="Times New Roman" w:cs="Times New Roman"/>
          <w:sz w:val="24"/>
        </w:rPr>
        <w:t>Literatures</w:t>
      </w:r>
      <w:proofErr w:type="spellEnd"/>
      <w:r w:rsidRPr="007E69B2">
        <w:rPr>
          <w:rFonts w:ascii="Times New Roman" w:hAnsi="Times New Roman" w:cs="Times New Roman"/>
          <w:sz w:val="24"/>
        </w:rPr>
        <w:t>; A contracorriente; 11; 2; 1-2014; 22-52</w:t>
      </w:r>
    </w:p>
    <w:p w:rsidR="00D225DF" w:rsidRDefault="00D225DF" w:rsidP="00D225DF">
      <w:pPr>
        <w:pStyle w:val="Prrafodelista"/>
        <w:numPr>
          <w:ilvl w:val="0"/>
          <w:numId w:val="1"/>
        </w:numPr>
        <w:ind w:left="0" w:firstLine="567"/>
        <w:jc w:val="both"/>
        <w:rPr>
          <w:rFonts w:ascii="Times New Roman" w:hAnsi="Times New Roman" w:cs="Times New Roman"/>
          <w:sz w:val="24"/>
        </w:rPr>
      </w:pPr>
      <w:r w:rsidRPr="0061373A">
        <w:rPr>
          <w:rFonts w:ascii="Times New Roman" w:hAnsi="Times New Roman" w:cs="Times New Roman"/>
          <w:sz w:val="24"/>
        </w:rPr>
        <w:t xml:space="preserve">Franco, M. (2015). La “teoría de los dos demonios” en la primera etapa de la </w:t>
      </w:r>
      <w:proofErr w:type="spellStart"/>
      <w:r w:rsidRPr="0061373A">
        <w:rPr>
          <w:rFonts w:ascii="Times New Roman" w:hAnsi="Times New Roman" w:cs="Times New Roman"/>
          <w:sz w:val="24"/>
        </w:rPr>
        <w:t>posdictadura</w:t>
      </w:r>
      <w:proofErr w:type="spellEnd"/>
      <w:r w:rsidRPr="0061373A">
        <w:rPr>
          <w:rFonts w:ascii="Times New Roman" w:hAnsi="Times New Roman" w:cs="Times New Roman"/>
          <w:sz w:val="24"/>
        </w:rPr>
        <w:t>. </w:t>
      </w:r>
      <w:r w:rsidRPr="0061373A">
        <w:rPr>
          <w:rFonts w:ascii="Times New Roman" w:hAnsi="Times New Roman" w:cs="Times New Roman"/>
          <w:i/>
          <w:iCs/>
          <w:sz w:val="24"/>
        </w:rPr>
        <w:t xml:space="preserve">Democracia, hora cero. Actores, políticas y debates en los inicios de la </w:t>
      </w:r>
      <w:proofErr w:type="spellStart"/>
      <w:r w:rsidRPr="0061373A">
        <w:rPr>
          <w:rFonts w:ascii="Times New Roman" w:hAnsi="Times New Roman" w:cs="Times New Roman"/>
          <w:i/>
          <w:iCs/>
          <w:sz w:val="24"/>
        </w:rPr>
        <w:t>posdictadura</w:t>
      </w:r>
      <w:proofErr w:type="spellEnd"/>
      <w:r w:rsidRPr="0061373A">
        <w:rPr>
          <w:rFonts w:ascii="Times New Roman" w:hAnsi="Times New Roman" w:cs="Times New Roman"/>
          <w:sz w:val="24"/>
        </w:rPr>
        <w:t>, 23-80.</w:t>
      </w:r>
    </w:p>
    <w:p w:rsidR="00D225DF" w:rsidRPr="004B0912" w:rsidRDefault="00D225DF" w:rsidP="00D225DF">
      <w:pPr>
        <w:pStyle w:val="Prrafodelista"/>
        <w:numPr>
          <w:ilvl w:val="0"/>
          <w:numId w:val="1"/>
        </w:numPr>
        <w:ind w:left="0" w:firstLine="567"/>
        <w:jc w:val="both"/>
        <w:rPr>
          <w:rFonts w:ascii="Times New Roman" w:hAnsi="Times New Roman" w:cs="Times New Roman"/>
          <w:sz w:val="24"/>
        </w:rPr>
      </w:pPr>
      <w:r w:rsidRPr="004B0912">
        <w:rPr>
          <w:rFonts w:ascii="Times New Roman" w:hAnsi="Times New Roman" w:cs="Times New Roman"/>
          <w:sz w:val="24"/>
        </w:rPr>
        <w:t>Galante, D. (2015). Los debates parlamentarios de “Punto Final” y “Obediencia Debida”: el Juicio a las Juntas en el discurso político de la transición tardía/</w:t>
      </w:r>
      <w:proofErr w:type="spellStart"/>
      <w:r w:rsidRPr="004B0912">
        <w:rPr>
          <w:rFonts w:ascii="Times New Roman" w:hAnsi="Times New Roman" w:cs="Times New Roman"/>
          <w:sz w:val="24"/>
        </w:rPr>
        <w:t>Parliamentary</w:t>
      </w:r>
      <w:proofErr w:type="spellEnd"/>
      <w:r w:rsidRPr="004B0912">
        <w:rPr>
          <w:rFonts w:ascii="Times New Roman" w:hAnsi="Times New Roman" w:cs="Times New Roman"/>
          <w:sz w:val="24"/>
        </w:rPr>
        <w:t xml:space="preserve"> debates </w:t>
      </w:r>
      <w:proofErr w:type="spellStart"/>
      <w:r w:rsidRPr="004B0912">
        <w:rPr>
          <w:rFonts w:ascii="Times New Roman" w:hAnsi="Times New Roman" w:cs="Times New Roman"/>
          <w:sz w:val="24"/>
        </w:rPr>
        <w:t>on</w:t>
      </w:r>
      <w:proofErr w:type="spellEnd"/>
      <w:r w:rsidRPr="004B0912">
        <w:rPr>
          <w:rFonts w:ascii="Times New Roman" w:hAnsi="Times New Roman" w:cs="Times New Roman"/>
          <w:sz w:val="24"/>
        </w:rPr>
        <w:t xml:space="preserve"> “Punto Final</w:t>
      </w:r>
      <w:proofErr w:type="gramStart"/>
      <w:r w:rsidRPr="004B0912">
        <w:rPr>
          <w:rFonts w:ascii="Times New Roman" w:hAnsi="Times New Roman" w:cs="Times New Roman"/>
          <w:sz w:val="24"/>
        </w:rPr>
        <w:t>”(</w:t>
      </w:r>
      <w:proofErr w:type="gramEnd"/>
      <w:r w:rsidRPr="004B0912">
        <w:rPr>
          <w:rFonts w:ascii="Times New Roman" w:hAnsi="Times New Roman" w:cs="Times New Roman"/>
          <w:sz w:val="24"/>
        </w:rPr>
        <w:t>“Full Stop”) and “Obediencia Debida”(“</w:t>
      </w:r>
      <w:proofErr w:type="spellStart"/>
      <w:r w:rsidRPr="004B0912">
        <w:rPr>
          <w:rFonts w:ascii="Times New Roman" w:hAnsi="Times New Roman" w:cs="Times New Roman"/>
          <w:sz w:val="24"/>
        </w:rPr>
        <w:t>Due</w:t>
      </w:r>
      <w:proofErr w:type="spellEnd"/>
      <w:r w:rsidRPr="004B0912">
        <w:rPr>
          <w:rFonts w:ascii="Times New Roman" w:hAnsi="Times New Roman" w:cs="Times New Roman"/>
          <w:sz w:val="24"/>
        </w:rPr>
        <w:t xml:space="preserve"> </w:t>
      </w:r>
      <w:proofErr w:type="spellStart"/>
      <w:r w:rsidRPr="004B0912">
        <w:rPr>
          <w:rFonts w:ascii="Times New Roman" w:hAnsi="Times New Roman" w:cs="Times New Roman"/>
          <w:sz w:val="24"/>
        </w:rPr>
        <w:t>Obedience</w:t>
      </w:r>
      <w:proofErr w:type="spellEnd"/>
      <w:r w:rsidRPr="004B0912">
        <w:rPr>
          <w:rFonts w:ascii="Times New Roman" w:hAnsi="Times New Roman" w:cs="Times New Roman"/>
          <w:sz w:val="24"/>
        </w:rPr>
        <w:t xml:space="preserve">”) </w:t>
      </w:r>
      <w:proofErr w:type="spellStart"/>
      <w:r w:rsidRPr="004B0912">
        <w:rPr>
          <w:rFonts w:ascii="Times New Roman" w:hAnsi="Times New Roman" w:cs="Times New Roman"/>
          <w:sz w:val="24"/>
        </w:rPr>
        <w:t>laws</w:t>
      </w:r>
      <w:proofErr w:type="spellEnd"/>
      <w:r w:rsidRPr="004B0912">
        <w:rPr>
          <w:rFonts w:ascii="Times New Roman" w:hAnsi="Times New Roman" w:cs="Times New Roman"/>
          <w:sz w:val="24"/>
        </w:rPr>
        <w:t xml:space="preserve"> (...). Clepsidra. Revista Interdisciplinaria de Estudios sobre Memoria, 2(4), 12-33.</w:t>
      </w:r>
    </w:p>
    <w:p w:rsidR="00D225DF" w:rsidRPr="004B0912" w:rsidRDefault="00D225DF" w:rsidP="00D225DF">
      <w:pPr>
        <w:pStyle w:val="Prrafodelista"/>
        <w:numPr>
          <w:ilvl w:val="0"/>
          <w:numId w:val="1"/>
        </w:numPr>
        <w:ind w:left="0" w:firstLine="567"/>
        <w:jc w:val="both"/>
        <w:rPr>
          <w:rFonts w:ascii="Times New Roman" w:hAnsi="Times New Roman" w:cs="Times New Roman"/>
          <w:sz w:val="24"/>
        </w:rPr>
      </w:pPr>
      <w:r w:rsidRPr="004B0912">
        <w:rPr>
          <w:rFonts w:ascii="Times New Roman" w:hAnsi="Times New Roman" w:cs="Times New Roman"/>
          <w:sz w:val="24"/>
        </w:rPr>
        <w:t>Galante, D. (2017a). ‘La Constitución y la prudencia’: los tres niveles de responsabilidad para el juzgamiento de las violaciones a los derechos humanos en la transición argentina. </w:t>
      </w:r>
      <w:proofErr w:type="spellStart"/>
      <w:r w:rsidRPr="004B0912">
        <w:rPr>
          <w:rFonts w:ascii="Times New Roman" w:hAnsi="Times New Roman" w:cs="Times New Roman"/>
          <w:sz w:val="24"/>
        </w:rPr>
        <w:t>Sociohistórica</w:t>
      </w:r>
      <w:proofErr w:type="spellEnd"/>
      <w:r w:rsidRPr="004B0912">
        <w:rPr>
          <w:rFonts w:ascii="Times New Roman" w:hAnsi="Times New Roman" w:cs="Times New Roman"/>
          <w:sz w:val="24"/>
        </w:rPr>
        <w:t>.</w:t>
      </w:r>
    </w:p>
    <w:p w:rsidR="00D225DF" w:rsidRPr="004B0912" w:rsidRDefault="00D225DF" w:rsidP="00D225DF">
      <w:pPr>
        <w:pStyle w:val="Prrafodelista"/>
        <w:numPr>
          <w:ilvl w:val="0"/>
          <w:numId w:val="1"/>
        </w:numPr>
        <w:ind w:left="0" w:firstLine="567"/>
        <w:jc w:val="both"/>
        <w:rPr>
          <w:rFonts w:ascii="Times New Roman" w:hAnsi="Times New Roman" w:cs="Times New Roman"/>
          <w:sz w:val="24"/>
          <w:lang w:val="pt-BR"/>
        </w:rPr>
      </w:pPr>
      <w:r w:rsidRPr="004B0912">
        <w:rPr>
          <w:rFonts w:ascii="Times New Roman" w:hAnsi="Times New Roman" w:cs="Times New Roman"/>
          <w:sz w:val="24"/>
        </w:rPr>
        <w:lastRenderedPageBreak/>
        <w:t xml:space="preserve">Galante, D. (2017b). </w:t>
      </w:r>
      <w:proofErr w:type="gramStart"/>
      <w:r w:rsidRPr="004B0912">
        <w:rPr>
          <w:rFonts w:ascii="Times New Roman" w:hAnsi="Times New Roman" w:cs="Times New Roman"/>
          <w:sz w:val="24"/>
        </w:rPr>
        <w:t>¿ Ingeniería</w:t>
      </w:r>
      <w:proofErr w:type="gramEnd"/>
      <w:r w:rsidRPr="004B0912">
        <w:rPr>
          <w:rFonts w:ascii="Times New Roman" w:hAnsi="Times New Roman" w:cs="Times New Roman"/>
          <w:sz w:val="24"/>
        </w:rPr>
        <w:t xml:space="preserve"> política o una </w:t>
      </w:r>
      <w:proofErr w:type="spellStart"/>
      <w:r w:rsidRPr="004B0912">
        <w:rPr>
          <w:rFonts w:ascii="Times New Roman" w:hAnsi="Times New Roman" w:cs="Times New Roman"/>
          <w:sz w:val="24"/>
        </w:rPr>
        <w:t>piuma</w:t>
      </w:r>
      <w:proofErr w:type="spellEnd"/>
      <w:r w:rsidRPr="004B0912">
        <w:rPr>
          <w:rFonts w:ascii="Times New Roman" w:hAnsi="Times New Roman" w:cs="Times New Roman"/>
          <w:sz w:val="24"/>
        </w:rPr>
        <w:t xml:space="preserve"> al </w:t>
      </w:r>
      <w:proofErr w:type="spellStart"/>
      <w:r w:rsidRPr="004B0912">
        <w:rPr>
          <w:rFonts w:ascii="Times New Roman" w:hAnsi="Times New Roman" w:cs="Times New Roman"/>
          <w:sz w:val="24"/>
        </w:rPr>
        <w:t>vento</w:t>
      </w:r>
      <w:proofErr w:type="spellEnd"/>
      <w:r w:rsidRPr="004B0912">
        <w:rPr>
          <w:rFonts w:ascii="Times New Roman" w:hAnsi="Times New Roman" w:cs="Times New Roman"/>
          <w:sz w:val="24"/>
        </w:rPr>
        <w:t xml:space="preserve">? El proyecto de justicia transicional en Argentina, 1982-1987. Nuevo Mundo Mundos Nuevos. </w:t>
      </w:r>
      <w:r w:rsidRPr="004B0912">
        <w:rPr>
          <w:rFonts w:ascii="Times New Roman" w:hAnsi="Times New Roman" w:cs="Times New Roman"/>
          <w:sz w:val="24"/>
          <w:lang w:val="pt-BR"/>
        </w:rPr>
        <w:t xml:space="preserve">Nouveaux </w:t>
      </w:r>
      <w:proofErr w:type="gramStart"/>
      <w:r w:rsidRPr="004B0912">
        <w:rPr>
          <w:rFonts w:ascii="Times New Roman" w:hAnsi="Times New Roman" w:cs="Times New Roman"/>
          <w:sz w:val="24"/>
          <w:lang w:val="pt-BR"/>
        </w:rPr>
        <w:t xml:space="preserve">mondes </w:t>
      </w:r>
      <w:proofErr w:type="spellStart"/>
      <w:r w:rsidRPr="004B0912">
        <w:rPr>
          <w:rFonts w:ascii="Times New Roman" w:hAnsi="Times New Roman" w:cs="Times New Roman"/>
          <w:sz w:val="24"/>
          <w:lang w:val="pt-BR"/>
        </w:rPr>
        <w:t>mondes</w:t>
      </w:r>
      <w:proofErr w:type="spellEnd"/>
      <w:proofErr w:type="gramEnd"/>
      <w:r w:rsidRPr="004B0912">
        <w:rPr>
          <w:rFonts w:ascii="Times New Roman" w:hAnsi="Times New Roman" w:cs="Times New Roman"/>
          <w:sz w:val="24"/>
          <w:lang w:val="pt-BR"/>
        </w:rPr>
        <w:t xml:space="preserve"> nouveaux-Novo Mundo Mundos Novos-New world New worlds.</w:t>
      </w:r>
    </w:p>
    <w:p w:rsidR="00D225DF" w:rsidRDefault="00D225DF" w:rsidP="00D225DF">
      <w:pPr>
        <w:pStyle w:val="Prrafodelista"/>
        <w:numPr>
          <w:ilvl w:val="0"/>
          <w:numId w:val="1"/>
        </w:numPr>
        <w:ind w:left="0" w:firstLine="567"/>
        <w:jc w:val="both"/>
        <w:rPr>
          <w:rFonts w:ascii="Times New Roman" w:hAnsi="Times New Roman" w:cs="Times New Roman"/>
          <w:sz w:val="24"/>
        </w:rPr>
      </w:pPr>
      <w:r w:rsidRPr="004B0912">
        <w:rPr>
          <w:rFonts w:ascii="Times New Roman" w:hAnsi="Times New Roman" w:cs="Times New Roman"/>
          <w:sz w:val="24"/>
        </w:rPr>
        <w:t>Lozano Fique, J. V. (2013). Análisis de la configuración del movimiento Madres de Plaza de Mayo en relación con el proceso de democratización política en Argentina (1983-1995</w:t>
      </w:r>
      <w:proofErr w:type="gramStart"/>
      <w:r w:rsidRPr="004B0912">
        <w:rPr>
          <w:rFonts w:ascii="Times New Roman" w:hAnsi="Times New Roman" w:cs="Times New Roman"/>
          <w:sz w:val="24"/>
        </w:rPr>
        <w:t>)(</w:t>
      </w:r>
      <w:proofErr w:type="gramEnd"/>
      <w:r w:rsidRPr="004B0912">
        <w:rPr>
          <w:rFonts w:ascii="Times New Roman" w:hAnsi="Times New Roman" w:cs="Times New Roman"/>
          <w:sz w:val="24"/>
        </w:rPr>
        <w:t xml:space="preserve">Doctoral </w:t>
      </w:r>
      <w:proofErr w:type="spellStart"/>
      <w:r w:rsidRPr="004B0912">
        <w:rPr>
          <w:rFonts w:ascii="Times New Roman" w:hAnsi="Times New Roman" w:cs="Times New Roman"/>
          <w:sz w:val="24"/>
        </w:rPr>
        <w:t>dissertation</w:t>
      </w:r>
      <w:proofErr w:type="spellEnd"/>
      <w:r w:rsidRPr="004B0912">
        <w:rPr>
          <w:rFonts w:ascii="Times New Roman" w:hAnsi="Times New Roman" w:cs="Times New Roman"/>
          <w:sz w:val="24"/>
        </w:rPr>
        <w:t>, Universidad del Rosario).</w:t>
      </w:r>
    </w:p>
    <w:p w:rsidR="00D225DF" w:rsidRDefault="00D225DF" w:rsidP="00D225DF">
      <w:pPr>
        <w:pStyle w:val="Prrafodelista"/>
        <w:numPr>
          <w:ilvl w:val="0"/>
          <w:numId w:val="1"/>
        </w:numPr>
        <w:jc w:val="both"/>
        <w:rPr>
          <w:rFonts w:ascii="Times New Roman" w:hAnsi="Times New Roman" w:cs="Times New Roman"/>
          <w:sz w:val="24"/>
        </w:rPr>
      </w:pPr>
      <w:proofErr w:type="spellStart"/>
      <w:r w:rsidRPr="00140C5D">
        <w:rPr>
          <w:rFonts w:ascii="Times New Roman" w:hAnsi="Times New Roman" w:cs="Times New Roman"/>
          <w:sz w:val="24"/>
        </w:rPr>
        <w:t>Mazzei</w:t>
      </w:r>
      <w:proofErr w:type="spellEnd"/>
      <w:r w:rsidRPr="00140C5D">
        <w:rPr>
          <w:rFonts w:ascii="Times New Roman" w:hAnsi="Times New Roman" w:cs="Times New Roman"/>
          <w:sz w:val="24"/>
        </w:rPr>
        <w:t xml:space="preserve">, D. (2011). Reflexiones sobre la transición democrática argentina. Pol </w:t>
      </w:r>
      <w:proofErr w:type="spellStart"/>
      <w:r w:rsidRPr="00140C5D">
        <w:rPr>
          <w:rFonts w:ascii="Times New Roman" w:hAnsi="Times New Roman" w:cs="Times New Roman"/>
          <w:sz w:val="24"/>
        </w:rPr>
        <w:t>His</w:t>
      </w:r>
      <w:proofErr w:type="spellEnd"/>
      <w:r w:rsidRPr="00140C5D">
        <w:rPr>
          <w:rFonts w:ascii="Times New Roman" w:hAnsi="Times New Roman" w:cs="Times New Roman"/>
          <w:sz w:val="24"/>
        </w:rPr>
        <w:t>, 4(7), 8-15.</w:t>
      </w:r>
    </w:p>
    <w:p w:rsidR="00D225DF" w:rsidRPr="00140C5D" w:rsidRDefault="00D225DF" w:rsidP="00D225DF">
      <w:pPr>
        <w:pStyle w:val="Prrafodelista"/>
        <w:numPr>
          <w:ilvl w:val="0"/>
          <w:numId w:val="1"/>
        </w:numPr>
        <w:ind w:left="0" w:firstLine="567"/>
        <w:jc w:val="both"/>
        <w:rPr>
          <w:rFonts w:ascii="Times New Roman" w:hAnsi="Times New Roman" w:cs="Times New Roman"/>
          <w:sz w:val="24"/>
        </w:rPr>
      </w:pPr>
      <w:r w:rsidRPr="00140C5D">
        <w:rPr>
          <w:rFonts w:ascii="Times New Roman" w:hAnsi="Times New Roman" w:cs="Times New Roman"/>
          <w:sz w:val="24"/>
        </w:rPr>
        <w:t xml:space="preserve">Padioleau, J. G., (1989). El Estado en concreto. México, Fondo de Cultura Económica, trad. José Barrales Valladares. </w:t>
      </w:r>
    </w:p>
    <w:p w:rsidR="00D225DF" w:rsidRPr="004B0912" w:rsidRDefault="00D225DF" w:rsidP="00D225DF">
      <w:pPr>
        <w:pStyle w:val="Prrafodelista"/>
        <w:numPr>
          <w:ilvl w:val="0"/>
          <w:numId w:val="1"/>
        </w:numPr>
        <w:spacing w:after="0" w:line="276" w:lineRule="auto"/>
        <w:ind w:left="0" w:firstLine="567"/>
        <w:jc w:val="both"/>
        <w:rPr>
          <w:rFonts w:ascii="Times New Roman" w:hAnsi="Times New Roman" w:cs="Times New Roman"/>
          <w:sz w:val="24"/>
        </w:rPr>
      </w:pPr>
      <w:r w:rsidRPr="004B0912">
        <w:rPr>
          <w:rFonts w:ascii="Times New Roman" w:hAnsi="Times New Roman" w:cs="Times New Roman"/>
          <w:sz w:val="24"/>
        </w:rPr>
        <w:t>Parsons, W., (2007). Meso-análisis. Análisis de la definición del problema, el establecimiento de la agenda y la formulación de las políticas públicas. En: Políticas públicas: una introducción a la teoría y a la práctica del análisis de políticas públicas. Buenos Aires, FLACSO Miño y Dávila, pp. 117-156.</w:t>
      </w:r>
    </w:p>
    <w:p w:rsidR="00D225DF" w:rsidRPr="004B0912" w:rsidRDefault="00D225DF" w:rsidP="00D225DF">
      <w:pPr>
        <w:pStyle w:val="Prrafodelista"/>
        <w:numPr>
          <w:ilvl w:val="0"/>
          <w:numId w:val="1"/>
        </w:numPr>
        <w:ind w:left="0" w:firstLine="567"/>
        <w:jc w:val="both"/>
        <w:rPr>
          <w:rFonts w:ascii="Times New Roman" w:hAnsi="Times New Roman" w:cs="Times New Roman"/>
          <w:sz w:val="24"/>
        </w:rPr>
      </w:pPr>
      <w:r>
        <w:rPr>
          <w:rFonts w:ascii="Times New Roman" w:hAnsi="Times New Roman" w:cs="Times New Roman"/>
          <w:sz w:val="24"/>
        </w:rPr>
        <w:t>Pereyra, S. (2005). ¿</w:t>
      </w:r>
      <w:r w:rsidRPr="004B0912">
        <w:rPr>
          <w:rFonts w:ascii="Times New Roman" w:hAnsi="Times New Roman" w:cs="Times New Roman"/>
          <w:sz w:val="24"/>
        </w:rPr>
        <w:t>Cuál es el legado del movimiento de derechos humanos? El problema de la impunidad y los reclamos de justicia en los noventa. Tomar la palabra. Estudios sobre protesta social y acción colectiva en la Argentina contemporánea. Buenos Aires: Prometeo.</w:t>
      </w:r>
    </w:p>
    <w:p w:rsidR="00D225DF" w:rsidRPr="004B0912" w:rsidRDefault="00D225DF" w:rsidP="00D225DF">
      <w:pPr>
        <w:pStyle w:val="Prrafodelista"/>
        <w:numPr>
          <w:ilvl w:val="0"/>
          <w:numId w:val="1"/>
        </w:numPr>
        <w:ind w:left="0" w:firstLine="567"/>
        <w:jc w:val="both"/>
        <w:rPr>
          <w:rFonts w:ascii="Times New Roman" w:hAnsi="Times New Roman" w:cs="Times New Roman"/>
          <w:sz w:val="24"/>
        </w:rPr>
      </w:pPr>
      <w:r w:rsidRPr="004B0912">
        <w:rPr>
          <w:rFonts w:ascii="Times New Roman" w:hAnsi="Times New Roman" w:cs="Times New Roman"/>
          <w:sz w:val="24"/>
        </w:rPr>
        <w:t xml:space="preserve">Ramírez </w:t>
      </w:r>
      <w:proofErr w:type="spellStart"/>
      <w:r w:rsidRPr="004B0912">
        <w:rPr>
          <w:rFonts w:ascii="Times New Roman" w:hAnsi="Times New Roman" w:cs="Times New Roman"/>
          <w:sz w:val="24"/>
        </w:rPr>
        <w:t>Brouchoud</w:t>
      </w:r>
      <w:proofErr w:type="spellEnd"/>
      <w:r w:rsidRPr="004B0912">
        <w:rPr>
          <w:rFonts w:ascii="Times New Roman" w:hAnsi="Times New Roman" w:cs="Times New Roman"/>
          <w:sz w:val="24"/>
        </w:rPr>
        <w:t>, M. F. (2015). El diseño de la agenda política y la construcción de alternativas de solución en la política de inmigración española.</w:t>
      </w:r>
    </w:p>
    <w:p w:rsidR="00D225DF" w:rsidRDefault="00D225DF" w:rsidP="00D225DF">
      <w:pPr>
        <w:pStyle w:val="Prrafodelista"/>
        <w:numPr>
          <w:ilvl w:val="0"/>
          <w:numId w:val="1"/>
        </w:numPr>
        <w:ind w:left="0" w:firstLine="567"/>
        <w:jc w:val="both"/>
        <w:rPr>
          <w:rFonts w:ascii="Times New Roman" w:hAnsi="Times New Roman" w:cs="Times New Roman"/>
          <w:sz w:val="24"/>
        </w:rPr>
      </w:pPr>
      <w:proofErr w:type="spellStart"/>
      <w:r w:rsidRPr="004B0912">
        <w:rPr>
          <w:rFonts w:ascii="Times New Roman" w:hAnsi="Times New Roman" w:cs="Times New Roman"/>
          <w:sz w:val="24"/>
        </w:rPr>
        <w:t>Romanin</w:t>
      </w:r>
      <w:proofErr w:type="spellEnd"/>
      <w:r w:rsidRPr="004B0912">
        <w:rPr>
          <w:rFonts w:ascii="Times New Roman" w:hAnsi="Times New Roman" w:cs="Times New Roman"/>
          <w:sz w:val="24"/>
        </w:rPr>
        <w:t>, E. S. A. (2015). Actores, Estado y políticas públicas reparatorias en relación al terrorismo de Estado en Argentina (2003-2007). Sudamérica: Revista de Ciencias Sociales, 1(4), 136-155.</w:t>
      </w:r>
    </w:p>
    <w:p w:rsidR="00D225DF" w:rsidRPr="004B0912" w:rsidRDefault="00D225DF" w:rsidP="00D225DF">
      <w:pPr>
        <w:pStyle w:val="Prrafodelista"/>
        <w:numPr>
          <w:ilvl w:val="0"/>
          <w:numId w:val="1"/>
        </w:numPr>
        <w:ind w:left="0" w:firstLine="567"/>
        <w:jc w:val="both"/>
        <w:rPr>
          <w:rFonts w:ascii="Times New Roman" w:hAnsi="Times New Roman" w:cs="Times New Roman"/>
          <w:sz w:val="24"/>
        </w:rPr>
      </w:pPr>
      <w:proofErr w:type="spellStart"/>
      <w:r w:rsidRPr="00D70F51">
        <w:rPr>
          <w:rFonts w:ascii="Times New Roman" w:hAnsi="Times New Roman" w:cs="Times New Roman"/>
          <w:sz w:val="24"/>
        </w:rPr>
        <w:t>Salvi</w:t>
      </w:r>
      <w:proofErr w:type="spellEnd"/>
      <w:r w:rsidRPr="00D70F51">
        <w:rPr>
          <w:rFonts w:ascii="Times New Roman" w:hAnsi="Times New Roman" w:cs="Times New Roman"/>
          <w:sz w:val="24"/>
        </w:rPr>
        <w:t>, V</w:t>
      </w:r>
      <w:r>
        <w:rPr>
          <w:rFonts w:ascii="Times New Roman" w:hAnsi="Times New Roman" w:cs="Times New Roman"/>
          <w:sz w:val="24"/>
        </w:rPr>
        <w:t>.</w:t>
      </w:r>
      <w:r w:rsidRPr="00D70F51">
        <w:rPr>
          <w:rFonts w:ascii="Times New Roman" w:hAnsi="Times New Roman" w:cs="Times New Roman"/>
          <w:sz w:val="24"/>
        </w:rPr>
        <w:t>, (2009). “De vencedores a víctimas: 25 años de memoria castrense”. En Temas y Debates, 13, 17, 93-116</w:t>
      </w:r>
      <w:r>
        <w:rPr>
          <w:rFonts w:ascii="Times New Roman" w:hAnsi="Times New Roman" w:cs="Times New Roman"/>
          <w:sz w:val="24"/>
        </w:rPr>
        <w:t>.</w:t>
      </w:r>
    </w:p>
    <w:p w:rsidR="00D225DF" w:rsidRPr="004B0912" w:rsidRDefault="00D225DF" w:rsidP="00D225DF">
      <w:pPr>
        <w:pStyle w:val="Prrafodelista"/>
        <w:numPr>
          <w:ilvl w:val="0"/>
          <w:numId w:val="1"/>
        </w:numPr>
        <w:ind w:left="0" w:firstLine="567"/>
        <w:jc w:val="both"/>
        <w:rPr>
          <w:rFonts w:ascii="Times New Roman" w:hAnsi="Times New Roman" w:cs="Times New Roman"/>
          <w:sz w:val="24"/>
        </w:rPr>
      </w:pPr>
      <w:r w:rsidRPr="004B0912">
        <w:rPr>
          <w:rFonts w:ascii="Times New Roman" w:hAnsi="Times New Roman" w:cs="Times New Roman"/>
          <w:sz w:val="24"/>
        </w:rPr>
        <w:t xml:space="preserve">Surel, Y. (2006). Relaciones entre la política y las políticas públicas. México: </w:t>
      </w:r>
      <w:proofErr w:type="spellStart"/>
      <w:r w:rsidRPr="004B0912">
        <w:rPr>
          <w:rFonts w:ascii="Times New Roman" w:hAnsi="Times New Roman" w:cs="Times New Roman"/>
          <w:sz w:val="24"/>
        </w:rPr>
        <w:t>Flacso</w:t>
      </w:r>
      <w:proofErr w:type="spellEnd"/>
      <w:r w:rsidRPr="004B0912">
        <w:rPr>
          <w:rFonts w:ascii="Times New Roman" w:hAnsi="Times New Roman" w:cs="Times New Roman"/>
          <w:sz w:val="24"/>
        </w:rPr>
        <w:t xml:space="preserve">. </w:t>
      </w:r>
      <w:proofErr w:type="spellStart"/>
      <w:r w:rsidRPr="004B0912">
        <w:rPr>
          <w:rFonts w:ascii="Times New Roman" w:hAnsi="Times New Roman" w:cs="Times New Roman"/>
          <w:sz w:val="24"/>
        </w:rPr>
        <w:t>Coords</w:t>
      </w:r>
      <w:proofErr w:type="spellEnd"/>
      <w:r w:rsidRPr="004B0912">
        <w:rPr>
          <w:rFonts w:ascii="Times New Roman" w:hAnsi="Times New Roman" w:cs="Times New Roman"/>
          <w:sz w:val="24"/>
        </w:rPr>
        <w:t xml:space="preserve">. Rolando Franco, Jorge </w:t>
      </w:r>
      <w:proofErr w:type="spellStart"/>
      <w:r w:rsidRPr="004B0912">
        <w:rPr>
          <w:rFonts w:ascii="Times New Roman" w:hAnsi="Times New Roman" w:cs="Times New Roman"/>
          <w:sz w:val="24"/>
        </w:rPr>
        <w:t>Lanzaro</w:t>
      </w:r>
      <w:proofErr w:type="spellEnd"/>
      <w:r w:rsidRPr="004B0912">
        <w:rPr>
          <w:rFonts w:ascii="Times New Roman" w:hAnsi="Times New Roman" w:cs="Times New Roman"/>
          <w:sz w:val="24"/>
        </w:rPr>
        <w:t>, 43-73.</w:t>
      </w:r>
    </w:p>
    <w:p w:rsidR="00D225DF" w:rsidRDefault="00D225DF" w:rsidP="00D225DF">
      <w:pPr>
        <w:pStyle w:val="Prrafodelista"/>
        <w:numPr>
          <w:ilvl w:val="0"/>
          <w:numId w:val="1"/>
        </w:numPr>
        <w:ind w:left="0" w:firstLine="567"/>
        <w:jc w:val="both"/>
        <w:rPr>
          <w:rFonts w:ascii="Times New Roman" w:hAnsi="Times New Roman" w:cs="Times New Roman"/>
          <w:sz w:val="24"/>
        </w:rPr>
      </w:pPr>
      <w:r>
        <w:rPr>
          <w:rFonts w:ascii="Times New Roman" w:hAnsi="Times New Roman" w:cs="Times New Roman"/>
          <w:sz w:val="24"/>
        </w:rPr>
        <w:t>Zahariadis, N</w:t>
      </w:r>
      <w:r w:rsidRPr="004B0912">
        <w:rPr>
          <w:rFonts w:ascii="Times New Roman" w:hAnsi="Times New Roman" w:cs="Times New Roman"/>
          <w:sz w:val="24"/>
        </w:rPr>
        <w:t>. (2010). El marco de las corrientes múltiples. PA Sabatier, Teorías del proceso de las políticas públicas, 69-94.</w:t>
      </w:r>
    </w:p>
    <w:p w:rsidR="00D225DF" w:rsidRDefault="00D225DF" w:rsidP="00D225DF">
      <w:pPr>
        <w:jc w:val="both"/>
        <w:rPr>
          <w:rFonts w:ascii="Times New Roman" w:hAnsi="Times New Roman" w:cs="Times New Roman"/>
          <w:sz w:val="24"/>
        </w:rPr>
      </w:pPr>
    </w:p>
    <w:p w:rsidR="00D225DF" w:rsidRPr="00083A50" w:rsidRDefault="00D225DF" w:rsidP="00D225DF">
      <w:pPr>
        <w:jc w:val="both"/>
        <w:rPr>
          <w:rFonts w:ascii="Times New Roman" w:hAnsi="Times New Roman" w:cs="Times New Roman"/>
          <w:b/>
          <w:sz w:val="24"/>
        </w:rPr>
      </w:pPr>
      <w:r>
        <w:rPr>
          <w:rFonts w:ascii="Times New Roman" w:hAnsi="Times New Roman" w:cs="Times New Roman"/>
          <w:b/>
          <w:sz w:val="24"/>
        </w:rPr>
        <w:t>Fuentes</w:t>
      </w:r>
    </w:p>
    <w:p w:rsidR="00D225DF" w:rsidRDefault="00D225DF" w:rsidP="00D225DF">
      <w:pPr>
        <w:pStyle w:val="Prrafodelista"/>
        <w:numPr>
          <w:ilvl w:val="0"/>
          <w:numId w:val="1"/>
        </w:numPr>
        <w:jc w:val="both"/>
        <w:rPr>
          <w:rFonts w:ascii="Times New Roman" w:hAnsi="Times New Roman" w:cs="Times New Roman"/>
          <w:sz w:val="24"/>
        </w:rPr>
      </w:pPr>
      <w:r w:rsidRPr="00083A50">
        <w:rPr>
          <w:rFonts w:ascii="Times New Roman" w:hAnsi="Times New Roman" w:cs="Times New Roman"/>
          <w:sz w:val="24"/>
        </w:rPr>
        <w:t xml:space="preserve">Ley 23.521. Publicada en el Boletín Oficial el 9/6/1987. Disponible en: </w:t>
      </w:r>
      <w:hyperlink r:id="rId9" w:history="1">
        <w:r w:rsidRPr="00083A50">
          <w:rPr>
            <w:rFonts w:ascii="Times New Roman" w:hAnsi="Times New Roman" w:cs="Times New Roman"/>
            <w:sz w:val="24"/>
          </w:rPr>
          <w:t>http://servicios.infoleg.gob.ar/infolegInternet/anexos/20000-24999/21746/norma.htm</w:t>
        </w:r>
      </w:hyperlink>
      <w:r w:rsidRPr="00083A50">
        <w:rPr>
          <w:rFonts w:ascii="Times New Roman" w:hAnsi="Times New Roman" w:cs="Times New Roman"/>
          <w:sz w:val="24"/>
        </w:rPr>
        <w:t>. Visto: 26/</w:t>
      </w:r>
      <w:r>
        <w:rPr>
          <w:rFonts w:ascii="Times New Roman" w:hAnsi="Times New Roman" w:cs="Times New Roman"/>
          <w:sz w:val="24"/>
        </w:rPr>
        <w:t>0</w:t>
      </w:r>
      <w:r w:rsidRPr="00083A50">
        <w:rPr>
          <w:rFonts w:ascii="Times New Roman" w:hAnsi="Times New Roman" w:cs="Times New Roman"/>
          <w:sz w:val="24"/>
        </w:rPr>
        <w:t>5/2019</w:t>
      </w:r>
    </w:p>
    <w:p w:rsidR="00D225DF" w:rsidRPr="00083A50" w:rsidRDefault="00D225DF" w:rsidP="00D225DF">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Ley 23.492. Publicada en el Boletín Oficial el 24/12/1986. Disponible en: </w:t>
      </w:r>
      <w:hyperlink r:id="rId10" w:history="1">
        <w:r w:rsidRPr="00640116">
          <w:rPr>
            <w:rFonts w:ascii="Times New Roman" w:hAnsi="Times New Roman" w:cs="Times New Roman"/>
            <w:sz w:val="24"/>
          </w:rPr>
          <w:t>http://servicios.infoleg.gob.ar/infolegInternet/anexos/20000-24999/21864/norma.htm</w:t>
        </w:r>
      </w:hyperlink>
      <w:r>
        <w:rPr>
          <w:rFonts w:ascii="Times New Roman" w:hAnsi="Times New Roman" w:cs="Times New Roman"/>
          <w:sz w:val="24"/>
        </w:rPr>
        <w:t>. Visto: 8/06/2019</w:t>
      </w:r>
    </w:p>
    <w:p w:rsidR="00D225DF" w:rsidRPr="004B0912" w:rsidRDefault="00D225DF" w:rsidP="00D225DF">
      <w:pPr>
        <w:ind w:firstLine="567"/>
        <w:jc w:val="both"/>
        <w:rPr>
          <w:rFonts w:ascii="Times New Roman" w:hAnsi="Times New Roman" w:cs="Times New Roman"/>
          <w:sz w:val="24"/>
        </w:rPr>
      </w:pPr>
    </w:p>
    <w:p w:rsidR="00D225DF" w:rsidRDefault="00D225DF" w:rsidP="00D225DF">
      <w:pPr>
        <w:jc w:val="both"/>
      </w:pPr>
    </w:p>
    <w:p w:rsidR="0009059B" w:rsidRDefault="0009059B">
      <w:bookmarkStart w:id="0" w:name="_GoBack"/>
      <w:bookmarkEnd w:id="0"/>
    </w:p>
    <w:sectPr w:rsidR="0009059B" w:rsidSect="00083A50">
      <w:headerReference w:type="default" r:id="rId11"/>
      <w:footerReference w:type="defaul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52" w:rsidRDefault="00DA2352" w:rsidP="00D225DF">
      <w:pPr>
        <w:spacing w:after="0" w:line="240" w:lineRule="auto"/>
      </w:pPr>
      <w:r>
        <w:separator/>
      </w:r>
    </w:p>
  </w:endnote>
  <w:endnote w:type="continuationSeparator" w:id="0">
    <w:p w:rsidR="00DA2352" w:rsidRDefault="00DA2352" w:rsidP="00D2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083936"/>
      <w:docPartObj>
        <w:docPartGallery w:val="Page Numbers (Bottom of Page)"/>
        <w:docPartUnique/>
      </w:docPartObj>
    </w:sdtPr>
    <w:sdtEndPr>
      <w:rPr>
        <w:color w:val="808080" w:themeColor="background1" w:themeShade="80"/>
        <w:spacing w:val="60"/>
      </w:rPr>
    </w:sdtEndPr>
    <w:sdtContent>
      <w:p w:rsidR="00A60F89" w:rsidRDefault="00DA2352">
        <w:pPr>
          <w:pStyle w:val="Piedepgina"/>
          <w:pBdr>
            <w:top w:val="single" w:sz="4" w:space="1" w:color="D9D9D9" w:themeColor="background1" w:themeShade="D9"/>
          </w:pBdr>
          <w:jc w:val="right"/>
        </w:pPr>
        <w:r>
          <w:fldChar w:fldCharType="begin"/>
        </w:r>
        <w:r>
          <w:instrText>PAGE   \* MERGEFORMAT</w:instrText>
        </w:r>
        <w:r>
          <w:fldChar w:fldCharType="separate"/>
        </w:r>
        <w:r w:rsidR="009431E5">
          <w:rPr>
            <w:noProof/>
          </w:rPr>
          <w:t>16</w:t>
        </w:r>
        <w:r>
          <w:fldChar w:fldCharType="end"/>
        </w:r>
        <w:r>
          <w:t xml:space="preserve"> | </w:t>
        </w:r>
        <w:r>
          <w:rPr>
            <w:color w:val="808080" w:themeColor="background1" w:themeShade="80"/>
            <w:spacing w:val="60"/>
          </w:rPr>
          <w:t>Página</w:t>
        </w:r>
      </w:p>
    </w:sdtContent>
  </w:sdt>
  <w:p w:rsidR="00A60F89" w:rsidRDefault="00DA23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52" w:rsidRDefault="00DA2352" w:rsidP="00D225DF">
      <w:pPr>
        <w:spacing w:after="0" w:line="240" w:lineRule="auto"/>
      </w:pPr>
      <w:r>
        <w:separator/>
      </w:r>
    </w:p>
  </w:footnote>
  <w:footnote w:type="continuationSeparator" w:id="0">
    <w:p w:rsidR="00DA2352" w:rsidRDefault="00DA2352" w:rsidP="00D225DF">
      <w:pPr>
        <w:spacing w:after="0" w:line="240" w:lineRule="auto"/>
      </w:pPr>
      <w:r>
        <w:continuationSeparator/>
      </w:r>
    </w:p>
  </w:footnote>
  <w:footnote w:id="1">
    <w:p w:rsidR="00D225DF" w:rsidRPr="00E50E0F" w:rsidRDefault="00D225DF" w:rsidP="00D225DF">
      <w:pPr>
        <w:spacing w:line="240" w:lineRule="auto"/>
        <w:jc w:val="both"/>
        <w:rPr>
          <w:sz w:val="20"/>
        </w:rPr>
      </w:pPr>
      <w:r>
        <w:rPr>
          <w:rStyle w:val="Refdenotaalpie"/>
        </w:rPr>
        <w:footnoteRef/>
      </w:r>
      <w:r>
        <w:t xml:space="preserve"> </w:t>
      </w:r>
      <w:r w:rsidRPr="00E50E0F">
        <w:rPr>
          <w:rFonts w:ascii="Times New Roman" w:hAnsi="Times New Roman" w:cs="Times New Roman"/>
          <w:sz w:val="20"/>
        </w:rPr>
        <w:t>El autodenominado “Proceso de Reorganización Nacional”, instaurado por el golpe militar del 24 de Marzo de 1976,  estableció el ejercicio del poder político por parte de la corporación militar en su conjunto (esto es, por los comandantes en jefe de las tres armas). La Junta Militar tomó una serie de medidas, entre las que pueden destacarse la disolución del Congreso de la Nación, la modificación de la Corte Suprema y el otorgamiento de facultades legislativas al poder ejecutivo,  destinadas a eliminar la división de poderes y la posibilidad de recurrir a la justicia. Asimismo, los derechos civiles fueron restringidos mediante la suspensión de la actividad política de los partidos</w:t>
      </w:r>
      <w:r>
        <w:rPr>
          <w:rFonts w:ascii="Times New Roman" w:hAnsi="Times New Roman" w:cs="Times New Roman"/>
          <w:sz w:val="20"/>
        </w:rPr>
        <w:t xml:space="preserve"> y de</w:t>
      </w:r>
      <w:r w:rsidRPr="00E50E0F">
        <w:rPr>
          <w:rFonts w:ascii="Times New Roman" w:hAnsi="Times New Roman" w:cs="Times New Roman"/>
          <w:sz w:val="20"/>
        </w:rPr>
        <w:t xml:space="preserve"> la actividad gremial, la intervención a sindicatos y la restricción a la libertad de prensa. En materia económica, la Junta se propuso una “normalización” de la economía, que implicó</w:t>
      </w:r>
      <w:r>
        <w:rPr>
          <w:rFonts w:ascii="Times New Roman" w:hAnsi="Times New Roman" w:cs="Times New Roman"/>
          <w:sz w:val="20"/>
        </w:rPr>
        <w:t>, entre otras medidas,</w:t>
      </w:r>
      <w:r w:rsidRPr="00E50E0F">
        <w:rPr>
          <w:rFonts w:ascii="Times New Roman" w:hAnsi="Times New Roman" w:cs="Times New Roman"/>
          <w:sz w:val="20"/>
        </w:rPr>
        <w:t xml:space="preserve"> una redistribución negativa del ingreso y el aumento del desempleo estructural. Finalmente, la “restauración del orden social” implicó el despliegue de una estrategia clandestina de represión, inspirada en la “Doctrina de Seguridad Nacional”, tendiente a neutralizar y exterminar físicamente a los opositores (Acuña y </w:t>
      </w:r>
      <w:proofErr w:type="spellStart"/>
      <w:r w:rsidRPr="00E50E0F">
        <w:rPr>
          <w:rFonts w:ascii="Times New Roman" w:hAnsi="Times New Roman" w:cs="Times New Roman"/>
          <w:sz w:val="20"/>
        </w:rPr>
        <w:t>Smulovitz</w:t>
      </w:r>
      <w:proofErr w:type="spellEnd"/>
      <w:r w:rsidRPr="00E50E0F">
        <w:rPr>
          <w:rFonts w:ascii="Times New Roman" w:hAnsi="Times New Roman" w:cs="Times New Roman"/>
          <w:sz w:val="20"/>
        </w:rPr>
        <w:t>, 1993; Canelo, 2008).</w:t>
      </w:r>
    </w:p>
    <w:p w:rsidR="00D225DF" w:rsidRDefault="00D225DF" w:rsidP="00D225DF"/>
    <w:p w:rsidR="00D225DF" w:rsidRPr="004770C7" w:rsidRDefault="00D225DF" w:rsidP="00D225DF">
      <w:pPr>
        <w:pStyle w:val="Textonotapie"/>
        <w:rPr>
          <w:color w:val="FF0000"/>
        </w:rPr>
      </w:pPr>
    </w:p>
  </w:footnote>
  <w:footnote w:id="2">
    <w:p w:rsidR="00D225DF" w:rsidRPr="004B3006" w:rsidRDefault="00D225DF" w:rsidP="00D225DF">
      <w:pPr>
        <w:spacing w:line="240" w:lineRule="auto"/>
        <w:jc w:val="both"/>
        <w:rPr>
          <w:rFonts w:ascii="Times New Roman" w:hAnsi="Times New Roman" w:cs="Times New Roman"/>
          <w:sz w:val="20"/>
        </w:rPr>
      </w:pPr>
      <w:r w:rsidRPr="004B3006">
        <w:rPr>
          <w:rStyle w:val="Refdenotaalpie"/>
          <w:sz w:val="20"/>
        </w:rPr>
        <w:footnoteRef/>
      </w:r>
      <w:r w:rsidRPr="004B3006">
        <w:rPr>
          <w:sz w:val="20"/>
        </w:rPr>
        <w:t xml:space="preserve"> </w:t>
      </w:r>
      <w:r w:rsidRPr="004B3006">
        <w:rPr>
          <w:rFonts w:ascii="Times New Roman" w:hAnsi="Times New Roman" w:cs="Times New Roman"/>
          <w:sz w:val="20"/>
        </w:rPr>
        <w:t xml:space="preserve">La teoría de los dos demonios, desde la </w:t>
      </w:r>
      <w:proofErr w:type="spellStart"/>
      <w:r w:rsidRPr="004B3006">
        <w:rPr>
          <w:rFonts w:ascii="Times New Roman" w:hAnsi="Times New Roman" w:cs="Times New Roman"/>
          <w:sz w:val="20"/>
        </w:rPr>
        <w:t>posdictadura</w:t>
      </w:r>
      <w:proofErr w:type="spellEnd"/>
      <w:r w:rsidRPr="004B3006">
        <w:rPr>
          <w:rFonts w:ascii="Times New Roman" w:hAnsi="Times New Roman" w:cs="Times New Roman"/>
          <w:sz w:val="20"/>
        </w:rPr>
        <w:t xml:space="preserve"> hasta la actualidad, busca explicar la violencia de los años setenta en nuestro país como resultado del accionar de dos violencias contrapuestas: las guerrillas de izquierda y las Fuerzas Armadas operando en nombre del Estado. La sociedad, por su parte, es concebida como ajena y víctima de esa violencia. Cabe destacar, empero, que las concepciones sobre dicha teoría no son homogéneas y las variables puestas en juego son vinculadas de diversas maneras en los ambientes públicos y académicos, siendo objeto de un debate permanente (Franco, 2014</w:t>
      </w:r>
      <w:r>
        <w:rPr>
          <w:rFonts w:ascii="Times New Roman" w:hAnsi="Times New Roman" w:cs="Times New Roman"/>
          <w:sz w:val="20"/>
        </w:rPr>
        <w:t>; 2015</w:t>
      </w:r>
      <w:r w:rsidRPr="004B3006">
        <w:rPr>
          <w:rFonts w:ascii="Times New Roman" w:hAnsi="Times New Roman" w:cs="Times New Roman"/>
          <w:sz w:val="20"/>
        </w:rPr>
        <w:t>).</w:t>
      </w:r>
    </w:p>
    <w:p w:rsidR="00D225DF" w:rsidRPr="00EE0BFB" w:rsidRDefault="00D225DF" w:rsidP="00D225DF">
      <w:pPr>
        <w:pStyle w:val="Textonotapie"/>
        <w:jc w:val="both"/>
        <w:rPr>
          <w:color w:val="FF0000"/>
        </w:rPr>
      </w:pPr>
    </w:p>
  </w:footnote>
  <w:footnote w:id="3">
    <w:p w:rsidR="00D225DF" w:rsidRPr="00427DDC" w:rsidRDefault="00D225DF" w:rsidP="00D225DF">
      <w:pPr>
        <w:pStyle w:val="Default"/>
        <w:jc w:val="both"/>
        <w:rPr>
          <w:color w:val="FF0000"/>
          <w:sz w:val="20"/>
          <w:szCs w:val="20"/>
          <w:u w:val="single"/>
        </w:rPr>
      </w:pPr>
      <w:r w:rsidRPr="00150C78">
        <w:rPr>
          <w:rStyle w:val="Refdenotaalpie"/>
          <w:sz w:val="20"/>
          <w:szCs w:val="20"/>
        </w:rPr>
        <w:footnoteRef/>
      </w:r>
      <w:r w:rsidRPr="00150C78">
        <w:rPr>
          <w:sz w:val="20"/>
          <w:szCs w:val="20"/>
        </w:rPr>
        <w:t xml:space="preserve"> No todas las condiciones que revisten un carácter problemático </w:t>
      </w:r>
      <w:r>
        <w:rPr>
          <w:sz w:val="20"/>
          <w:szCs w:val="20"/>
        </w:rPr>
        <w:t>se transforman en</w:t>
      </w:r>
      <w:r w:rsidRPr="00150C78">
        <w:rPr>
          <w:sz w:val="20"/>
          <w:szCs w:val="20"/>
        </w:rPr>
        <w:t xml:space="preserve"> problemas públicos.  Un problema, para constituirse como tal, debe ser definido, estructurado, contextualizado, enmarcado dentro de ciertos límites y recibir una etiqueta</w:t>
      </w:r>
      <w:r>
        <w:rPr>
          <w:sz w:val="20"/>
          <w:szCs w:val="20"/>
        </w:rPr>
        <w:t xml:space="preserve"> (Parsons, 2007)</w:t>
      </w:r>
      <w:r w:rsidRPr="00150C78">
        <w:rPr>
          <w:sz w:val="20"/>
          <w:szCs w:val="20"/>
        </w:rPr>
        <w:t xml:space="preserve">. </w:t>
      </w:r>
      <w:r>
        <w:rPr>
          <w:sz w:val="20"/>
          <w:szCs w:val="20"/>
        </w:rPr>
        <w:t>El enfoque de las corrientes múltiples identifica cuatro formas en las que los problemas llaman la atención a los tomadores de decisiones: indicadores; estudios específicos; retroalimentación sobre algún programa existente e identificación de fallas; eventos extraordinarios, como crisis o desastres naturales (Domínguez Virgen, 2011).</w:t>
      </w:r>
      <w:r w:rsidRPr="00150C78">
        <w:rPr>
          <w:sz w:val="20"/>
          <w:szCs w:val="20"/>
        </w:rPr>
        <w:t xml:space="preserve"> </w:t>
      </w:r>
    </w:p>
  </w:footnote>
  <w:footnote w:id="4">
    <w:p w:rsidR="00D225DF" w:rsidRPr="00CA4922" w:rsidRDefault="00D225DF" w:rsidP="00D225DF">
      <w:pPr>
        <w:spacing w:after="0" w:line="240" w:lineRule="auto"/>
        <w:jc w:val="both"/>
        <w:rPr>
          <w:sz w:val="18"/>
        </w:rPr>
      </w:pPr>
      <w:r w:rsidRPr="00370D9D">
        <w:rPr>
          <w:rStyle w:val="Refdenotaalpie"/>
          <w:sz w:val="18"/>
        </w:rPr>
        <w:footnoteRef/>
      </w:r>
      <w:r>
        <w:rPr>
          <w:sz w:val="18"/>
        </w:rPr>
        <w:t xml:space="preserve"> </w:t>
      </w:r>
      <w:r>
        <w:rPr>
          <w:rFonts w:ascii="Times New Roman" w:hAnsi="Times New Roman" w:cs="Times New Roman"/>
          <w:sz w:val="20"/>
        </w:rPr>
        <w:t>Los tomadores de decisiones han de prestar atención a  las posibles negociaciones y consensos entre actores políticos, a los resultados electorales y a la eventual emergencia de movimientos sociales opositores a las iniciativas que se buscan promover (Domínguez Virgen, 2011).</w:t>
      </w:r>
      <w:r w:rsidRPr="00370D9D">
        <w:rPr>
          <w:sz w:val="18"/>
        </w:rPr>
        <w:t xml:space="preserve"> </w:t>
      </w:r>
    </w:p>
  </w:footnote>
  <w:footnote w:id="5">
    <w:p w:rsidR="00D225DF" w:rsidRPr="00767C8D" w:rsidRDefault="00D225DF" w:rsidP="00D225DF">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Los carapintadas exigían, además, la renovación de los mandos del Ejército, a fin de dar término a lo que consideraban  como una “campaña de desprestigio” llevada a cabo por los medios de comunicación y que no se instrumenten sanciones a  quienes participaron en la rebelión. El conflicto, también conocido como “crisis de Semana Santa”, inició </w:t>
      </w:r>
      <w:r w:rsidRPr="00640116">
        <w:rPr>
          <w:rFonts w:ascii="Times New Roman" w:hAnsi="Times New Roman" w:cs="Times New Roman"/>
        </w:rPr>
        <w:t xml:space="preserve">el 17 de Abril y culminó </w:t>
      </w:r>
      <w:r>
        <w:rPr>
          <w:rFonts w:ascii="Times New Roman" w:hAnsi="Times New Roman" w:cs="Times New Roman"/>
        </w:rPr>
        <w:t xml:space="preserve">el 19 de abril de 1987. Posteriormente existieron otros tres levantamientos en 1988 y 1990 (Acuña y </w:t>
      </w:r>
      <w:proofErr w:type="spellStart"/>
      <w:r>
        <w:rPr>
          <w:rFonts w:ascii="Times New Roman" w:hAnsi="Times New Roman" w:cs="Times New Roman"/>
        </w:rPr>
        <w:t>Smulovitz</w:t>
      </w:r>
      <w:proofErr w:type="spellEnd"/>
      <w:r>
        <w:rPr>
          <w:rFonts w:ascii="Times New Roman" w:hAnsi="Times New Roman" w:cs="Times New Roman"/>
        </w:rPr>
        <w:t>, 1993).</w:t>
      </w:r>
    </w:p>
  </w:footnote>
  <w:footnote w:id="6">
    <w:p w:rsidR="00D225DF" w:rsidRPr="00C30214" w:rsidRDefault="00D225DF" w:rsidP="00D225DF">
      <w:pPr>
        <w:spacing w:line="240" w:lineRule="auto"/>
        <w:jc w:val="both"/>
        <w:rPr>
          <w:i/>
        </w:rPr>
      </w:pPr>
      <w:r>
        <w:rPr>
          <w:rStyle w:val="Refdenotaalpie"/>
        </w:rPr>
        <w:footnoteRef/>
      </w:r>
      <w:r>
        <w:t xml:space="preserve"> </w:t>
      </w:r>
      <w:r w:rsidRPr="0002604F">
        <w:rPr>
          <w:rFonts w:ascii="Times New Roman" w:hAnsi="Times New Roman" w:cs="Times New Roman"/>
          <w:sz w:val="20"/>
        </w:rPr>
        <w:t xml:space="preserve">El gobierno se involucraba de esta manera con aspectos y problemas propios de lo que se ha denominado “justicia transicional”. Esta puede definirse como </w:t>
      </w:r>
      <w:r w:rsidRPr="0002604F">
        <w:rPr>
          <w:rFonts w:ascii="Times New Roman" w:hAnsi="Times New Roman" w:cs="Times New Roman"/>
          <w:i/>
          <w:sz w:val="20"/>
        </w:rPr>
        <w:t>“(…)</w:t>
      </w:r>
      <w:r w:rsidRPr="0002604F">
        <w:rPr>
          <w:rFonts w:ascii="Times New Roman" w:hAnsi="Times New Roman" w:cs="Times New Roman"/>
          <w:i/>
          <w:sz w:val="20"/>
          <w:szCs w:val="24"/>
        </w:rPr>
        <w:t xml:space="preserve">una serie de reflexiones jurídicas, políticas y simbólicas que se plantean por objetivo la recomposición de la estructura jurídica y del tejido social, tras situaciones históricas extremas, a partir de procesos de paz, los derechos de las víctimas o los deberes de los estados” </w:t>
      </w:r>
      <w:r w:rsidRPr="0002604F">
        <w:rPr>
          <w:rFonts w:ascii="Times New Roman" w:hAnsi="Times New Roman" w:cs="Times New Roman"/>
          <w:sz w:val="20"/>
          <w:szCs w:val="24"/>
        </w:rPr>
        <w:t>(Galante, 2017</w:t>
      </w:r>
      <w:r>
        <w:rPr>
          <w:rFonts w:ascii="Times New Roman" w:hAnsi="Times New Roman" w:cs="Times New Roman"/>
          <w:sz w:val="20"/>
          <w:szCs w:val="24"/>
        </w:rPr>
        <w:t>a</w:t>
      </w:r>
      <w:r w:rsidRPr="0002604F">
        <w:rPr>
          <w:rFonts w:ascii="Times New Roman" w:hAnsi="Times New Roman" w:cs="Times New Roman"/>
          <w:sz w:val="20"/>
          <w:szCs w:val="24"/>
        </w:rPr>
        <w:t xml:space="preserve">: 4). </w:t>
      </w:r>
    </w:p>
    <w:p w:rsidR="00D225DF" w:rsidRDefault="00D225DF" w:rsidP="00D225DF">
      <w:pPr>
        <w:spacing w:after="0"/>
        <w:jc w:val="both"/>
        <w:rPr>
          <w:rStyle w:val="Textoennegrita"/>
          <w:rFonts w:ascii="Times New Roman" w:hAnsi="Times New Roman" w:cs="Times New Roman"/>
          <w:sz w:val="24"/>
          <w:szCs w:val="24"/>
          <w:shd w:val="clear" w:color="auto" w:fill="FFFFFF"/>
        </w:rPr>
      </w:pPr>
    </w:p>
    <w:p w:rsidR="00D225DF" w:rsidRDefault="00D225DF" w:rsidP="00D225DF">
      <w:pPr>
        <w:pStyle w:val="Textonotapie"/>
      </w:pPr>
    </w:p>
  </w:footnote>
  <w:footnote w:id="7">
    <w:p w:rsidR="00D225DF" w:rsidRPr="00AD27A7" w:rsidRDefault="00D225DF" w:rsidP="00D225DF">
      <w:pPr>
        <w:spacing w:line="240" w:lineRule="auto"/>
        <w:jc w:val="both"/>
        <w:rPr>
          <w:rFonts w:ascii="Times New Roman" w:hAnsi="Times New Roman" w:cs="Times New Roman"/>
          <w:sz w:val="20"/>
        </w:rPr>
      </w:pPr>
      <w:r>
        <w:rPr>
          <w:rStyle w:val="Refdenotaalpie"/>
        </w:rPr>
        <w:footnoteRef/>
      </w:r>
      <w:r>
        <w:t xml:space="preserve"> </w:t>
      </w:r>
      <w:r w:rsidRPr="00AD27A7">
        <w:rPr>
          <w:rFonts w:ascii="Times New Roman" w:hAnsi="Times New Roman" w:cs="Times New Roman"/>
          <w:sz w:val="20"/>
        </w:rPr>
        <w:t xml:space="preserve">Entre el 22 de abril de 1985 y el 9 de diciembre de 1985 tuvo lugar el juicio oral y público a las Juntas Militares (Causa Nº 3/84) a cargo del Juzgado Nº1 de la Cámara Federal de Buenos Aires. La construcción de “casos testigos” por parte de la Fiscalía condujo a la imputación de nueve comandantes de las tres Juntas Militares por delitos de homicidio, privación ilegítima de la libertad, violaciones y robos. </w:t>
      </w:r>
      <w:r>
        <w:rPr>
          <w:rFonts w:ascii="Times New Roman" w:hAnsi="Times New Roman" w:cs="Times New Roman"/>
          <w:sz w:val="20"/>
        </w:rPr>
        <w:t>Fueron condenados Jorge Videla,</w:t>
      </w:r>
      <w:r w:rsidRPr="00AD27A7">
        <w:rPr>
          <w:rFonts w:ascii="Times New Roman" w:hAnsi="Times New Roman" w:cs="Times New Roman"/>
          <w:sz w:val="20"/>
        </w:rPr>
        <w:t xml:space="preserve"> Emilio </w:t>
      </w:r>
      <w:proofErr w:type="spellStart"/>
      <w:r w:rsidRPr="00AD27A7">
        <w:rPr>
          <w:rFonts w:ascii="Times New Roman" w:hAnsi="Times New Roman" w:cs="Times New Roman"/>
          <w:sz w:val="20"/>
        </w:rPr>
        <w:t>Massera</w:t>
      </w:r>
      <w:proofErr w:type="spellEnd"/>
      <w:r w:rsidRPr="00AD27A7">
        <w:rPr>
          <w:rFonts w:ascii="Times New Roman" w:hAnsi="Times New Roman" w:cs="Times New Roman"/>
          <w:sz w:val="20"/>
        </w:rPr>
        <w:t xml:space="preserve">, Roberto Viola, Armando </w:t>
      </w:r>
      <w:proofErr w:type="spellStart"/>
      <w:r w:rsidRPr="00AD27A7">
        <w:rPr>
          <w:rFonts w:ascii="Times New Roman" w:hAnsi="Times New Roman" w:cs="Times New Roman"/>
          <w:sz w:val="20"/>
        </w:rPr>
        <w:t>Lambruschini</w:t>
      </w:r>
      <w:proofErr w:type="spellEnd"/>
      <w:r w:rsidRPr="00AD27A7">
        <w:rPr>
          <w:rFonts w:ascii="Times New Roman" w:hAnsi="Times New Roman" w:cs="Times New Roman"/>
          <w:sz w:val="20"/>
        </w:rPr>
        <w:t xml:space="preserve"> y Orlando Agosti. Por su parte, Leopoldo </w:t>
      </w:r>
      <w:proofErr w:type="spellStart"/>
      <w:r w:rsidRPr="00AD27A7">
        <w:rPr>
          <w:rFonts w:ascii="Times New Roman" w:hAnsi="Times New Roman" w:cs="Times New Roman"/>
          <w:sz w:val="20"/>
        </w:rPr>
        <w:t>Galtieri</w:t>
      </w:r>
      <w:proofErr w:type="spellEnd"/>
      <w:r w:rsidRPr="00AD27A7">
        <w:rPr>
          <w:rFonts w:ascii="Times New Roman" w:hAnsi="Times New Roman" w:cs="Times New Roman"/>
          <w:sz w:val="20"/>
        </w:rPr>
        <w:t xml:space="preserve">, Jorge Anaya y Basilio </w:t>
      </w:r>
      <w:proofErr w:type="spellStart"/>
      <w:r w:rsidRPr="00AD27A7">
        <w:rPr>
          <w:rFonts w:ascii="Times New Roman" w:hAnsi="Times New Roman" w:cs="Times New Roman"/>
          <w:sz w:val="20"/>
        </w:rPr>
        <w:t>Lami</w:t>
      </w:r>
      <w:proofErr w:type="spellEnd"/>
      <w:r w:rsidRPr="00AD27A7">
        <w:rPr>
          <w:rFonts w:ascii="Times New Roman" w:hAnsi="Times New Roman" w:cs="Times New Roman"/>
          <w:sz w:val="20"/>
        </w:rPr>
        <w:t xml:space="preserve"> </w:t>
      </w:r>
      <w:proofErr w:type="spellStart"/>
      <w:r w:rsidRPr="00AD27A7">
        <w:rPr>
          <w:rFonts w:ascii="Times New Roman" w:hAnsi="Times New Roman" w:cs="Times New Roman"/>
          <w:sz w:val="20"/>
        </w:rPr>
        <w:t>Dozo</w:t>
      </w:r>
      <w:proofErr w:type="spellEnd"/>
      <w:r w:rsidRPr="00AD27A7">
        <w:rPr>
          <w:rFonts w:ascii="Times New Roman" w:hAnsi="Times New Roman" w:cs="Times New Roman"/>
          <w:sz w:val="20"/>
        </w:rPr>
        <w:t xml:space="preserve">, integrantes de la tercera Junta, y Omar </w:t>
      </w:r>
      <w:proofErr w:type="spellStart"/>
      <w:r w:rsidRPr="00AD27A7">
        <w:rPr>
          <w:rFonts w:ascii="Times New Roman" w:hAnsi="Times New Roman" w:cs="Times New Roman"/>
          <w:sz w:val="20"/>
        </w:rPr>
        <w:t>Graffina</w:t>
      </w:r>
      <w:proofErr w:type="spellEnd"/>
      <w:r w:rsidRPr="00AD27A7">
        <w:rPr>
          <w:rFonts w:ascii="Times New Roman" w:hAnsi="Times New Roman" w:cs="Times New Roman"/>
          <w:sz w:val="20"/>
        </w:rPr>
        <w:t>, quien había participado en la segunda Junta, fueron absueltos (</w:t>
      </w:r>
      <w:proofErr w:type="spellStart"/>
      <w:r w:rsidRPr="00AD27A7">
        <w:rPr>
          <w:rFonts w:ascii="Times New Roman" w:hAnsi="Times New Roman" w:cs="Times New Roman"/>
          <w:sz w:val="20"/>
        </w:rPr>
        <w:t>Bacci</w:t>
      </w:r>
      <w:proofErr w:type="spellEnd"/>
      <w:r w:rsidRPr="00AD27A7">
        <w:rPr>
          <w:rFonts w:ascii="Times New Roman" w:hAnsi="Times New Roman" w:cs="Times New Roman"/>
          <w:sz w:val="20"/>
        </w:rPr>
        <w:t>, 2015).</w:t>
      </w:r>
    </w:p>
    <w:p w:rsidR="00D225DF" w:rsidRPr="005F41DB" w:rsidRDefault="00D225DF" w:rsidP="00D225DF">
      <w:pPr>
        <w:pStyle w:val="Textonotapie"/>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DF" w:rsidRDefault="00D225DF" w:rsidP="00D225DF">
    <w:pPr>
      <w:pStyle w:val="Encabezado"/>
      <w:jc w:val="center"/>
      <w:rPr>
        <w:rFonts w:ascii="Times New Roman" w:hAnsi="Times New Roman" w:cs="Times New Roman"/>
        <w:b/>
      </w:rPr>
    </w:pPr>
    <w:r>
      <w:rPr>
        <w:rFonts w:ascii="Times New Roman" w:hAnsi="Times New Roman" w:cs="Times New Roman"/>
        <w:b/>
      </w:rPr>
      <w:t>Pluchino, Jésica;  Meglio, María Sol – X Jornadas Jóvenes Investigadores</w:t>
    </w:r>
  </w:p>
  <w:p w:rsidR="00D225DF" w:rsidRPr="004F7CDB" w:rsidRDefault="00D225DF" w:rsidP="00D225DF">
    <w:pPr>
      <w:pStyle w:val="Encabezado"/>
      <w:jc w:val="center"/>
      <w:rPr>
        <w:rFonts w:ascii="Times New Roman" w:hAnsi="Times New Roman" w:cs="Times New Roman"/>
        <w:b/>
      </w:rPr>
    </w:pPr>
    <w:r>
      <w:rPr>
        <w:rFonts w:ascii="Times New Roman" w:hAnsi="Times New Roman" w:cs="Times New Roman"/>
        <w:b/>
      </w:rPr>
      <w:t>Instituto de Investigaciones Gino Germani - 6, 7 y 8 de Noviembre de 2019</w:t>
    </w:r>
  </w:p>
  <w:p w:rsidR="00D225DF" w:rsidRDefault="00D225DF">
    <w:pPr>
      <w:pStyle w:val="Encabezado"/>
    </w:pPr>
  </w:p>
  <w:p w:rsidR="00D225DF" w:rsidRDefault="00D225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10A0B"/>
    <w:multiLevelType w:val="hybridMultilevel"/>
    <w:tmpl w:val="EFD8E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DF"/>
    <w:rsid w:val="0009059B"/>
    <w:rsid w:val="009431E5"/>
    <w:rsid w:val="00D225DF"/>
    <w:rsid w:val="00DA2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25DF"/>
    <w:pPr>
      <w:spacing w:after="160" w:line="259" w:lineRule="auto"/>
      <w:ind w:left="720"/>
      <w:contextualSpacing/>
    </w:pPr>
  </w:style>
  <w:style w:type="paragraph" w:customStyle="1" w:styleId="Default">
    <w:name w:val="Default"/>
    <w:rsid w:val="00D225DF"/>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D225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25DF"/>
    <w:rPr>
      <w:sz w:val="20"/>
      <w:szCs w:val="20"/>
    </w:rPr>
  </w:style>
  <w:style w:type="character" w:styleId="Refdenotaalpie">
    <w:name w:val="footnote reference"/>
    <w:basedOn w:val="Fuentedeprrafopredeter"/>
    <w:uiPriority w:val="99"/>
    <w:semiHidden/>
    <w:unhideWhenUsed/>
    <w:rsid w:val="00D225DF"/>
    <w:rPr>
      <w:vertAlign w:val="superscript"/>
    </w:rPr>
  </w:style>
  <w:style w:type="character" w:styleId="Textoennegrita">
    <w:name w:val="Strong"/>
    <w:basedOn w:val="Fuentedeprrafopredeter"/>
    <w:uiPriority w:val="22"/>
    <w:qFormat/>
    <w:rsid w:val="00D225DF"/>
    <w:rPr>
      <w:b/>
      <w:bCs/>
    </w:rPr>
  </w:style>
  <w:style w:type="paragraph" w:styleId="Piedepgina">
    <w:name w:val="footer"/>
    <w:basedOn w:val="Normal"/>
    <w:link w:val="PiedepginaCar"/>
    <w:uiPriority w:val="99"/>
    <w:unhideWhenUsed/>
    <w:rsid w:val="00D22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25DF"/>
  </w:style>
  <w:style w:type="paragraph" w:styleId="Sinespaciado">
    <w:name w:val="No Spacing"/>
    <w:link w:val="SinespaciadoCar"/>
    <w:uiPriority w:val="1"/>
    <w:qFormat/>
    <w:rsid w:val="00D225DF"/>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225DF"/>
    <w:rPr>
      <w:rFonts w:eastAsiaTheme="minorEastAsia"/>
      <w:lang w:eastAsia="es-ES"/>
    </w:rPr>
  </w:style>
  <w:style w:type="paragraph" w:styleId="Textodeglobo">
    <w:name w:val="Balloon Text"/>
    <w:basedOn w:val="Normal"/>
    <w:link w:val="TextodegloboCar"/>
    <w:uiPriority w:val="99"/>
    <w:semiHidden/>
    <w:unhideWhenUsed/>
    <w:rsid w:val="00D225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5DF"/>
    <w:rPr>
      <w:rFonts w:ascii="Tahoma" w:hAnsi="Tahoma" w:cs="Tahoma"/>
      <w:sz w:val="16"/>
      <w:szCs w:val="16"/>
    </w:rPr>
  </w:style>
  <w:style w:type="paragraph" w:styleId="Encabezado">
    <w:name w:val="header"/>
    <w:basedOn w:val="Normal"/>
    <w:link w:val="EncabezadoCar"/>
    <w:uiPriority w:val="99"/>
    <w:unhideWhenUsed/>
    <w:rsid w:val="00D22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2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25DF"/>
    <w:pPr>
      <w:spacing w:after="160" w:line="259" w:lineRule="auto"/>
      <w:ind w:left="720"/>
      <w:contextualSpacing/>
    </w:pPr>
  </w:style>
  <w:style w:type="paragraph" w:customStyle="1" w:styleId="Default">
    <w:name w:val="Default"/>
    <w:rsid w:val="00D225DF"/>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D225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25DF"/>
    <w:rPr>
      <w:sz w:val="20"/>
      <w:szCs w:val="20"/>
    </w:rPr>
  </w:style>
  <w:style w:type="character" w:styleId="Refdenotaalpie">
    <w:name w:val="footnote reference"/>
    <w:basedOn w:val="Fuentedeprrafopredeter"/>
    <w:uiPriority w:val="99"/>
    <w:semiHidden/>
    <w:unhideWhenUsed/>
    <w:rsid w:val="00D225DF"/>
    <w:rPr>
      <w:vertAlign w:val="superscript"/>
    </w:rPr>
  </w:style>
  <w:style w:type="character" w:styleId="Textoennegrita">
    <w:name w:val="Strong"/>
    <w:basedOn w:val="Fuentedeprrafopredeter"/>
    <w:uiPriority w:val="22"/>
    <w:qFormat/>
    <w:rsid w:val="00D225DF"/>
    <w:rPr>
      <w:b/>
      <w:bCs/>
    </w:rPr>
  </w:style>
  <w:style w:type="paragraph" w:styleId="Piedepgina">
    <w:name w:val="footer"/>
    <w:basedOn w:val="Normal"/>
    <w:link w:val="PiedepginaCar"/>
    <w:uiPriority w:val="99"/>
    <w:unhideWhenUsed/>
    <w:rsid w:val="00D22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25DF"/>
  </w:style>
  <w:style w:type="paragraph" w:styleId="Sinespaciado">
    <w:name w:val="No Spacing"/>
    <w:link w:val="SinespaciadoCar"/>
    <w:uiPriority w:val="1"/>
    <w:qFormat/>
    <w:rsid w:val="00D225DF"/>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225DF"/>
    <w:rPr>
      <w:rFonts w:eastAsiaTheme="minorEastAsia"/>
      <w:lang w:eastAsia="es-ES"/>
    </w:rPr>
  </w:style>
  <w:style w:type="paragraph" w:styleId="Textodeglobo">
    <w:name w:val="Balloon Text"/>
    <w:basedOn w:val="Normal"/>
    <w:link w:val="TextodegloboCar"/>
    <w:uiPriority w:val="99"/>
    <w:semiHidden/>
    <w:unhideWhenUsed/>
    <w:rsid w:val="00D225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5DF"/>
    <w:rPr>
      <w:rFonts w:ascii="Tahoma" w:hAnsi="Tahoma" w:cs="Tahoma"/>
      <w:sz w:val="16"/>
      <w:szCs w:val="16"/>
    </w:rPr>
  </w:style>
  <w:style w:type="paragraph" w:styleId="Encabezado">
    <w:name w:val="header"/>
    <w:basedOn w:val="Normal"/>
    <w:link w:val="EncabezadoCar"/>
    <w:uiPriority w:val="99"/>
    <w:unhideWhenUsed/>
    <w:rsid w:val="00D22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ocu.com/es-ar/document/universidad-nacional-de-avellaneda/sociologia-juridica/apuntes/sintesis-fallo-caso-poblete/3073086/vie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vicios.infoleg.gob.ar/infolegInternet/anexos/20000-24999/21864/norma.htm" TargetMode="External"/><Relationship Id="rId4" Type="http://schemas.openxmlformats.org/officeDocument/2006/relationships/settings" Target="settings.xml"/><Relationship Id="rId9" Type="http://schemas.openxmlformats.org/officeDocument/2006/relationships/hyperlink" Target="http://servicios.infoleg.gob.ar/infolegInternet/anexos/20000-24999/21746/norma.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04"/>
    <w:rsid w:val="00203F04"/>
    <w:rsid w:val="003A19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A1B8657B1024717A308FF5555E9157C">
    <w:name w:val="1A1B8657B1024717A308FF5555E9157C"/>
    <w:rsid w:val="00203F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A1B8657B1024717A308FF5555E9157C">
    <w:name w:val="1A1B8657B1024717A308FF5555E9157C"/>
    <w:rsid w:val="00203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5450</Words>
  <Characters>29979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dcterms:created xsi:type="dcterms:W3CDTF">2019-07-31T19:19:00Z</dcterms:created>
  <dcterms:modified xsi:type="dcterms:W3CDTF">2019-07-31T19:37:00Z</dcterms:modified>
</cp:coreProperties>
</file>