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0A8A" w14:textId="77777777" w:rsidR="00B33939" w:rsidRPr="00144F56" w:rsidRDefault="00B33939" w:rsidP="00D36D79">
      <w:pPr>
        <w:shd w:val="clear" w:color="auto" w:fill="FFFFFF"/>
        <w:spacing w:after="0" w:line="360" w:lineRule="auto"/>
        <w:textAlignment w:val="baseline"/>
        <w:rPr>
          <w:rFonts w:ascii="Times New Roman" w:eastAsia="Times New Roman" w:hAnsi="Times New Roman" w:cs="Times New Roman"/>
          <w:sz w:val="26"/>
          <w:szCs w:val="26"/>
          <w:lang w:eastAsia="es-AR"/>
        </w:rPr>
      </w:pPr>
      <w:r w:rsidRPr="00B33939">
        <w:rPr>
          <w:rFonts w:ascii="Times New Roman" w:eastAsia="Times New Roman" w:hAnsi="Times New Roman" w:cs="Times New Roman"/>
          <w:b/>
          <w:bCs/>
          <w:sz w:val="26"/>
          <w:szCs w:val="26"/>
          <w:lang w:eastAsia="es-AR"/>
        </w:rPr>
        <w:t>X Jornadas de Jóvenes</w:t>
      </w:r>
      <w:r w:rsidRPr="00B33939">
        <w:rPr>
          <w:rFonts w:ascii="Times New Roman" w:eastAsia="Times New Roman" w:hAnsi="Times New Roman" w:cs="Times New Roman"/>
          <w:sz w:val="26"/>
          <w:szCs w:val="26"/>
          <w:lang w:eastAsia="es-AR"/>
        </w:rPr>
        <w:t xml:space="preserve"> </w:t>
      </w:r>
      <w:r w:rsidRPr="00B33939">
        <w:rPr>
          <w:rFonts w:ascii="Times New Roman" w:eastAsia="Times New Roman" w:hAnsi="Times New Roman" w:cs="Times New Roman"/>
          <w:b/>
          <w:bCs/>
          <w:sz w:val="26"/>
          <w:szCs w:val="26"/>
          <w:lang w:eastAsia="es-AR"/>
        </w:rPr>
        <w:t>Investigadores</w:t>
      </w:r>
      <w:r w:rsidRPr="00144F56">
        <w:rPr>
          <w:rFonts w:ascii="Times New Roman" w:eastAsia="Times New Roman" w:hAnsi="Times New Roman" w:cs="Times New Roman"/>
          <w:sz w:val="26"/>
          <w:szCs w:val="26"/>
          <w:lang w:eastAsia="es-AR"/>
        </w:rPr>
        <w:t xml:space="preserve"> - </w:t>
      </w:r>
      <w:r w:rsidRPr="00B33939">
        <w:rPr>
          <w:rFonts w:ascii="Times New Roman" w:eastAsia="Times New Roman" w:hAnsi="Times New Roman" w:cs="Times New Roman"/>
          <w:sz w:val="26"/>
          <w:szCs w:val="26"/>
          <w:lang w:eastAsia="es-AR"/>
        </w:rPr>
        <w:t>Instituto de Investigaciones Gino Germani</w:t>
      </w:r>
    </w:p>
    <w:p w14:paraId="03F40603" w14:textId="77777777" w:rsidR="00B33939" w:rsidRPr="00144F56" w:rsidRDefault="00B33939" w:rsidP="00D36D79">
      <w:pPr>
        <w:shd w:val="clear" w:color="auto" w:fill="FFFFFF"/>
        <w:spacing w:after="0" w:line="360" w:lineRule="auto"/>
        <w:textAlignment w:val="baseline"/>
        <w:rPr>
          <w:rFonts w:ascii="Times New Roman" w:eastAsia="Times New Roman" w:hAnsi="Times New Roman" w:cs="Times New Roman"/>
          <w:sz w:val="26"/>
          <w:szCs w:val="26"/>
          <w:lang w:eastAsia="es-AR"/>
        </w:rPr>
      </w:pPr>
      <w:r w:rsidRPr="00144F56">
        <w:rPr>
          <w:rFonts w:ascii="Times New Roman" w:eastAsia="Times New Roman" w:hAnsi="Times New Roman" w:cs="Times New Roman"/>
          <w:sz w:val="26"/>
          <w:szCs w:val="26"/>
          <w:lang w:eastAsia="es-AR"/>
        </w:rPr>
        <w:t>6, 7 y 8</w:t>
      </w:r>
      <w:r w:rsidRPr="00B33939">
        <w:rPr>
          <w:rFonts w:ascii="Times New Roman" w:eastAsia="Times New Roman" w:hAnsi="Times New Roman" w:cs="Times New Roman"/>
          <w:sz w:val="26"/>
          <w:szCs w:val="26"/>
          <w:lang w:eastAsia="es-AR"/>
        </w:rPr>
        <w:t xml:space="preserve"> de </w:t>
      </w:r>
      <w:r w:rsidRPr="00144F56">
        <w:rPr>
          <w:rFonts w:ascii="Times New Roman" w:eastAsia="Times New Roman" w:hAnsi="Times New Roman" w:cs="Times New Roman"/>
          <w:sz w:val="26"/>
          <w:szCs w:val="26"/>
          <w:lang w:eastAsia="es-AR"/>
        </w:rPr>
        <w:t>n</w:t>
      </w:r>
      <w:r w:rsidRPr="00B33939">
        <w:rPr>
          <w:rFonts w:ascii="Times New Roman" w:eastAsia="Times New Roman" w:hAnsi="Times New Roman" w:cs="Times New Roman"/>
          <w:sz w:val="26"/>
          <w:szCs w:val="26"/>
          <w:lang w:eastAsia="es-AR"/>
        </w:rPr>
        <w:t>oviembre de 201</w:t>
      </w:r>
      <w:r w:rsidRPr="00144F56">
        <w:rPr>
          <w:rFonts w:ascii="Times New Roman" w:eastAsia="Times New Roman" w:hAnsi="Times New Roman" w:cs="Times New Roman"/>
          <w:sz w:val="26"/>
          <w:szCs w:val="26"/>
          <w:lang w:eastAsia="es-AR"/>
        </w:rPr>
        <w:t>9</w:t>
      </w:r>
    </w:p>
    <w:p w14:paraId="43974535" w14:textId="77777777" w:rsidR="00B33939" w:rsidRPr="00144F56" w:rsidRDefault="00B33939" w:rsidP="00D36D79">
      <w:pPr>
        <w:spacing w:after="0" w:line="360" w:lineRule="auto"/>
        <w:textAlignment w:val="baseline"/>
        <w:rPr>
          <w:rFonts w:ascii="Times New Roman" w:eastAsia="Times New Roman" w:hAnsi="Times New Roman" w:cs="Times New Roman"/>
          <w:i/>
          <w:iCs/>
          <w:sz w:val="24"/>
          <w:szCs w:val="24"/>
          <w:lang w:eastAsia="es-AR"/>
        </w:rPr>
      </w:pPr>
    </w:p>
    <w:p w14:paraId="1D46CADD" w14:textId="77777777" w:rsidR="00B33939" w:rsidRPr="00144F56" w:rsidRDefault="00B33939" w:rsidP="00D36D79">
      <w:pPr>
        <w:spacing w:after="0" w:line="360" w:lineRule="auto"/>
        <w:textAlignment w:val="baseline"/>
        <w:rPr>
          <w:rFonts w:ascii="Times New Roman" w:eastAsia="Times New Roman" w:hAnsi="Times New Roman" w:cs="Times New Roman"/>
          <w:sz w:val="24"/>
          <w:szCs w:val="24"/>
          <w:lang w:eastAsia="es-AR"/>
        </w:rPr>
      </w:pPr>
    </w:p>
    <w:p w14:paraId="3FE13423" w14:textId="77777777" w:rsidR="00B33939" w:rsidRPr="00B33939" w:rsidRDefault="00B33939" w:rsidP="00D36D79">
      <w:pPr>
        <w:spacing w:after="0" w:line="360" w:lineRule="auto"/>
        <w:textAlignment w:val="baseline"/>
        <w:rPr>
          <w:rFonts w:ascii="Times New Roman" w:eastAsia="Times New Roman" w:hAnsi="Times New Roman" w:cs="Times New Roman"/>
          <w:sz w:val="24"/>
          <w:szCs w:val="24"/>
          <w:lang w:eastAsia="es-AR"/>
        </w:rPr>
      </w:pPr>
      <w:r w:rsidRPr="00144F56">
        <w:rPr>
          <w:rFonts w:ascii="Times New Roman" w:eastAsia="Times New Roman" w:hAnsi="Times New Roman" w:cs="Times New Roman"/>
          <w:sz w:val="24"/>
          <w:szCs w:val="24"/>
          <w:lang w:eastAsia="es-AR"/>
        </w:rPr>
        <w:t>Martina Lassalle (UBA-IGG)</w:t>
      </w:r>
    </w:p>
    <w:p w14:paraId="3D99F0DE" w14:textId="77777777" w:rsidR="00B33939" w:rsidRPr="00144F56" w:rsidRDefault="00AA1AFC" w:rsidP="00D36D79">
      <w:pPr>
        <w:spacing w:after="0" w:line="360" w:lineRule="auto"/>
        <w:textAlignment w:val="baseline"/>
        <w:rPr>
          <w:rFonts w:ascii="Times New Roman" w:eastAsia="Times New Roman" w:hAnsi="Times New Roman" w:cs="Times New Roman"/>
          <w:color w:val="002060"/>
          <w:sz w:val="24"/>
          <w:szCs w:val="24"/>
          <w:bdr w:val="none" w:sz="0" w:space="0" w:color="auto" w:frame="1"/>
          <w:lang w:eastAsia="es-AR"/>
        </w:rPr>
      </w:pPr>
      <w:hyperlink r:id="rId8" w:history="1">
        <w:r w:rsidR="00B33939" w:rsidRPr="00144F56">
          <w:rPr>
            <w:rStyle w:val="Hipervnculo"/>
            <w:rFonts w:ascii="Times New Roman" w:eastAsia="Times New Roman" w:hAnsi="Times New Roman" w:cs="Times New Roman"/>
            <w:color w:val="002060"/>
            <w:sz w:val="24"/>
            <w:szCs w:val="24"/>
            <w:bdr w:val="none" w:sz="0" w:space="0" w:color="auto" w:frame="1"/>
            <w:lang w:eastAsia="es-AR"/>
          </w:rPr>
          <w:t>lassallemartina@gmail.com</w:t>
        </w:r>
      </w:hyperlink>
    </w:p>
    <w:p w14:paraId="55BA396E" w14:textId="6DE7630E" w:rsidR="00B33939" w:rsidRPr="00144F56" w:rsidRDefault="00B33939" w:rsidP="00D36D79">
      <w:pPr>
        <w:spacing w:after="0" w:line="360" w:lineRule="auto"/>
        <w:textAlignment w:val="baseline"/>
        <w:rPr>
          <w:rFonts w:ascii="Times New Roman" w:eastAsia="Times New Roman" w:hAnsi="Times New Roman" w:cs="Times New Roman"/>
          <w:sz w:val="24"/>
          <w:szCs w:val="24"/>
          <w:bdr w:val="none" w:sz="0" w:space="0" w:color="auto" w:frame="1"/>
          <w:lang w:eastAsia="es-AR"/>
        </w:rPr>
      </w:pPr>
      <w:r w:rsidRPr="00144F56">
        <w:rPr>
          <w:rFonts w:ascii="Times New Roman" w:eastAsia="Times New Roman" w:hAnsi="Times New Roman" w:cs="Times New Roman"/>
          <w:sz w:val="24"/>
          <w:szCs w:val="24"/>
          <w:bdr w:val="none" w:sz="0" w:space="0" w:color="auto" w:frame="1"/>
          <w:lang w:eastAsia="es-AR"/>
        </w:rPr>
        <w:t>Estudiante del Doctorado en Ciencias Sociales</w:t>
      </w:r>
      <w:r w:rsidR="004C31A5">
        <w:rPr>
          <w:rFonts w:ascii="Times New Roman" w:eastAsia="Times New Roman" w:hAnsi="Times New Roman" w:cs="Times New Roman"/>
          <w:sz w:val="24"/>
          <w:szCs w:val="24"/>
          <w:bdr w:val="none" w:sz="0" w:space="0" w:color="auto" w:frame="1"/>
          <w:lang w:eastAsia="es-AR"/>
        </w:rPr>
        <w:t xml:space="preserve"> en</w:t>
      </w:r>
      <w:r w:rsidRPr="00144F56">
        <w:rPr>
          <w:rFonts w:ascii="Times New Roman" w:eastAsia="Times New Roman" w:hAnsi="Times New Roman" w:cs="Times New Roman"/>
          <w:sz w:val="24"/>
          <w:szCs w:val="24"/>
          <w:bdr w:val="none" w:sz="0" w:space="0" w:color="auto" w:frame="1"/>
          <w:lang w:eastAsia="es-AR"/>
        </w:rPr>
        <w:t xml:space="preserve"> la Universidad de Buenos Aires</w:t>
      </w:r>
    </w:p>
    <w:p w14:paraId="643A276C" w14:textId="77777777" w:rsidR="00B33939" w:rsidRPr="00144F56" w:rsidRDefault="00B33939" w:rsidP="00D36D79">
      <w:pPr>
        <w:spacing w:after="0" w:line="360" w:lineRule="auto"/>
        <w:textAlignment w:val="baseline"/>
        <w:rPr>
          <w:rFonts w:ascii="Times New Roman" w:eastAsia="Times New Roman" w:hAnsi="Times New Roman" w:cs="Times New Roman"/>
          <w:sz w:val="24"/>
          <w:szCs w:val="24"/>
          <w:bdr w:val="none" w:sz="0" w:space="0" w:color="auto" w:frame="1"/>
          <w:lang w:eastAsia="es-AR"/>
        </w:rPr>
      </w:pPr>
    </w:p>
    <w:p w14:paraId="26073ABE" w14:textId="77777777" w:rsidR="00B33939" w:rsidRPr="00B33939" w:rsidRDefault="00B33939" w:rsidP="00D36D79">
      <w:pPr>
        <w:spacing w:after="0" w:line="360" w:lineRule="auto"/>
        <w:textAlignment w:val="baseline"/>
        <w:rPr>
          <w:rFonts w:ascii="Times New Roman" w:eastAsia="Times New Roman" w:hAnsi="Times New Roman" w:cs="Times New Roman"/>
          <w:sz w:val="24"/>
          <w:szCs w:val="24"/>
          <w:lang w:eastAsia="es-AR"/>
        </w:rPr>
      </w:pPr>
      <w:r w:rsidRPr="00B33939">
        <w:rPr>
          <w:rFonts w:ascii="Times New Roman" w:eastAsia="Times New Roman" w:hAnsi="Times New Roman" w:cs="Times New Roman"/>
          <w:b/>
          <w:bCs/>
          <w:sz w:val="24"/>
          <w:szCs w:val="24"/>
          <w:u w:val="single"/>
          <w:bdr w:val="none" w:sz="0" w:space="0" w:color="auto" w:frame="1"/>
          <w:lang w:eastAsia="es-AR"/>
        </w:rPr>
        <w:t>Eje problemático propuesto</w:t>
      </w:r>
      <w:r w:rsidRPr="00144F56">
        <w:rPr>
          <w:rFonts w:ascii="Times New Roman" w:eastAsia="Times New Roman" w:hAnsi="Times New Roman" w:cs="Times New Roman"/>
          <w:sz w:val="24"/>
          <w:szCs w:val="24"/>
          <w:bdr w:val="none" w:sz="0" w:space="0" w:color="auto" w:frame="1"/>
          <w:lang w:eastAsia="es-AR"/>
        </w:rPr>
        <w:t>: 2 – Poder, dominación y violencia</w:t>
      </w:r>
    </w:p>
    <w:p w14:paraId="7E656310" w14:textId="77777777" w:rsidR="005852E1" w:rsidRDefault="005852E1" w:rsidP="00D36D79">
      <w:pPr>
        <w:spacing w:line="360" w:lineRule="auto"/>
        <w:rPr>
          <w:rFonts w:ascii="Times New Roman" w:eastAsia="Times New Roman" w:hAnsi="Times New Roman" w:cs="Times New Roman"/>
          <w:b/>
          <w:bCs/>
          <w:sz w:val="24"/>
          <w:szCs w:val="24"/>
          <w:bdr w:val="none" w:sz="0" w:space="0" w:color="auto" w:frame="1"/>
          <w:lang w:eastAsia="es-AR"/>
        </w:rPr>
      </w:pPr>
    </w:p>
    <w:p w14:paraId="12964710" w14:textId="77777777" w:rsidR="00A74E06" w:rsidRPr="00144F56" w:rsidRDefault="00A74E06" w:rsidP="00D36D79">
      <w:pPr>
        <w:spacing w:line="360" w:lineRule="auto"/>
        <w:rPr>
          <w:rFonts w:ascii="Times New Roman" w:eastAsia="Times New Roman" w:hAnsi="Times New Roman" w:cs="Times New Roman"/>
          <w:b/>
          <w:bCs/>
          <w:sz w:val="24"/>
          <w:szCs w:val="24"/>
          <w:bdr w:val="none" w:sz="0" w:space="0" w:color="auto" w:frame="1"/>
          <w:lang w:eastAsia="es-AR"/>
        </w:rPr>
      </w:pPr>
    </w:p>
    <w:p w14:paraId="2A30FA2B" w14:textId="77777777" w:rsidR="00B33939" w:rsidRPr="007A7EC9" w:rsidRDefault="0003246B" w:rsidP="00D36D79">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w:t>
      </w:r>
      <w:r w:rsidR="001C391A">
        <w:rPr>
          <w:rFonts w:ascii="Times New Roman" w:hAnsi="Times New Roman" w:cs="Times New Roman"/>
          <w:b/>
          <w:bCs/>
          <w:sz w:val="24"/>
          <w:szCs w:val="24"/>
          <w:u w:val="single"/>
        </w:rPr>
        <w:t xml:space="preserve">puntes </w:t>
      </w:r>
      <w:r w:rsidR="00EA3A2B">
        <w:rPr>
          <w:rFonts w:ascii="Times New Roman" w:hAnsi="Times New Roman" w:cs="Times New Roman"/>
          <w:b/>
          <w:bCs/>
          <w:sz w:val="24"/>
          <w:szCs w:val="24"/>
          <w:u w:val="single"/>
        </w:rPr>
        <w:t>para pensar l</w:t>
      </w:r>
      <w:r w:rsidR="001C391A">
        <w:rPr>
          <w:rFonts w:ascii="Times New Roman" w:hAnsi="Times New Roman" w:cs="Times New Roman"/>
          <w:b/>
          <w:bCs/>
          <w:sz w:val="24"/>
          <w:szCs w:val="24"/>
          <w:u w:val="single"/>
        </w:rPr>
        <w:t>a figura de la legítima defensa</w:t>
      </w:r>
    </w:p>
    <w:p w14:paraId="05D9AB7F" w14:textId="77777777" w:rsidR="00B07553" w:rsidRDefault="00B07553" w:rsidP="00554D20">
      <w:pPr>
        <w:spacing w:line="360" w:lineRule="auto"/>
        <w:jc w:val="both"/>
        <w:rPr>
          <w:rFonts w:ascii="Times New Roman" w:hAnsi="Times New Roman" w:cs="Times New Roman"/>
          <w:sz w:val="24"/>
          <w:szCs w:val="24"/>
        </w:rPr>
      </w:pPr>
    </w:p>
    <w:p w14:paraId="7CAD748C" w14:textId="072C587F" w:rsidR="00CE1AFD" w:rsidRDefault="00CE1AFD" w:rsidP="00554D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presente ponencia se enmarca en la investigación sobre el castigo del homicidio doloso que vengo desarrollando como </w:t>
      </w:r>
      <w:r w:rsidR="00256332">
        <w:rPr>
          <w:rFonts w:ascii="Times New Roman" w:hAnsi="Times New Roman" w:cs="Times New Roman"/>
          <w:sz w:val="24"/>
          <w:szCs w:val="24"/>
        </w:rPr>
        <w:t xml:space="preserve">becaria del proyecto </w:t>
      </w:r>
      <w:proofErr w:type="spellStart"/>
      <w:r w:rsidR="00256332">
        <w:rPr>
          <w:rFonts w:ascii="Times New Roman" w:hAnsi="Times New Roman" w:cs="Times New Roman"/>
          <w:sz w:val="24"/>
          <w:szCs w:val="24"/>
        </w:rPr>
        <w:t>UBACyT</w:t>
      </w:r>
      <w:proofErr w:type="spellEnd"/>
      <w:r w:rsidR="00256332">
        <w:rPr>
          <w:rFonts w:ascii="Times New Roman" w:hAnsi="Times New Roman" w:cs="Times New Roman"/>
          <w:sz w:val="24"/>
          <w:szCs w:val="24"/>
        </w:rPr>
        <w:t xml:space="preserve"> </w:t>
      </w:r>
      <w:r w:rsidR="00256332" w:rsidRPr="00256332">
        <w:rPr>
          <w:rFonts w:ascii="Times New Roman" w:hAnsi="Times New Roman" w:cs="Times New Roman"/>
          <w:i/>
          <w:iCs/>
          <w:sz w:val="24"/>
          <w:szCs w:val="24"/>
        </w:rPr>
        <w:t xml:space="preserve">“Los usos </w:t>
      </w:r>
      <w:proofErr w:type="gramStart"/>
      <w:r w:rsidR="00256332" w:rsidRPr="00256332">
        <w:rPr>
          <w:rFonts w:ascii="Times New Roman" w:hAnsi="Times New Roman" w:cs="Times New Roman"/>
          <w:i/>
          <w:iCs/>
          <w:sz w:val="24"/>
          <w:szCs w:val="24"/>
        </w:rPr>
        <w:t>socio-políticos</w:t>
      </w:r>
      <w:proofErr w:type="gramEnd"/>
      <w:r w:rsidR="00256332" w:rsidRPr="00256332">
        <w:rPr>
          <w:rFonts w:ascii="Times New Roman" w:hAnsi="Times New Roman" w:cs="Times New Roman"/>
          <w:i/>
          <w:iCs/>
          <w:sz w:val="24"/>
          <w:szCs w:val="24"/>
        </w:rPr>
        <w:t xml:space="preserve"> de la violencia. Hacia un análisis cultural de la cuestión criminal en Argentina”</w:t>
      </w:r>
      <w:r w:rsidR="00F52C4E">
        <w:rPr>
          <w:rFonts w:ascii="Times New Roman" w:hAnsi="Times New Roman" w:cs="Times New Roman"/>
          <w:i/>
          <w:iCs/>
          <w:sz w:val="24"/>
          <w:szCs w:val="24"/>
        </w:rPr>
        <w:t xml:space="preserve"> </w:t>
      </w:r>
      <w:r w:rsidR="00F52C4E" w:rsidRPr="00F52C4E">
        <w:rPr>
          <w:rFonts w:ascii="Times New Roman" w:hAnsi="Times New Roman" w:cs="Times New Roman"/>
          <w:sz w:val="24"/>
          <w:szCs w:val="24"/>
        </w:rPr>
        <w:t>(</w:t>
      </w:r>
      <w:r w:rsidR="00284479">
        <w:rPr>
          <w:rFonts w:ascii="Times New Roman" w:hAnsi="Times New Roman" w:cs="Times New Roman"/>
          <w:sz w:val="24"/>
          <w:szCs w:val="24"/>
        </w:rPr>
        <w:t xml:space="preserve">dirigido por Sergio </w:t>
      </w:r>
      <w:proofErr w:type="spellStart"/>
      <w:r w:rsidR="00284479">
        <w:rPr>
          <w:rFonts w:ascii="Times New Roman" w:hAnsi="Times New Roman" w:cs="Times New Roman"/>
          <w:sz w:val="24"/>
          <w:szCs w:val="24"/>
        </w:rPr>
        <w:t>Tonkonoff</w:t>
      </w:r>
      <w:proofErr w:type="spellEnd"/>
      <w:r w:rsidR="00284479">
        <w:rPr>
          <w:rFonts w:ascii="Times New Roman" w:hAnsi="Times New Roman" w:cs="Times New Roman"/>
          <w:sz w:val="24"/>
          <w:szCs w:val="24"/>
        </w:rPr>
        <w:t xml:space="preserve"> y </w:t>
      </w:r>
      <w:r w:rsidR="00F52C4E" w:rsidRPr="00F52C4E">
        <w:rPr>
          <w:rFonts w:ascii="Times New Roman" w:hAnsi="Times New Roman" w:cs="Times New Roman"/>
          <w:sz w:val="24"/>
          <w:szCs w:val="24"/>
        </w:rPr>
        <w:t>radicado en el Instituto de Investigaciones Gino Germani)</w:t>
      </w:r>
      <w:r w:rsidR="00256332" w:rsidRPr="00F52C4E">
        <w:rPr>
          <w:rFonts w:ascii="Times New Roman" w:hAnsi="Times New Roman" w:cs="Times New Roman"/>
          <w:sz w:val="24"/>
          <w:szCs w:val="24"/>
        </w:rPr>
        <w:t>,</w:t>
      </w:r>
      <w:r w:rsidR="00256332">
        <w:rPr>
          <w:rFonts w:ascii="Times New Roman" w:hAnsi="Times New Roman" w:cs="Times New Roman"/>
          <w:sz w:val="24"/>
          <w:szCs w:val="24"/>
        </w:rPr>
        <w:t xml:space="preserve"> y como </w:t>
      </w:r>
      <w:r>
        <w:rPr>
          <w:rFonts w:ascii="Times New Roman" w:hAnsi="Times New Roman" w:cs="Times New Roman"/>
          <w:sz w:val="24"/>
          <w:szCs w:val="24"/>
        </w:rPr>
        <w:t xml:space="preserve">estudiante del Doctorado en Ciencias Sociales en la Universidad de Buenos Aires. </w:t>
      </w:r>
      <w:r w:rsidR="00220A18">
        <w:rPr>
          <w:rFonts w:ascii="Times New Roman" w:hAnsi="Times New Roman" w:cs="Times New Roman"/>
          <w:sz w:val="24"/>
          <w:szCs w:val="24"/>
        </w:rPr>
        <w:t xml:space="preserve">Una de las preocupaciones </w:t>
      </w:r>
      <w:r w:rsidR="0097199B">
        <w:rPr>
          <w:rFonts w:ascii="Times New Roman" w:hAnsi="Times New Roman" w:cs="Times New Roman"/>
          <w:sz w:val="24"/>
          <w:szCs w:val="24"/>
        </w:rPr>
        <w:t xml:space="preserve">principales </w:t>
      </w:r>
      <w:r w:rsidR="00220A18">
        <w:rPr>
          <w:rFonts w:ascii="Times New Roman" w:hAnsi="Times New Roman" w:cs="Times New Roman"/>
          <w:sz w:val="24"/>
          <w:szCs w:val="24"/>
        </w:rPr>
        <w:t>de dicha investigación refiere a</w:t>
      </w:r>
      <w:r w:rsidR="0097199B">
        <w:rPr>
          <w:rFonts w:ascii="Times New Roman" w:hAnsi="Times New Roman" w:cs="Times New Roman"/>
          <w:sz w:val="24"/>
          <w:szCs w:val="24"/>
        </w:rPr>
        <w:t xml:space="preserve"> la utilización </w:t>
      </w:r>
      <w:r w:rsidR="00220A18">
        <w:rPr>
          <w:rFonts w:ascii="Times New Roman" w:hAnsi="Times New Roman" w:cs="Times New Roman"/>
          <w:sz w:val="24"/>
          <w:szCs w:val="24"/>
        </w:rPr>
        <w:t>de la figura de la legítima defensa</w:t>
      </w:r>
      <w:r w:rsidR="00F54236">
        <w:rPr>
          <w:rFonts w:ascii="Times New Roman" w:hAnsi="Times New Roman" w:cs="Times New Roman"/>
          <w:sz w:val="24"/>
          <w:szCs w:val="24"/>
        </w:rPr>
        <w:t xml:space="preserve"> por parte de jueces y fiscales</w:t>
      </w:r>
      <w:r w:rsidR="00220A18">
        <w:rPr>
          <w:rFonts w:ascii="Times New Roman" w:hAnsi="Times New Roman" w:cs="Times New Roman"/>
          <w:sz w:val="24"/>
          <w:szCs w:val="24"/>
        </w:rPr>
        <w:t xml:space="preserve">, </w:t>
      </w:r>
      <w:r w:rsidR="00F54236">
        <w:rPr>
          <w:rFonts w:ascii="Times New Roman" w:hAnsi="Times New Roman" w:cs="Times New Roman"/>
          <w:sz w:val="24"/>
          <w:szCs w:val="24"/>
        </w:rPr>
        <w:t>y</w:t>
      </w:r>
      <w:r w:rsidR="00220A18">
        <w:rPr>
          <w:rFonts w:ascii="Times New Roman" w:hAnsi="Times New Roman" w:cs="Times New Roman"/>
          <w:sz w:val="24"/>
          <w:szCs w:val="24"/>
        </w:rPr>
        <w:t xml:space="preserve"> este trabajo es </w:t>
      </w:r>
      <w:r w:rsidR="00B03F16">
        <w:rPr>
          <w:rFonts w:ascii="Times New Roman" w:hAnsi="Times New Roman" w:cs="Times New Roman"/>
          <w:sz w:val="24"/>
          <w:szCs w:val="24"/>
        </w:rPr>
        <w:t xml:space="preserve">el primer acercamiento </w:t>
      </w:r>
      <w:r w:rsidR="00F54236">
        <w:rPr>
          <w:rFonts w:ascii="Times New Roman" w:hAnsi="Times New Roman" w:cs="Times New Roman"/>
          <w:sz w:val="24"/>
          <w:szCs w:val="24"/>
        </w:rPr>
        <w:t>a esta problemática.</w:t>
      </w:r>
    </w:p>
    <w:p w14:paraId="263BDF2B" w14:textId="77777777" w:rsidR="00F54236" w:rsidRDefault="00F54236" w:rsidP="00554D20">
      <w:pPr>
        <w:spacing w:line="360" w:lineRule="auto"/>
        <w:jc w:val="both"/>
        <w:rPr>
          <w:rFonts w:ascii="Times New Roman" w:hAnsi="Times New Roman" w:cs="Times New Roman"/>
          <w:sz w:val="24"/>
          <w:szCs w:val="24"/>
        </w:rPr>
      </w:pPr>
    </w:p>
    <w:p w14:paraId="33FA16CB" w14:textId="2E3444B0" w:rsidR="00554D20" w:rsidRDefault="00AD720E" w:rsidP="00554D20">
      <w:pPr>
        <w:spacing w:line="360" w:lineRule="auto"/>
        <w:jc w:val="both"/>
        <w:rPr>
          <w:rFonts w:ascii="Times New Roman" w:hAnsi="Times New Roman" w:cs="Times New Roman"/>
          <w:sz w:val="24"/>
          <w:szCs w:val="24"/>
        </w:rPr>
      </w:pPr>
      <w:r w:rsidRPr="00144F56">
        <w:rPr>
          <w:rFonts w:ascii="Times New Roman" w:hAnsi="Times New Roman" w:cs="Times New Roman"/>
          <w:sz w:val="24"/>
          <w:szCs w:val="24"/>
        </w:rPr>
        <w:t xml:space="preserve">Una mirada </w:t>
      </w:r>
      <w:r w:rsidR="00AF0E85">
        <w:rPr>
          <w:rFonts w:ascii="Times New Roman" w:hAnsi="Times New Roman" w:cs="Times New Roman"/>
          <w:sz w:val="24"/>
          <w:szCs w:val="24"/>
        </w:rPr>
        <w:t xml:space="preserve">general </w:t>
      </w:r>
      <w:r w:rsidRPr="00144F56">
        <w:rPr>
          <w:rFonts w:ascii="Times New Roman" w:hAnsi="Times New Roman" w:cs="Times New Roman"/>
          <w:sz w:val="24"/>
          <w:szCs w:val="24"/>
        </w:rPr>
        <w:t xml:space="preserve">sobre </w:t>
      </w:r>
      <w:r w:rsidR="00144F56" w:rsidRPr="00144F56">
        <w:rPr>
          <w:rFonts w:ascii="Times New Roman" w:hAnsi="Times New Roman" w:cs="Times New Roman"/>
          <w:sz w:val="24"/>
          <w:szCs w:val="24"/>
        </w:rPr>
        <w:t xml:space="preserve">las penas que </w:t>
      </w:r>
      <w:r w:rsidR="00E35F0A">
        <w:rPr>
          <w:rFonts w:ascii="Times New Roman" w:hAnsi="Times New Roman" w:cs="Times New Roman"/>
          <w:sz w:val="24"/>
          <w:szCs w:val="24"/>
        </w:rPr>
        <w:t>fija</w:t>
      </w:r>
      <w:r w:rsidR="00144F56" w:rsidRPr="00144F56">
        <w:rPr>
          <w:rFonts w:ascii="Times New Roman" w:hAnsi="Times New Roman" w:cs="Times New Roman"/>
          <w:sz w:val="24"/>
          <w:szCs w:val="24"/>
        </w:rPr>
        <w:t xml:space="preserve"> el</w:t>
      </w:r>
      <w:r w:rsidRPr="00144F56">
        <w:rPr>
          <w:rFonts w:ascii="Times New Roman" w:hAnsi="Times New Roman" w:cs="Times New Roman"/>
          <w:sz w:val="24"/>
          <w:szCs w:val="24"/>
        </w:rPr>
        <w:t xml:space="preserve"> código penal argentino </w:t>
      </w:r>
      <w:r w:rsidR="00144F56">
        <w:rPr>
          <w:rFonts w:ascii="Times New Roman" w:hAnsi="Times New Roman" w:cs="Times New Roman"/>
          <w:sz w:val="24"/>
          <w:szCs w:val="24"/>
        </w:rPr>
        <w:t xml:space="preserve">permite </w:t>
      </w:r>
      <w:r w:rsidR="00090ABB">
        <w:rPr>
          <w:rFonts w:ascii="Times New Roman" w:hAnsi="Times New Roman" w:cs="Times New Roman"/>
          <w:sz w:val="24"/>
          <w:szCs w:val="24"/>
        </w:rPr>
        <w:t>afirmar</w:t>
      </w:r>
      <w:r w:rsidR="00144F56">
        <w:rPr>
          <w:rFonts w:ascii="Times New Roman" w:hAnsi="Times New Roman" w:cs="Times New Roman"/>
          <w:sz w:val="24"/>
          <w:szCs w:val="24"/>
        </w:rPr>
        <w:t xml:space="preserve"> que el homicidio </w:t>
      </w:r>
      <w:r w:rsidR="00B07553">
        <w:rPr>
          <w:rFonts w:ascii="Times New Roman" w:hAnsi="Times New Roman" w:cs="Times New Roman"/>
          <w:sz w:val="24"/>
          <w:szCs w:val="24"/>
        </w:rPr>
        <w:t xml:space="preserve">doloso </w:t>
      </w:r>
      <w:r w:rsidR="00144F56">
        <w:rPr>
          <w:rFonts w:ascii="Times New Roman" w:hAnsi="Times New Roman" w:cs="Times New Roman"/>
          <w:sz w:val="24"/>
          <w:szCs w:val="24"/>
        </w:rPr>
        <w:t xml:space="preserve">es </w:t>
      </w:r>
      <w:r w:rsidR="00030857">
        <w:rPr>
          <w:rFonts w:ascii="Times New Roman" w:hAnsi="Times New Roman" w:cs="Times New Roman"/>
          <w:sz w:val="24"/>
          <w:szCs w:val="24"/>
        </w:rPr>
        <w:t>el delito</w:t>
      </w:r>
      <w:r w:rsidR="00144F56">
        <w:rPr>
          <w:rFonts w:ascii="Times New Roman" w:hAnsi="Times New Roman" w:cs="Times New Roman"/>
          <w:sz w:val="24"/>
          <w:szCs w:val="24"/>
        </w:rPr>
        <w:t xml:space="preserve"> con los castigos más altos. </w:t>
      </w:r>
      <w:r w:rsidR="00B07553">
        <w:rPr>
          <w:rFonts w:ascii="Times New Roman" w:hAnsi="Times New Roman" w:cs="Times New Roman"/>
          <w:sz w:val="24"/>
          <w:szCs w:val="24"/>
        </w:rPr>
        <w:t xml:space="preserve">La escala penal establece que </w:t>
      </w:r>
      <w:r w:rsidR="009B67D3">
        <w:rPr>
          <w:rFonts w:ascii="Times New Roman" w:hAnsi="Times New Roman" w:cs="Times New Roman"/>
          <w:sz w:val="24"/>
          <w:szCs w:val="24"/>
        </w:rPr>
        <w:t>este</w:t>
      </w:r>
      <w:r w:rsidR="00B07553">
        <w:rPr>
          <w:rFonts w:ascii="Times New Roman" w:hAnsi="Times New Roman" w:cs="Times New Roman"/>
          <w:sz w:val="24"/>
          <w:szCs w:val="24"/>
        </w:rPr>
        <w:t xml:space="preserve"> delito </w:t>
      </w:r>
      <w:r w:rsidR="00D525B1">
        <w:rPr>
          <w:rFonts w:ascii="Times New Roman" w:hAnsi="Times New Roman" w:cs="Times New Roman"/>
          <w:sz w:val="24"/>
          <w:szCs w:val="24"/>
        </w:rPr>
        <w:t>debe</w:t>
      </w:r>
      <w:r w:rsidR="00B07553">
        <w:rPr>
          <w:rFonts w:ascii="Times New Roman" w:hAnsi="Times New Roman" w:cs="Times New Roman"/>
          <w:sz w:val="24"/>
          <w:szCs w:val="24"/>
        </w:rPr>
        <w:t xml:space="preserve"> castigarse con entre 8 y 25 </w:t>
      </w:r>
      <w:r w:rsidR="009B67D3">
        <w:rPr>
          <w:rFonts w:ascii="Times New Roman" w:hAnsi="Times New Roman" w:cs="Times New Roman"/>
          <w:sz w:val="24"/>
          <w:szCs w:val="24"/>
        </w:rPr>
        <w:t xml:space="preserve">años </w:t>
      </w:r>
      <w:r w:rsidR="00B07553">
        <w:rPr>
          <w:rFonts w:ascii="Times New Roman" w:hAnsi="Times New Roman" w:cs="Times New Roman"/>
          <w:sz w:val="24"/>
          <w:szCs w:val="24"/>
        </w:rPr>
        <w:t>de prisión o, en caso de homicidio</w:t>
      </w:r>
      <w:r w:rsidR="009B67D3">
        <w:rPr>
          <w:rFonts w:ascii="Times New Roman" w:hAnsi="Times New Roman" w:cs="Times New Roman"/>
          <w:sz w:val="24"/>
          <w:szCs w:val="24"/>
        </w:rPr>
        <w:t>s</w:t>
      </w:r>
      <w:r w:rsidR="00B07553">
        <w:rPr>
          <w:rFonts w:ascii="Times New Roman" w:hAnsi="Times New Roman" w:cs="Times New Roman"/>
          <w:sz w:val="24"/>
          <w:szCs w:val="24"/>
        </w:rPr>
        <w:t xml:space="preserve"> agravado</w:t>
      </w:r>
      <w:r w:rsidR="009B67D3">
        <w:rPr>
          <w:rFonts w:ascii="Times New Roman" w:hAnsi="Times New Roman" w:cs="Times New Roman"/>
          <w:sz w:val="24"/>
          <w:szCs w:val="24"/>
        </w:rPr>
        <w:t>s</w:t>
      </w:r>
      <w:r w:rsidR="00B07553">
        <w:rPr>
          <w:rFonts w:ascii="Times New Roman" w:hAnsi="Times New Roman" w:cs="Times New Roman"/>
          <w:sz w:val="24"/>
          <w:szCs w:val="24"/>
        </w:rPr>
        <w:t>, con pena</w:t>
      </w:r>
      <w:r w:rsidR="009B67D3">
        <w:rPr>
          <w:rFonts w:ascii="Times New Roman" w:hAnsi="Times New Roman" w:cs="Times New Roman"/>
          <w:sz w:val="24"/>
          <w:szCs w:val="24"/>
        </w:rPr>
        <w:t>s</w:t>
      </w:r>
      <w:r w:rsidR="00B07553">
        <w:rPr>
          <w:rFonts w:ascii="Times New Roman" w:hAnsi="Times New Roman" w:cs="Times New Roman"/>
          <w:sz w:val="24"/>
          <w:szCs w:val="24"/>
        </w:rPr>
        <w:t xml:space="preserve"> perpetua</w:t>
      </w:r>
      <w:r w:rsidR="009B67D3">
        <w:rPr>
          <w:rFonts w:ascii="Times New Roman" w:hAnsi="Times New Roman" w:cs="Times New Roman"/>
          <w:sz w:val="24"/>
          <w:szCs w:val="24"/>
        </w:rPr>
        <w:t>s</w:t>
      </w:r>
      <w:r w:rsidR="009B67D3">
        <w:rPr>
          <w:rStyle w:val="Refdenotaalpie"/>
          <w:rFonts w:ascii="Times New Roman" w:hAnsi="Times New Roman" w:cs="Times New Roman"/>
          <w:sz w:val="24"/>
          <w:szCs w:val="24"/>
        </w:rPr>
        <w:footnoteReference w:id="1"/>
      </w:r>
      <w:r w:rsidR="00B07553">
        <w:rPr>
          <w:rFonts w:ascii="Times New Roman" w:hAnsi="Times New Roman" w:cs="Times New Roman"/>
          <w:sz w:val="24"/>
          <w:szCs w:val="24"/>
        </w:rPr>
        <w:t xml:space="preserve">. </w:t>
      </w:r>
      <w:r w:rsidR="009D19AB">
        <w:rPr>
          <w:rFonts w:ascii="Times New Roman" w:hAnsi="Times New Roman" w:cs="Times New Roman"/>
          <w:sz w:val="24"/>
          <w:szCs w:val="24"/>
        </w:rPr>
        <w:t>L</w:t>
      </w:r>
      <w:r w:rsidR="00110F01">
        <w:rPr>
          <w:rFonts w:ascii="Times New Roman" w:hAnsi="Times New Roman" w:cs="Times New Roman"/>
          <w:sz w:val="24"/>
          <w:szCs w:val="24"/>
        </w:rPr>
        <w:t>a vida sería</w:t>
      </w:r>
      <w:r w:rsidR="009D19AB">
        <w:rPr>
          <w:rFonts w:ascii="Times New Roman" w:hAnsi="Times New Roman" w:cs="Times New Roman"/>
          <w:sz w:val="24"/>
          <w:szCs w:val="24"/>
        </w:rPr>
        <w:t>,</w:t>
      </w:r>
      <w:r w:rsidR="00110F01">
        <w:rPr>
          <w:rFonts w:ascii="Times New Roman" w:hAnsi="Times New Roman" w:cs="Times New Roman"/>
          <w:sz w:val="24"/>
          <w:szCs w:val="24"/>
        </w:rPr>
        <w:t xml:space="preserve"> </w:t>
      </w:r>
      <w:r w:rsidR="007E3347">
        <w:rPr>
          <w:rFonts w:ascii="Times New Roman" w:hAnsi="Times New Roman" w:cs="Times New Roman"/>
          <w:sz w:val="24"/>
          <w:szCs w:val="24"/>
        </w:rPr>
        <w:t>entonces</w:t>
      </w:r>
      <w:r w:rsidR="009D19AB">
        <w:rPr>
          <w:rFonts w:ascii="Times New Roman" w:hAnsi="Times New Roman" w:cs="Times New Roman"/>
          <w:sz w:val="24"/>
          <w:szCs w:val="24"/>
        </w:rPr>
        <w:t>,</w:t>
      </w:r>
      <w:r w:rsidR="007E3347">
        <w:rPr>
          <w:rFonts w:ascii="Times New Roman" w:hAnsi="Times New Roman" w:cs="Times New Roman"/>
          <w:sz w:val="24"/>
          <w:szCs w:val="24"/>
        </w:rPr>
        <w:t xml:space="preserve"> </w:t>
      </w:r>
      <w:r w:rsidR="00110F01">
        <w:rPr>
          <w:rFonts w:ascii="Times New Roman" w:hAnsi="Times New Roman" w:cs="Times New Roman"/>
          <w:sz w:val="24"/>
          <w:szCs w:val="24"/>
        </w:rPr>
        <w:t>de los bienes jurídicos más “valorados”</w:t>
      </w:r>
      <w:r w:rsidR="0031493B">
        <w:rPr>
          <w:rFonts w:ascii="Times New Roman" w:hAnsi="Times New Roman" w:cs="Times New Roman"/>
          <w:sz w:val="24"/>
          <w:szCs w:val="24"/>
        </w:rPr>
        <w:t>, más protegidos,</w:t>
      </w:r>
      <w:r w:rsidR="007E3347">
        <w:rPr>
          <w:rFonts w:ascii="Times New Roman" w:hAnsi="Times New Roman" w:cs="Times New Roman"/>
          <w:sz w:val="24"/>
          <w:szCs w:val="24"/>
        </w:rPr>
        <w:t xml:space="preserve"> </w:t>
      </w:r>
      <w:r w:rsidR="00110F01">
        <w:rPr>
          <w:rFonts w:ascii="Times New Roman" w:hAnsi="Times New Roman" w:cs="Times New Roman"/>
          <w:sz w:val="24"/>
          <w:szCs w:val="24"/>
        </w:rPr>
        <w:t xml:space="preserve">por el sistema penal. </w:t>
      </w:r>
      <w:r w:rsidR="0031493B">
        <w:rPr>
          <w:rFonts w:ascii="Times New Roman" w:hAnsi="Times New Roman" w:cs="Times New Roman"/>
          <w:sz w:val="24"/>
          <w:szCs w:val="24"/>
        </w:rPr>
        <w:t>Y esto por cuanto rige una prohibición general de dar muerte a otras personas</w:t>
      </w:r>
      <w:r w:rsidR="006B4FE5">
        <w:rPr>
          <w:rFonts w:ascii="Times New Roman" w:hAnsi="Times New Roman" w:cs="Times New Roman"/>
          <w:sz w:val="24"/>
          <w:szCs w:val="24"/>
        </w:rPr>
        <w:t xml:space="preserve"> —y esto vale tanto para los homicidios intencionales como para los culposos</w:t>
      </w:r>
      <w:r w:rsidR="004B7E43">
        <w:rPr>
          <w:rFonts w:ascii="Times New Roman" w:hAnsi="Times New Roman" w:cs="Times New Roman"/>
          <w:sz w:val="24"/>
          <w:szCs w:val="24"/>
        </w:rPr>
        <w:t>— que, de ser transgredida, reclama las penas más severas</w:t>
      </w:r>
      <w:r w:rsidR="0031493B">
        <w:rPr>
          <w:rFonts w:ascii="Times New Roman" w:hAnsi="Times New Roman" w:cs="Times New Roman"/>
          <w:sz w:val="24"/>
          <w:szCs w:val="24"/>
        </w:rPr>
        <w:t xml:space="preserve">. </w:t>
      </w:r>
      <w:r w:rsidR="00144F56">
        <w:rPr>
          <w:rFonts w:ascii="Times New Roman" w:hAnsi="Times New Roman" w:cs="Times New Roman"/>
          <w:sz w:val="24"/>
          <w:szCs w:val="24"/>
        </w:rPr>
        <w:t xml:space="preserve">No obstante, aun estableciendo la </w:t>
      </w:r>
      <w:r w:rsidR="00144F56">
        <w:rPr>
          <w:rFonts w:ascii="Times New Roman" w:hAnsi="Times New Roman" w:cs="Times New Roman"/>
          <w:sz w:val="24"/>
          <w:szCs w:val="24"/>
        </w:rPr>
        <w:lastRenderedPageBreak/>
        <w:t xml:space="preserve">prohibición de </w:t>
      </w:r>
      <w:r w:rsidR="00B7435C">
        <w:rPr>
          <w:rFonts w:ascii="Times New Roman" w:hAnsi="Times New Roman" w:cs="Times New Roman"/>
          <w:sz w:val="24"/>
          <w:szCs w:val="24"/>
        </w:rPr>
        <w:t>matar como</w:t>
      </w:r>
      <w:r w:rsidR="00144F56">
        <w:rPr>
          <w:rFonts w:ascii="Times New Roman" w:hAnsi="Times New Roman" w:cs="Times New Roman"/>
          <w:sz w:val="24"/>
          <w:szCs w:val="24"/>
        </w:rPr>
        <w:t xml:space="preserve"> regla</w:t>
      </w:r>
      <w:r w:rsidR="00110F01">
        <w:rPr>
          <w:rFonts w:ascii="Times New Roman" w:hAnsi="Times New Roman" w:cs="Times New Roman"/>
          <w:sz w:val="24"/>
          <w:szCs w:val="24"/>
        </w:rPr>
        <w:t xml:space="preserve"> general</w:t>
      </w:r>
      <w:r w:rsidR="00144F56">
        <w:rPr>
          <w:rFonts w:ascii="Times New Roman" w:hAnsi="Times New Roman" w:cs="Times New Roman"/>
          <w:sz w:val="24"/>
          <w:szCs w:val="24"/>
        </w:rPr>
        <w:t>, el código introduce</w:t>
      </w:r>
      <w:r w:rsidR="00F93B49">
        <w:rPr>
          <w:rFonts w:ascii="Times New Roman" w:hAnsi="Times New Roman" w:cs="Times New Roman"/>
          <w:sz w:val="24"/>
          <w:szCs w:val="24"/>
        </w:rPr>
        <w:t>, a la vez,</w:t>
      </w:r>
      <w:r w:rsidR="00144F56">
        <w:rPr>
          <w:rFonts w:ascii="Times New Roman" w:hAnsi="Times New Roman" w:cs="Times New Roman"/>
          <w:sz w:val="24"/>
          <w:szCs w:val="24"/>
        </w:rPr>
        <w:t xml:space="preserve"> </w:t>
      </w:r>
      <w:r w:rsidR="00110F01">
        <w:rPr>
          <w:rFonts w:ascii="Times New Roman" w:hAnsi="Times New Roman" w:cs="Times New Roman"/>
          <w:sz w:val="24"/>
          <w:szCs w:val="24"/>
        </w:rPr>
        <w:t>una</w:t>
      </w:r>
      <w:r w:rsidR="00F93B49">
        <w:rPr>
          <w:rFonts w:ascii="Times New Roman" w:hAnsi="Times New Roman" w:cs="Times New Roman"/>
          <w:sz w:val="24"/>
          <w:szCs w:val="24"/>
        </w:rPr>
        <w:t xml:space="preserve"> excepción a dicha regla</w:t>
      </w:r>
      <w:r w:rsidR="009D19AB">
        <w:rPr>
          <w:rFonts w:ascii="Times New Roman" w:hAnsi="Times New Roman" w:cs="Times New Roman"/>
          <w:sz w:val="24"/>
          <w:szCs w:val="24"/>
        </w:rPr>
        <w:t xml:space="preserve"> a través de la figura de la legítima defensa</w:t>
      </w:r>
      <w:r w:rsidR="00F93B49">
        <w:rPr>
          <w:rFonts w:ascii="Times New Roman" w:hAnsi="Times New Roman" w:cs="Times New Roman"/>
          <w:sz w:val="24"/>
          <w:szCs w:val="24"/>
        </w:rPr>
        <w:t xml:space="preserve">. Excepción que muestra que, en determinadas circunstancias, matar </w:t>
      </w:r>
      <w:r w:rsidR="00F55ECD">
        <w:rPr>
          <w:rFonts w:ascii="Times New Roman" w:hAnsi="Times New Roman" w:cs="Times New Roman"/>
          <w:sz w:val="24"/>
          <w:szCs w:val="24"/>
        </w:rPr>
        <w:t xml:space="preserve">no es </w:t>
      </w:r>
      <w:r w:rsidR="00F93B49">
        <w:rPr>
          <w:rFonts w:ascii="Times New Roman" w:hAnsi="Times New Roman" w:cs="Times New Roman"/>
          <w:sz w:val="24"/>
          <w:szCs w:val="24"/>
        </w:rPr>
        <w:t>un</w:t>
      </w:r>
      <w:r w:rsidR="00D42D71">
        <w:rPr>
          <w:rFonts w:ascii="Times New Roman" w:hAnsi="Times New Roman" w:cs="Times New Roman"/>
          <w:sz w:val="24"/>
          <w:szCs w:val="24"/>
        </w:rPr>
        <w:t>a conducta punible</w:t>
      </w:r>
      <w:r w:rsidR="002E6822">
        <w:rPr>
          <w:rFonts w:ascii="Times New Roman" w:hAnsi="Times New Roman" w:cs="Times New Roman"/>
          <w:sz w:val="24"/>
          <w:szCs w:val="24"/>
        </w:rPr>
        <w:t xml:space="preserve"> (pues no es </w:t>
      </w:r>
      <w:r w:rsidR="00E04AEA">
        <w:rPr>
          <w:rFonts w:ascii="Times New Roman" w:hAnsi="Times New Roman" w:cs="Times New Roman"/>
          <w:sz w:val="24"/>
          <w:szCs w:val="24"/>
        </w:rPr>
        <w:t xml:space="preserve">calificada como </w:t>
      </w:r>
      <w:r w:rsidR="00071012">
        <w:rPr>
          <w:rFonts w:ascii="Times New Roman" w:hAnsi="Times New Roman" w:cs="Times New Roman"/>
          <w:sz w:val="24"/>
          <w:szCs w:val="24"/>
        </w:rPr>
        <w:t xml:space="preserve">un </w:t>
      </w:r>
      <w:r w:rsidR="002E6822">
        <w:rPr>
          <w:rFonts w:ascii="Times New Roman" w:hAnsi="Times New Roman" w:cs="Times New Roman"/>
          <w:sz w:val="24"/>
          <w:szCs w:val="24"/>
        </w:rPr>
        <w:t>homicidio</w:t>
      </w:r>
      <w:r w:rsidR="00071012">
        <w:rPr>
          <w:rFonts w:ascii="Times New Roman" w:hAnsi="Times New Roman" w:cs="Times New Roman"/>
          <w:sz w:val="24"/>
          <w:szCs w:val="24"/>
        </w:rPr>
        <w:t xml:space="preserve"> —ni doloso ni culposo</w:t>
      </w:r>
      <w:r w:rsidR="002E6822">
        <w:rPr>
          <w:rFonts w:ascii="Times New Roman" w:hAnsi="Times New Roman" w:cs="Times New Roman"/>
          <w:sz w:val="24"/>
          <w:szCs w:val="24"/>
        </w:rPr>
        <w:t>)</w:t>
      </w:r>
      <w:r w:rsidR="00F93B49">
        <w:rPr>
          <w:rFonts w:ascii="Times New Roman" w:hAnsi="Times New Roman" w:cs="Times New Roman"/>
          <w:sz w:val="24"/>
          <w:szCs w:val="24"/>
        </w:rPr>
        <w:t>.</w:t>
      </w:r>
      <w:r w:rsidR="00110F01">
        <w:rPr>
          <w:rFonts w:ascii="Times New Roman" w:hAnsi="Times New Roman" w:cs="Times New Roman"/>
          <w:sz w:val="24"/>
          <w:szCs w:val="24"/>
        </w:rPr>
        <w:t xml:space="preserve"> </w:t>
      </w:r>
      <w:r w:rsidR="00E55326">
        <w:rPr>
          <w:rFonts w:ascii="Times New Roman" w:hAnsi="Times New Roman" w:cs="Times New Roman"/>
          <w:sz w:val="24"/>
          <w:szCs w:val="24"/>
        </w:rPr>
        <w:t xml:space="preserve">En este </w:t>
      </w:r>
      <w:r w:rsidR="004A2A97">
        <w:rPr>
          <w:rFonts w:ascii="Times New Roman" w:hAnsi="Times New Roman" w:cs="Times New Roman"/>
          <w:sz w:val="24"/>
          <w:szCs w:val="24"/>
        </w:rPr>
        <w:t>marco, el presente trabajo</w:t>
      </w:r>
      <w:r w:rsidR="00554D20">
        <w:rPr>
          <w:rFonts w:ascii="Times New Roman" w:hAnsi="Times New Roman" w:cs="Times New Roman"/>
          <w:sz w:val="24"/>
          <w:szCs w:val="24"/>
        </w:rPr>
        <w:t xml:space="preserve"> se propone</w:t>
      </w:r>
      <w:r w:rsidR="00071012">
        <w:rPr>
          <w:rFonts w:ascii="Times New Roman" w:hAnsi="Times New Roman" w:cs="Times New Roman"/>
          <w:sz w:val="24"/>
          <w:szCs w:val="24"/>
        </w:rPr>
        <w:t xml:space="preserve"> como</w:t>
      </w:r>
      <w:r w:rsidR="00554D20">
        <w:rPr>
          <w:rFonts w:ascii="Times New Roman" w:hAnsi="Times New Roman" w:cs="Times New Roman"/>
          <w:sz w:val="24"/>
          <w:szCs w:val="24"/>
        </w:rPr>
        <w:t xml:space="preserve"> </w:t>
      </w:r>
      <w:r w:rsidR="00071012">
        <w:rPr>
          <w:rFonts w:ascii="Times New Roman" w:hAnsi="Times New Roman" w:cs="Times New Roman"/>
          <w:sz w:val="24"/>
          <w:szCs w:val="24"/>
        </w:rPr>
        <w:t xml:space="preserve">una primera aproximación para </w:t>
      </w:r>
      <w:r w:rsidR="00DF524F">
        <w:rPr>
          <w:rFonts w:ascii="Times New Roman" w:hAnsi="Times New Roman" w:cs="Times New Roman"/>
          <w:sz w:val="24"/>
          <w:szCs w:val="24"/>
        </w:rPr>
        <w:t>pensar</w:t>
      </w:r>
      <w:r w:rsidR="00554D20">
        <w:rPr>
          <w:rFonts w:ascii="Times New Roman" w:hAnsi="Times New Roman" w:cs="Times New Roman"/>
          <w:sz w:val="24"/>
          <w:szCs w:val="24"/>
        </w:rPr>
        <w:t xml:space="preserve"> </w:t>
      </w:r>
      <w:r w:rsidR="00453392">
        <w:rPr>
          <w:rFonts w:ascii="Times New Roman" w:hAnsi="Times New Roman" w:cs="Times New Roman"/>
          <w:sz w:val="24"/>
          <w:szCs w:val="24"/>
        </w:rPr>
        <w:t>la relación entre la</w:t>
      </w:r>
      <w:r w:rsidR="004E66C6">
        <w:rPr>
          <w:rFonts w:ascii="Times New Roman" w:hAnsi="Times New Roman" w:cs="Times New Roman"/>
          <w:sz w:val="24"/>
          <w:szCs w:val="24"/>
        </w:rPr>
        <w:t xml:space="preserve"> regla y la excepción en lo que respecta a la prohibición de matar</w:t>
      </w:r>
      <w:r w:rsidR="00803A41">
        <w:rPr>
          <w:rFonts w:ascii="Times New Roman" w:hAnsi="Times New Roman" w:cs="Times New Roman"/>
          <w:sz w:val="24"/>
          <w:szCs w:val="24"/>
        </w:rPr>
        <w:t>, atendiendo particularmente a</w:t>
      </w:r>
      <w:r w:rsidR="00FE3EAA">
        <w:rPr>
          <w:rFonts w:ascii="Times New Roman" w:hAnsi="Times New Roman" w:cs="Times New Roman"/>
          <w:sz w:val="24"/>
          <w:szCs w:val="24"/>
        </w:rPr>
        <w:t xml:space="preserve"> la forma </w:t>
      </w:r>
      <w:r w:rsidR="00803A41">
        <w:rPr>
          <w:rFonts w:ascii="Times New Roman" w:hAnsi="Times New Roman" w:cs="Times New Roman"/>
          <w:sz w:val="24"/>
          <w:szCs w:val="24"/>
        </w:rPr>
        <w:t>(</w:t>
      </w:r>
      <w:r w:rsidR="00FE3EAA">
        <w:rPr>
          <w:rFonts w:ascii="Times New Roman" w:hAnsi="Times New Roman" w:cs="Times New Roman"/>
          <w:sz w:val="24"/>
          <w:szCs w:val="24"/>
        </w:rPr>
        <w:t>peculiar</w:t>
      </w:r>
      <w:r w:rsidR="00803A41">
        <w:rPr>
          <w:rFonts w:ascii="Times New Roman" w:hAnsi="Times New Roman" w:cs="Times New Roman"/>
          <w:sz w:val="24"/>
          <w:szCs w:val="24"/>
        </w:rPr>
        <w:t>)</w:t>
      </w:r>
      <w:r w:rsidR="00FE3EAA">
        <w:rPr>
          <w:rFonts w:ascii="Times New Roman" w:hAnsi="Times New Roman" w:cs="Times New Roman"/>
          <w:sz w:val="24"/>
          <w:szCs w:val="24"/>
        </w:rPr>
        <w:t xml:space="preserve"> </w:t>
      </w:r>
      <w:r w:rsidR="008B166A">
        <w:rPr>
          <w:rFonts w:ascii="Times New Roman" w:hAnsi="Times New Roman" w:cs="Times New Roman"/>
          <w:sz w:val="24"/>
          <w:szCs w:val="24"/>
        </w:rPr>
        <w:t xml:space="preserve">en que </w:t>
      </w:r>
      <w:r w:rsidR="004E3A1A" w:rsidRPr="00C0698D">
        <w:rPr>
          <w:rFonts w:ascii="Times New Roman" w:hAnsi="Times New Roman" w:cs="Times New Roman"/>
          <w:sz w:val="24"/>
          <w:szCs w:val="24"/>
        </w:rPr>
        <w:t>ella</w:t>
      </w:r>
      <w:r w:rsidR="008B166A" w:rsidRPr="00C0698D">
        <w:rPr>
          <w:rFonts w:ascii="Times New Roman" w:hAnsi="Times New Roman" w:cs="Times New Roman"/>
          <w:sz w:val="24"/>
          <w:szCs w:val="24"/>
        </w:rPr>
        <w:t xml:space="preserve"> estructura </w:t>
      </w:r>
      <w:r w:rsidR="00FD5183" w:rsidRPr="00C0698D">
        <w:rPr>
          <w:rFonts w:ascii="Times New Roman" w:hAnsi="Times New Roman" w:cs="Times New Roman"/>
          <w:sz w:val="24"/>
          <w:szCs w:val="24"/>
        </w:rPr>
        <w:t>un juego</w:t>
      </w:r>
      <w:r w:rsidR="00FD5183">
        <w:rPr>
          <w:rFonts w:ascii="Times New Roman" w:hAnsi="Times New Roman" w:cs="Times New Roman"/>
          <w:sz w:val="24"/>
          <w:szCs w:val="24"/>
        </w:rPr>
        <w:t xml:space="preserve"> (constante) entre </w:t>
      </w:r>
      <w:r w:rsidR="000A1A8C">
        <w:rPr>
          <w:rFonts w:ascii="Times New Roman" w:hAnsi="Times New Roman" w:cs="Times New Roman"/>
          <w:sz w:val="24"/>
          <w:szCs w:val="24"/>
        </w:rPr>
        <w:t>valor</w:t>
      </w:r>
      <w:r w:rsidR="00C6242B">
        <w:rPr>
          <w:rFonts w:ascii="Times New Roman" w:hAnsi="Times New Roman" w:cs="Times New Roman"/>
          <w:sz w:val="24"/>
          <w:szCs w:val="24"/>
        </w:rPr>
        <w:t>ación</w:t>
      </w:r>
      <w:r w:rsidR="00DD22B4">
        <w:rPr>
          <w:rFonts w:ascii="Times New Roman" w:hAnsi="Times New Roman" w:cs="Times New Roman"/>
          <w:sz w:val="24"/>
          <w:szCs w:val="24"/>
        </w:rPr>
        <w:t xml:space="preserve"> </w:t>
      </w:r>
      <w:r w:rsidR="005C1873">
        <w:rPr>
          <w:rFonts w:ascii="Times New Roman" w:hAnsi="Times New Roman" w:cs="Times New Roman"/>
          <w:sz w:val="24"/>
          <w:szCs w:val="24"/>
        </w:rPr>
        <w:t>y</w:t>
      </w:r>
      <w:r w:rsidR="00DD22B4">
        <w:rPr>
          <w:rFonts w:ascii="Times New Roman" w:hAnsi="Times New Roman" w:cs="Times New Roman"/>
          <w:sz w:val="24"/>
          <w:szCs w:val="24"/>
        </w:rPr>
        <w:t xml:space="preserve"> </w:t>
      </w:r>
      <w:proofErr w:type="spellStart"/>
      <w:r w:rsidR="000A1A8C">
        <w:rPr>
          <w:rFonts w:ascii="Times New Roman" w:hAnsi="Times New Roman" w:cs="Times New Roman"/>
          <w:sz w:val="24"/>
          <w:szCs w:val="24"/>
        </w:rPr>
        <w:t>dis</w:t>
      </w:r>
      <w:r w:rsidR="00C6242B">
        <w:rPr>
          <w:rFonts w:ascii="Times New Roman" w:hAnsi="Times New Roman" w:cs="Times New Roman"/>
          <w:sz w:val="24"/>
          <w:szCs w:val="24"/>
        </w:rPr>
        <w:t>-</w:t>
      </w:r>
      <w:r w:rsidR="000A1A8C">
        <w:rPr>
          <w:rFonts w:ascii="Times New Roman" w:hAnsi="Times New Roman" w:cs="Times New Roman"/>
          <w:sz w:val="24"/>
          <w:szCs w:val="24"/>
        </w:rPr>
        <w:t>valora</w:t>
      </w:r>
      <w:r w:rsidR="00C6242B">
        <w:rPr>
          <w:rFonts w:ascii="Times New Roman" w:hAnsi="Times New Roman" w:cs="Times New Roman"/>
          <w:sz w:val="24"/>
          <w:szCs w:val="24"/>
        </w:rPr>
        <w:t>ción</w:t>
      </w:r>
      <w:proofErr w:type="spellEnd"/>
      <w:r w:rsidR="000A1A8C">
        <w:rPr>
          <w:rFonts w:ascii="Times New Roman" w:hAnsi="Times New Roman" w:cs="Times New Roman"/>
          <w:sz w:val="24"/>
          <w:szCs w:val="24"/>
        </w:rPr>
        <w:t xml:space="preserve"> </w:t>
      </w:r>
      <w:r w:rsidR="008B166A">
        <w:rPr>
          <w:rFonts w:ascii="Times New Roman" w:hAnsi="Times New Roman" w:cs="Times New Roman"/>
          <w:sz w:val="24"/>
          <w:szCs w:val="24"/>
        </w:rPr>
        <w:t xml:space="preserve">de </w:t>
      </w:r>
      <w:r w:rsidR="000A1A8C">
        <w:rPr>
          <w:rFonts w:ascii="Times New Roman" w:hAnsi="Times New Roman" w:cs="Times New Roman"/>
          <w:sz w:val="24"/>
          <w:szCs w:val="24"/>
        </w:rPr>
        <w:t>la vida</w:t>
      </w:r>
      <w:r w:rsidR="00DF524F">
        <w:rPr>
          <w:rFonts w:ascii="Times New Roman" w:hAnsi="Times New Roman" w:cs="Times New Roman"/>
          <w:sz w:val="24"/>
          <w:szCs w:val="24"/>
        </w:rPr>
        <w:t>.</w:t>
      </w:r>
      <w:r w:rsidR="00186CE2">
        <w:rPr>
          <w:rFonts w:ascii="Times New Roman" w:hAnsi="Times New Roman" w:cs="Times New Roman"/>
          <w:sz w:val="24"/>
          <w:szCs w:val="24"/>
        </w:rPr>
        <w:t xml:space="preserve"> </w:t>
      </w:r>
      <w:r w:rsidR="00F649A8">
        <w:rPr>
          <w:rFonts w:ascii="Times New Roman" w:hAnsi="Times New Roman" w:cs="Times New Roman"/>
          <w:sz w:val="24"/>
          <w:szCs w:val="24"/>
        </w:rPr>
        <w:t>Y l</w:t>
      </w:r>
      <w:r w:rsidR="00186CE2">
        <w:rPr>
          <w:rFonts w:ascii="Times New Roman" w:hAnsi="Times New Roman" w:cs="Times New Roman"/>
          <w:sz w:val="24"/>
          <w:szCs w:val="24"/>
        </w:rPr>
        <w:t xml:space="preserve">o haremos centrándonos específicamente en </w:t>
      </w:r>
      <w:r w:rsidR="00876CD6">
        <w:rPr>
          <w:rFonts w:ascii="Times New Roman" w:hAnsi="Times New Roman" w:cs="Times New Roman"/>
          <w:sz w:val="24"/>
          <w:szCs w:val="24"/>
        </w:rPr>
        <w:t>la codificación jurídica</w:t>
      </w:r>
      <w:r w:rsidR="00471B4B">
        <w:rPr>
          <w:rFonts w:ascii="Times New Roman" w:hAnsi="Times New Roman" w:cs="Times New Roman"/>
          <w:sz w:val="24"/>
          <w:szCs w:val="24"/>
        </w:rPr>
        <w:t xml:space="preserve"> argentina</w:t>
      </w:r>
      <w:r w:rsidR="00876CD6">
        <w:rPr>
          <w:rFonts w:ascii="Times New Roman" w:hAnsi="Times New Roman" w:cs="Times New Roman"/>
          <w:sz w:val="24"/>
          <w:szCs w:val="24"/>
        </w:rPr>
        <w:t>.</w:t>
      </w:r>
      <w:r w:rsidR="00186CE2">
        <w:rPr>
          <w:rFonts w:ascii="Times New Roman" w:hAnsi="Times New Roman" w:cs="Times New Roman"/>
          <w:sz w:val="24"/>
          <w:szCs w:val="24"/>
        </w:rPr>
        <w:t xml:space="preserve"> </w:t>
      </w:r>
    </w:p>
    <w:p w14:paraId="6BC0D8C3" w14:textId="5317F238" w:rsidR="00C06BD1" w:rsidRDefault="00F3093F" w:rsidP="009C362F">
      <w:pPr>
        <w:spacing w:line="360" w:lineRule="auto"/>
        <w:jc w:val="both"/>
        <w:rPr>
          <w:rFonts w:ascii="Times New Roman" w:hAnsi="Times New Roman"/>
          <w:bCs/>
          <w:iCs/>
          <w:color w:val="000000"/>
          <w:sz w:val="24"/>
          <w:szCs w:val="24"/>
        </w:rPr>
      </w:pPr>
      <w:r>
        <w:rPr>
          <w:rFonts w:ascii="Times New Roman" w:hAnsi="Times New Roman" w:cs="Times New Roman"/>
          <w:sz w:val="24"/>
          <w:szCs w:val="24"/>
        </w:rPr>
        <w:t>La figura de la legítima</w:t>
      </w:r>
      <w:r w:rsidR="00B34815">
        <w:rPr>
          <w:rFonts w:ascii="Times New Roman" w:hAnsi="Times New Roman" w:cs="Times New Roman"/>
          <w:sz w:val="24"/>
          <w:szCs w:val="24"/>
        </w:rPr>
        <w:t xml:space="preserve"> defensa</w:t>
      </w:r>
      <w:r>
        <w:rPr>
          <w:rFonts w:ascii="Times New Roman" w:hAnsi="Times New Roman" w:cs="Times New Roman"/>
          <w:sz w:val="24"/>
          <w:szCs w:val="24"/>
        </w:rPr>
        <w:t xml:space="preserve"> es, entonces, la excepción a la regla general que prohíbe dar muerte a otra persona. </w:t>
      </w:r>
      <w:r w:rsidR="009C362F">
        <w:rPr>
          <w:rFonts w:ascii="Times New Roman" w:hAnsi="Times New Roman"/>
          <w:bCs/>
          <w:iCs/>
          <w:color w:val="000000"/>
          <w:sz w:val="24"/>
          <w:szCs w:val="24"/>
        </w:rPr>
        <w:t>Si bien en Argentina hay, desde el punto de vista estadístico, pocos casos definidos por el sistema penal como</w:t>
      </w:r>
      <w:r w:rsidR="00205E34">
        <w:rPr>
          <w:rFonts w:ascii="Times New Roman" w:hAnsi="Times New Roman"/>
          <w:bCs/>
          <w:iCs/>
          <w:color w:val="000000"/>
          <w:sz w:val="24"/>
          <w:szCs w:val="24"/>
        </w:rPr>
        <w:t xml:space="preserve"> casos de</w:t>
      </w:r>
      <w:r w:rsidR="009C362F">
        <w:rPr>
          <w:rFonts w:ascii="Times New Roman" w:hAnsi="Times New Roman"/>
          <w:bCs/>
          <w:iCs/>
          <w:color w:val="000000"/>
          <w:sz w:val="24"/>
          <w:szCs w:val="24"/>
        </w:rPr>
        <w:t xml:space="preserve"> ‘legítima defensa’</w:t>
      </w:r>
      <w:r w:rsidR="009C362F">
        <w:rPr>
          <w:rStyle w:val="Refdenotaalpie"/>
          <w:rFonts w:ascii="Times New Roman" w:hAnsi="Times New Roman"/>
          <w:bCs/>
          <w:iCs/>
          <w:color w:val="000000"/>
          <w:sz w:val="24"/>
          <w:szCs w:val="24"/>
        </w:rPr>
        <w:footnoteReference w:id="2"/>
      </w:r>
      <w:r w:rsidR="009C362F">
        <w:rPr>
          <w:rFonts w:ascii="Times New Roman" w:hAnsi="Times New Roman"/>
          <w:bCs/>
          <w:iCs/>
          <w:color w:val="000000"/>
          <w:sz w:val="24"/>
          <w:szCs w:val="24"/>
        </w:rPr>
        <w:t xml:space="preserve">, consideramos que merecen especial atención dada su </w:t>
      </w:r>
      <w:r w:rsidR="009C362F">
        <w:rPr>
          <w:rFonts w:ascii="Times New Roman" w:hAnsi="Times New Roman"/>
          <w:bCs/>
          <w:i/>
          <w:color w:val="000000"/>
          <w:sz w:val="24"/>
          <w:szCs w:val="24"/>
        </w:rPr>
        <w:t>naturaleza excepcional</w:t>
      </w:r>
      <w:r w:rsidR="009C362F">
        <w:rPr>
          <w:rFonts w:ascii="Times New Roman" w:hAnsi="Times New Roman"/>
          <w:bCs/>
          <w:iCs/>
          <w:color w:val="000000"/>
          <w:sz w:val="24"/>
          <w:szCs w:val="24"/>
        </w:rPr>
        <w:t xml:space="preserve">. Pero donde excepcional refiere no solo, y </w:t>
      </w:r>
      <w:r w:rsidR="00A2619E">
        <w:rPr>
          <w:rFonts w:ascii="Times New Roman" w:hAnsi="Times New Roman"/>
          <w:bCs/>
          <w:iCs/>
          <w:color w:val="000000"/>
          <w:sz w:val="24"/>
          <w:szCs w:val="24"/>
        </w:rPr>
        <w:t>no,</w:t>
      </w:r>
      <w:r w:rsidR="009C362F">
        <w:rPr>
          <w:rFonts w:ascii="Times New Roman" w:hAnsi="Times New Roman"/>
          <w:bCs/>
          <w:iCs/>
          <w:color w:val="000000"/>
          <w:sz w:val="24"/>
          <w:szCs w:val="24"/>
        </w:rPr>
        <w:t xml:space="preserve"> sobre todo</w:t>
      </w:r>
      <w:r w:rsidR="006E601E">
        <w:rPr>
          <w:rFonts w:ascii="Times New Roman" w:hAnsi="Times New Roman"/>
          <w:bCs/>
          <w:iCs/>
          <w:color w:val="000000"/>
          <w:sz w:val="24"/>
          <w:szCs w:val="24"/>
        </w:rPr>
        <w:t>,</w:t>
      </w:r>
      <w:r w:rsidR="009C362F">
        <w:rPr>
          <w:rFonts w:ascii="Times New Roman" w:hAnsi="Times New Roman"/>
          <w:bCs/>
          <w:iCs/>
          <w:color w:val="000000"/>
          <w:sz w:val="24"/>
          <w:szCs w:val="24"/>
        </w:rPr>
        <w:t xml:space="preserve"> a poco frecuente, sino </w:t>
      </w:r>
      <w:r w:rsidR="006E601E">
        <w:rPr>
          <w:rFonts w:ascii="Times New Roman" w:hAnsi="Times New Roman"/>
          <w:bCs/>
          <w:iCs/>
          <w:color w:val="000000"/>
          <w:sz w:val="24"/>
          <w:szCs w:val="24"/>
        </w:rPr>
        <w:t xml:space="preserve">fundamentalmente </w:t>
      </w:r>
      <w:r w:rsidR="009C362F">
        <w:rPr>
          <w:rFonts w:ascii="Times New Roman" w:hAnsi="Times New Roman"/>
          <w:bCs/>
          <w:iCs/>
          <w:color w:val="000000"/>
          <w:sz w:val="24"/>
          <w:szCs w:val="24"/>
        </w:rPr>
        <w:t xml:space="preserve">a </w:t>
      </w:r>
      <w:r w:rsidR="00D442ED">
        <w:rPr>
          <w:rFonts w:ascii="Times New Roman" w:hAnsi="Times New Roman"/>
          <w:bCs/>
          <w:iCs/>
          <w:color w:val="000000"/>
          <w:sz w:val="24"/>
          <w:szCs w:val="24"/>
        </w:rPr>
        <w:t xml:space="preserve">la suspensión de una </w:t>
      </w:r>
      <w:r w:rsidR="00CB0D4B">
        <w:rPr>
          <w:rFonts w:ascii="Times New Roman" w:hAnsi="Times New Roman"/>
          <w:bCs/>
          <w:iCs/>
          <w:color w:val="000000"/>
          <w:sz w:val="24"/>
          <w:szCs w:val="24"/>
        </w:rPr>
        <w:t xml:space="preserve">determinada </w:t>
      </w:r>
      <w:r w:rsidR="00D442ED">
        <w:rPr>
          <w:rFonts w:ascii="Times New Roman" w:hAnsi="Times New Roman"/>
          <w:bCs/>
          <w:iCs/>
          <w:color w:val="000000"/>
          <w:sz w:val="24"/>
          <w:szCs w:val="24"/>
        </w:rPr>
        <w:t>norma</w:t>
      </w:r>
      <w:r w:rsidR="00CB0D4B">
        <w:rPr>
          <w:rFonts w:ascii="Times New Roman" w:hAnsi="Times New Roman"/>
          <w:bCs/>
          <w:iCs/>
          <w:color w:val="000000"/>
          <w:sz w:val="24"/>
          <w:szCs w:val="24"/>
        </w:rPr>
        <w:t>.</w:t>
      </w:r>
      <w:r w:rsidR="00963253">
        <w:rPr>
          <w:rFonts w:ascii="Times New Roman" w:hAnsi="Times New Roman"/>
          <w:bCs/>
          <w:iCs/>
          <w:color w:val="000000"/>
          <w:sz w:val="24"/>
          <w:szCs w:val="24"/>
        </w:rPr>
        <w:t xml:space="preserve"> </w:t>
      </w:r>
      <w:r w:rsidR="009959D4">
        <w:rPr>
          <w:rFonts w:ascii="Times New Roman" w:hAnsi="Times New Roman"/>
          <w:bCs/>
          <w:iCs/>
          <w:color w:val="000000"/>
          <w:sz w:val="24"/>
          <w:szCs w:val="24"/>
        </w:rPr>
        <w:t>Y es que, como sostiene Agamben (2017)</w:t>
      </w:r>
      <w:r w:rsidR="00963253">
        <w:rPr>
          <w:rFonts w:ascii="Times New Roman" w:hAnsi="Times New Roman"/>
          <w:bCs/>
          <w:iCs/>
          <w:color w:val="000000"/>
          <w:sz w:val="24"/>
          <w:szCs w:val="24"/>
        </w:rPr>
        <w:t xml:space="preserve"> siguiendo </w:t>
      </w:r>
      <w:r w:rsidR="009959D4">
        <w:rPr>
          <w:rFonts w:ascii="Times New Roman" w:hAnsi="Times New Roman"/>
          <w:bCs/>
          <w:iCs/>
          <w:color w:val="000000"/>
          <w:sz w:val="24"/>
          <w:szCs w:val="24"/>
        </w:rPr>
        <w:t>los desarrollos de</w:t>
      </w:r>
      <w:r w:rsidR="00963253">
        <w:rPr>
          <w:rFonts w:ascii="Times New Roman" w:hAnsi="Times New Roman"/>
          <w:bCs/>
          <w:iCs/>
          <w:color w:val="000000"/>
          <w:sz w:val="24"/>
          <w:szCs w:val="24"/>
        </w:rPr>
        <w:t xml:space="preserve"> Carl Schmitt, </w:t>
      </w:r>
      <w:r w:rsidR="009959D4">
        <w:rPr>
          <w:rFonts w:ascii="Times New Roman" w:hAnsi="Times New Roman"/>
          <w:bCs/>
          <w:iCs/>
          <w:color w:val="000000"/>
          <w:sz w:val="24"/>
          <w:szCs w:val="24"/>
        </w:rPr>
        <w:t>“la excepción no es lo que se sustrae a la regla, sino que la regla, suspendiéndose, da lugar a la excepción y sólo de este modo se constituye como regla, manteniéndose en relación con ella” (2017: 36).</w:t>
      </w:r>
      <w:r w:rsidR="00B34815">
        <w:rPr>
          <w:rFonts w:ascii="Times New Roman" w:hAnsi="Times New Roman"/>
          <w:bCs/>
          <w:iCs/>
          <w:color w:val="000000"/>
          <w:sz w:val="24"/>
          <w:szCs w:val="24"/>
        </w:rPr>
        <w:t xml:space="preserve"> </w:t>
      </w:r>
      <w:r w:rsidR="001272B4">
        <w:rPr>
          <w:rFonts w:ascii="Times New Roman" w:hAnsi="Times New Roman"/>
          <w:bCs/>
          <w:iCs/>
          <w:color w:val="000000"/>
          <w:sz w:val="24"/>
          <w:szCs w:val="24"/>
        </w:rPr>
        <w:t>Desde esta perspectiva</w:t>
      </w:r>
      <w:r w:rsidR="00CE7852">
        <w:rPr>
          <w:rFonts w:ascii="Times New Roman" w:hAnsi="Times New Roman"/>
          <w:bCs/>
          <w:iCs/>
          <w:color w:val="000000"/>
          <w:sz w:val="24"/>
          <w:szCs w:val="24"/>
        </w:rPr>
        <w:t xml:space="preserve">, </w:t>
      </w:r>
      <w:r w:rsidR="00B34815">
        <w:rPr>
          <w:rFonts w:ascii="Times New Roman" w:hAnsi="Times New Roman"/>
          <w:bCs/>
          <w:iCs/>
          <w:color w:val="000000"/>
          <w:sz w:val="24"/>
          <w:szCs w:val="24"/>
        </w:rPr>
        <w:t xml:space="preserve">entonces, </w:t>
      </w:r>
      <w:r w:rsidR="00CE7852">
        <w:rPr>
          <w:rFonts w:ascii="Times New Roman" w:hAnsi="Times New Roman"/>
          <w:bCs/>
          <w:iCs/>
          <w:color w:val="000000"/>
          <w:sz w:val="24"/>
          <w:szCs w:val="24"/>
        </w:rPr>
        <w:t xml:space="preserve">la prohibición general de matar no podría pensarse </w:t>
      </w:r>
      <w:r w:rsidR="007842F8">
        <w:rPr>
          <w:rFonts w:ascii="Times New Roman" w:hAnsi="Times New Roman"/>
          <w:bCs/>
          <w:iCs/>
          <w:color w:val="000000"/>
          <w:sz w:val="24"/>
          <w:szCs w:val="24"/>
        </w:rPr>
        <w:t xml:space="preserve">sin </w:t>
      </w:r>
      <w:r w:rsidR="008C406B">
        <w:rPr>
          <w:rFonts w:ascii="Times New Roman" w:hAnsi="Times New Roman"/>
          <w:bCs/>
          <w:iCs/>
          <w:color w:val="000000"/>
          <w:sz w:val="24"/>
          <w:szCs w:val="24"/>
        </w:rPr>
        <w:t xml:space="preserve">la </w:t>
      </w:r>
      <w:r w:rsidR="00495397">
        <w:rPr>
          <w:rFonts w:ascii="Times New Roman" w:hAnsi="Times New Roman"/>
          <w:bCs/>
          <w:iCs/>
          <w:color w:val="000000"/>
          <w:sz w:val="24"/>
          <w:szCs w:val="24"/>
        </w:rPr>
        <w:t xml:space="preserve">excepción a esa interdicción, es decir, sin que </w:t>
      </w:r>
      <w:r w:rsidR="00181114">
        <w:rPr>
          <w:rFonts w:ascii="Times New Roman" w:hAnsi="Times New Roman"/>
          <w:bCs/>
          <w:iCs/>
          <w:color w:val="000000"/>
          <w:sz w:val="24"/>
          <w:szCs w:val="24"/>
        </w:rPr>
        <w:t>matar en determinadas circunstancias</w:t>
      </w:r>
      <w:r w:rsidR="00181114">
        <w:rPr>
          <w:rFonts w:ascii="Times New Roman" w:hAnsi="Times New Roman"/>
          <w:bCs/>
          <w:iCs/>
          <w:color w:val="000000"/>
          <w:sz w:val="24"/>
          <w:szCs w:val="24"/>
        </w:rPr>
        <w:t xml:space="preserve"> </w:t>
      </w:r>
      <w:r w:rsidR="00495397">
        <w:rPr>
          <w:rFonts w:ascii="Times New Roman" w:hAnsi="Times New Roman"/>
          <w:bCs/>
          <w:iCs/>
          <w:color w:val="000000"/>
          <w:sz w:val="24"/>
          <w:szCs w:val="24"/>
        </w:rPr>
        <w:t>sea</w:t>
      </w:r>
      <w:r w:rsidR="001272B4">
        <w:rPr>
          <w:rFonts w:ascii="Times New Roman" w:hAnsi="Times New Roman"/>
          <w:bCs/>
          <w:iCs/>
          <w:color w:val="000000"/>
          <w:sz w:val="24"/>
          <w:szCs w:val="24"/>
        </w:rPr>
        <w:t xml:space="preserve"> efectivamente</w:t>
      </w:r>
      <w:r w:rsidR="00495397">
        <w:rPr>
          <w:rFonts w:ascii="Times New Roman" w:hAnsi="Times New Roman"/>
          <w:bCs/>
          <w:iCs/>
          <w:color w:val="000000"/>
          <w:sz w:val="24"/>
          <w:szCs w:val="24"/>
        </w:rPr>
        <w:t xml:space="preserve"> lícito. Sin embargo, </w:t>
      </w:r>
      <w:r w:rsidR="00FD4BEB">
        <w:rPr>
          <w:rFonts w:ascii="Times New Roman" w:hAnsi="Times New Roman"/>
          <w:bCs/>
          <w:iCs/>
          <w:color w:val="000000"/>
          <w:sz w:val="24"/>
          <w:szCs w:val="24"/>
        </w:rPr>
        <w:t xml:space="preserve">remarquemos que </w:t>
      </w:r>
      <w:r w:rsidR="00495397">
        <w:rPr>
          <w:rFonts w:ascii="Times New Roman" w:hAnsi="Times New Roman"/>
          <w:bCs/>
          <w:iCs/>
          <w:color w:val="000000"/>
          <w:sz w:val="24"/>
          <w:szCs w:val="24"/>
        </w:rPr>
        <w:t xml:space="preserve">no estamos aquí frente a un levantamiento ritual de </w:t>
      </w:r>
      <w:r w:rsidR="004318FE">
        <w:rPr>
          <w:rFonts w:ascii="Times New Roman" w:hAnsi="Times New Roman"/>
          <w:bCs/>
          <w:iCs/>
          <w:color w:val="000000"/>
          <w:sz w:val="24"/>
          <w:szCs w:val="24"/>
        </w:rPr>
        <w:t>la prohibición (como podría ser el caso de la guerra)</w:t>
      </w:r>
      <w:r w:rsidR="00B22FB9">
        <w:rPr>
          <w:rFonts w:ascii="Times New Roman" w:hAnsi="Times New Roman"/>
          <w:bCs/>
          <w:iCs/>
          <w:color w:val="000000"/>
          <w:sz w:val="24"/>
          <w:szCs w:val="24"/>
        </w:rPr>
        <w:t xml:space="preserve"> que la reafirmaría</w:t>
      </w:r>
      <w:r w:rsidR="002442D7">
        <w:rPr>
          <w:rFonts w:ascii="Times New Roman" w:hAnsi="Times New Roman"/>
          <w:bCs/>
          <w:iCs/>
          <w:color w:val="000000"/>
          <w:sz w:val="24"/>
          <w:szCs w:val="24"/>
        </w:rPr>
        <w:t xml:space="preserve"> como tal</w:t>
      </w:r>
      <w:r w:rsidR="00B22FB9">
        <w:rPr>
          <w:rFonts w:ascii="Times New Roman" w:hAnsi="Times New Roman"/>
          <w:bCs/>
          <w:iCs/>
          <w:color w:val="000000"/>
          <w:sz w:val="24"/>
          <w:szCs w:val="24"/>
        </w:rPr>
        <w:t>,</w:t>
      </w:r>
      <w:r w:rsidR="00495397">
        <w:rPr>
          <w:rFonts w:ascii="Times New Roman" w:hAnsi="Times New Roman"/>
          <w:bCs/>
          <w:iCs/>
          <w:color w:val="000000"/>
          <w:sz w:val="24"/>
          <w:szCs w:val="24"/>
        </w:rPr>
        <w:t xml:space="preserve"> </w:t>
      </w:r>
      <w:r w:rsidR="007216D9">
        <w:rPr>
          <w:rFonts w:ascii="Times New Roman" w:hAnsi="Times New Roman"/>
          <w:bCs/>
          <w:iCs/>
          <w:color w:val="000000"/>
          <w:sz w:val="24"/>
          <w:szCs w:val="24"/>
        </w:rPr>
        <w:t>algo que</w:t>
      </w:r>
      <w:r w:rsidR="00B34815">
        <w:rPr>
          <w:rFonts w:ascii="Times New Roman" w:hAnsi="Times New Roman"/>
          <w:bCs/>
          <w:iCs/>
          <w:color w:val="000000"/>
          <w:sz w:val="24"/>
          <w:szCs w:val="24"/>
        </w:rPr>
        <w:t xml:space="preserve"> ha sido extensamente abordado por</w:t>
      </w:r>
      <w:r w:rsidR="00495397">
        <w:rPr>
          <w:rFonts w:ascii="Times New Roman" w:hAnsi="Times New Roman"/>
          <w:bCs/>
          <w:iCs/>
          <w:color w:val="000000"/>
          <w:sz w:val="24"/>
          <w:szCs w:val="24"/>
        </w:rPr>
        <w:t xml:space="preserve"> Freud (</w:t>
      </w:r>
      <w:r w:rsidR="004917AA">
        <w:rPr>
          <w:rFonts w:ascii="Times New Roman" w:hAnsi="Times New Roman"/>
          <w:bCs/>
          <w:iCs/>
          <w:color w:val="000000"/>
          <w:sz w:val="24"/>
          <w:szCs w:val="24"/>
        </w:rPr>
        <w:t>2007</w:t>
      </w:r>
      <w:r w:rsidR="00495397">
        <w:rPr>
          <w:rFonts w:ascii="Times New Roman" w:hAnsi="Times New Roman"/>
          <w:bCs/>
          <w:iCs/>
          <w:color w:val="000000"/>
          <w:sz w:val="24"/>
          <w:szCs w:val="24"/>
        </w:rPr>
        <w:t xml:space="preserve">) y </w:t>
      </w:r>
      <w:proofErr w:type="spellStart"/>
      <w:r w:rsidR="00495397">
        <w:rPr>
          <w:rFonts w:ascii="Times New Roman" w:hAnsi="Times New Roman"/>
          <w:bCs/>
          <w:iCs/>
          <w:color w:val="000000"/>
          <w:sz w:val="24"/>
          <w:szCs w:val="24"/>
        </w:rPr>
        <w:t>Bataille</w:t>
      </w:r>
      <w:proofErr w:type="spellEnd"/>
      <w:r w:rsidR="00495397">
        <w:rPr>
          <w:rFonts w:ascii="Times New Roman" w:hAnsi="Times New Roman"/>
          <w:bCs/>
          <w:iCs/>
          <w:color w:val="000000"/>
          <w:sz w:val="24"/>
          <w:szCs w:val="24"/>
        </w:rPr>
        <w:t xml:space="preserve"> (</w:t>
      </w:r>
      <w:r w:rsidR="00224F77">
        <w:rPr>
          <w:rFonts w:ascii="Times New Roman" w:hAnsi="Times New Roman"/>
          <w:bCs/>
          <w:iCs/>
          <w:color w:val="000000"/>
          <w:sz w:val="24"/>
          <w:szCs w:val="24"/>
        </w:rPr>
        <w:t>2015</w:t>
      </w:r>
      <w:r w:rsidR="00495397">
        <w:rPr>
          <w:rFonts w:ascii="Times New Roman" w:hAnsi="Times New Roman"/>
          <w:bCs/>
          <w:iCs/>
          <w:color w:val="000000"/>
          <w:sz w:val="24"/>
          <w:szCs w:val="24"/>
        </w:rPr>
        <w:t>)</w:t>
      </w:r>
      <w:r w:rsidR="00B34815">
        <w:rPr>
          <w:rFonts w:ascii="Times New Roman" w:hAnsi="Times New Roman"/>
          <w:bCs/>
          <w:iCs/>
          <w:color w:val="000000"/>
          <w:sz w:val="24"/>
          <w:szCs w:val="24"/>
        </w:rPr>
        <w:t>, entre otros</w:t>
      </w:r>
      <w:r w:rsidR="00495397">
        <w:rPr>
          <w:rFonts w:ascii="Times New Roman" w:hAnsi="Times New Roman"/>
          <w:bCs/>
          <w:iCs/>
          <w:color w:val="000000"/>
          <w:sz w:val="24"/>
          <w:szCs w:val="24"/>
        </w:rPr>
        <w:t>.</w:t>
      </w:r>
      <w:r w:rsidR="005B6C74">
        <w:rPr>
          <w:rFonts w:ascii="Times New Roman" w:hAnsi="Times New Roman"/>
          <w:bCs/>
          <w:iCs/>
          <w:color w:val="000000"/>
          <w:sz w:val="24"/>
          <w:szCs w:val="24"/>
        </w:rPr>
        <w:t xml:space="preserve"> </w:t>
      </w:r>
      <w:r w:rsidR="00387CAE">
        <w:rPr>
          <w:rFonts w:ascii="Times New Roman" w:hAnsi="Times New Roman"/>
          <w:bCs/>
          <w:iCs/>
          <w:color w:val="000000"/>
          <w:sz w:val="24"/>
          <w:szCs w:val="24"/>
        </w:rPr>
        <w:t>Y e</w:t>
      </w:r>
      <w:r w:rsidR="002E29D3">
        <w:rPr>
          <w:rFonts w:ascii="Times New Roman" w:hAnsi="Times New Roman"/>
          <w:bCs/>
          <w:iCs/>
          <w:color w:val="000000"/>
          <w:sz w:val="24"/>
          <w:szCs w:val="24"/>
        </w:rPr>
        <w:t xml:space="preserve">s por eso </w:t>
      </w:r>
      <w:proofErr w:type="gramStart"/>
      <w:r w:rsidR="002E29D3">
        <w:rPr>
          <w:rFonts w:ascii="Times New Roman" w:hAnsi="Times New Roman"/>
          <w:bCs/>
          <w:iCs/>
          <w:color w:val="000000"/>
          <w:sz w:val="24"/>
          <w:szCs w:val="24"/>
        </w:rPr>
        <w:t>que</w:t>
      </w:r>
      <w:proofErr w:type="gramEnd"/>
      <w:r w:rsidR="00B22FB9">
        <w:rPr>
          <w:rFonts w:ascii="Times New Roman" w:hAnsi="Times New Roman"/>
          <w:bCs/>
          <w:iCs/>
          <w:color w:val="000000"/>
          <w:sz w:val="24"/>
          <w:szCs w:val="24"/>
        </w:rPr>
        <w:t xml:space="preserve"> </w:t>
      </w:r>
      <w:r w:rsidR="005B6C74">
        <w:rPr>
          <w:rFonts w:ascii="Times New Roman" w:hAnsi="Times New Roman"/>
          <w:bCs/>
          <w:iCs/>
          <w:color w:val="000000"/>
          <w:sz w:val="24"/>
          <w:szCs w:val="24"/>
        </w:rPr>
        <w:t xml:space="preserve">esa acción no </w:t>
      </w:r>
      <w:r w:rsidR="002E29D3">
        <w:rPr>
          <w:rFonts w:ascii="Times New Roman" w:hAnsi="Times New Roman"/>
          <w:bCs/>
          <w:iCs/>
          <w:color w:val="000000"/>
          <w:sz w:val="24"/>
          <w:szCs w:val="24"/>
        </w:rPr>
        <w:t>es</w:t>
      </w:r>
      <w:r w:rsidR="005B6C74">
        <w:rPr>
          <w:rFonts w:ascii="Times New Roman" w:hAnsi="Times New Roman"/>
          <w:bCs/>
          <w:iCs/>
          <w:color w:val="000000"/>
          <w:sz w:val="24"/>
          <w:szCs w:val="24"/>
        </w:rPr>
        <w:t xml:space="preserve"> tampoco un </w:t>
      </w:r>
      <w:r w:rsidR="006479A2">
        <w:rPr>
          <w:rFonts w:ascii="Times New Roman" w:hAnsi="Times New Roman"/>
          <w:bCs/>
          <w:iCs/>
          <w:color w:val="000000"/>
          <w:sz w:val="24"/>
          <w:szCs w:val="24"/>
        </w:rPr>
        <w:t>“</w:t>
      </w:r>
      <w:r w:rsidR="005B6C74">
        <w:rPr>
          <w:rFonts w:ascii="Times New Roman" w:hAnsi="Times New Roman"/>
          <w:bCs/>
          <w:iCs/>
          <w:color w:val="000000"/>
          <w:sz w:val="24"/>
          <w:szCs w:val="24"/>
        </w:rPr>
        <w:t>sacrificio</w:t>
      </w:r>
      <w:r w:rsidR="006479A2">
        <w:rPr>
          <w:rFonts w:ascii="Times New Roman" w:hAnsi="Times New Roman"/>
          <w:bCs/>
          <w:iCs/>
          <w:color w:val="000000"/>
          <w:sz w:val="24"/>
          <w:szCs w:val="24"/>
        </w:rPr>
        <w:t>”</w:t>
      </w:r>
      <w:r w:rsidR="005B6C74">
        <w:rPr>
          <w:rFonts w:ascii="Times New Roman" w:hAnsi="Times New Roman"/>
          <w:bCs/>
          <w:iCs/>
          <w:color w:val="000000"/>
          <w:sz w:val="24"/>
          <w:szCs w:val="24"/>
        </w:rPr>
        <w:t xml:space="preserve">. </w:t>
      </w:r>
      <w:r w:rsidR="00525D1F">
        <w:rPr>
          <w:rFonts w:ascii="Times New Roman" w:hAnsi="Times New Roman"/>
          <w:bCs/>
          <w:iCs/>
          <w:color w:val="000000"/>
          <w:sz w:val="24"/>
          <w:szCs w:val="24"/>
        </w:rPr>
        <w:t>Antes bien, s</w:t>
      </w:r>
      <w:r w:rsidR="00C06BD1">
        <w:rPr>
          <w:rFonts w:ascii="Times New Roman" w:hAnsi="Times New Roman"/>
          <w:bCs/>
          <w:iCs/>
          <w:color w:val="000000"/>
          <w:sz w:val="24"/>
          <w:szCs w:val="24"/>
        </w:rPr>
        <w:t>e trata de un caso singular que queda excluido de la norma general</w:t>
      </w:r>
      <w:r w:rsidR="006479A2">
        <w:rPr>
          <w:rFonts w:ascii="Times New Roman" w:hAnsi="Times New Roman"/>
          <w:bCs/>
          <w:iCs/>
          <w:color w:val="000000"/>
          <w:sz w:val="24"/>
          <w:szCs w:val="24"/>
        </w:rPr>
        <w:t xml:space="preserve"> y </w:t>
      </w:r>
      <w:r w:rsidR="00C06BD1">
        <w:rPr>
          <w:rFonts w:ascii="Times New Roman" w:hAnsi="Times New Roman"/>
          <w:bCs/>
          <w:iCs/>
          <w:color w:val="000000"/>
          <w:sz w:val="24"/>
          <w:szCs w:val="24"/>
        </w:rPr>
        <w:t>que lleva a la</w:t>
      </w:r>
      <w:r w:rsidR="008C406B">
        <w:rPr>
          <w:rFonts w:ascii="Times New Roman" w:hAnsi="Times New Roman"/>
          <w:bCs/>
          <w:iCs/>
          <w:color w:val="000000"/>
          <w:sz w:val="24"/>
          <w:szCs w:val="24"/>
        </w:rPr>
        <w:t xml:space="preserve"> suspensión de </w:t>
      </w:r>
      <w:proofErr w:type="gramStart"/>
      <w:r w:rsidR="007216D9">
        <w:rPr>
          <w:rFonts w:ascii="Times New Roman" w:hAnsi="Times New Roman"/>
          <w:bCs/>
          <w:iCs/>
          <w:color w:val="000000"/>
          <w:sz w:val="24"/>
          <w:szCs w:val="24"/>
        </w:rPr>
        <w:t>la</w:t>
      </w:r>
      <w:r w:rsidR="008C406B">
        <w:rPr>
          <w:rFonts w:ascii="Times New Roman" w:hAnsi="Times New Roman"/>
          <w:bCs/>
          <w:iCs/>
          <w:color w:val="000000"/>
          <w:sz w:val="24"/>
          <w:szCs w:val="24"/>
        </w:rPr>
        <w:t xml:space="preserve"> </w:t>
      </w:r>
      <w:r w:rsidR="00C06BD1">
        <w:rPr>
          <w:rFonts w:ascii="Times New Roman" w:hAnsi="Times New Roman"/>
          <w:bCs/>
          <w:iCs/>
          <w:color w:val="000000"/>
          <w:sz w:val="24"/>
          <w:szCs w:val="24"/>
        </w:rPr>
        <w:t>misma</w:t>
      </w:r>
      <w:proofErr w:type="gramEnd"/>
      <w:r w:rsidR="00C06BD1">
        <w:rPr>
          <w:rFonts w:ascii="Times New Roman" w:hAnsi="Times New Roman"/>
          <w:bCs/>
          <w:iCs/>
          <w:color w:val="000000"/>
          <w:sz w:val="24"/>
          <w:szCs w:val="24"/>
        </w:rPr>
        <w:t>, permitiéndole a la vez</w:t>
      </w:r>
      <w:r w:rsidR="00693565">
        <w:rPr>
          <w:rFonts w:ascii="Times New Roman" w:hAnsi="Times New Roman"/>
          <w:bCs/>
          <w:iCs/>
          <w:color w:val="000000"/>
          <w:sz w:val="24"/>
          <w:szCs w:val="24"/>
        </w:rPr>
        <w:t xml:space="preserve"> constituirse como tal</w:t>
      </w:r>
      <w:r w:rsidR="008C406B">
        <w:rPr>
          <w:rFonts w:ascii="Times New Roman" w:hAnsi="Times New Roman"/>
          <w:bCs/>
          <w:iCs/>
          <w:color w:val="000000"/>
          <w:sz w:val="24"/>
          <w:szCs w:val="24"/>
        </w:rPr>
        <w:t xml:space="preserve">. </w:t>
      </w:r>
    </w:p>
    <w:p w14:paraId="0964277B" w14:textId="1E905B5E" w:rsidR="00C06BD1" w:rsidRDefault="00CF3E01" w:rsidP="00C06BD1">
      <w:pPr>
        <w:spacing w:line="360" w:lineRule="auto"/>
        <w:jc w:val="both"/>
        <w:rPr>
          <w:rFonts w:ascii="Times New Roman" w:hAnsi="Times New Roman"/>
          <w:bCs/>
          <w:iCs/>
          <w:color w:val="000000"/>
          <w:sz w:val="24"/>
          <w:szCs w:val="24"/>
        </w:rPr>
      </w:pPr>
      <w:r>
        <w:rPr>
          <w:rFonts w:ascii="Times New Roman" w:hAnsi="Times New Roman"/>
          <w:bCs/>
          <w:iCs/>
          <w:color w:val="000000"/>
          <w:sz w:val="24"/>
          <w:szCs w:val="24"/>
        </w:rPr>
        <w:t>La excepción a la prohibición de matar en</w:t>
      </w:r>
      <w:r w:rsidR="00C06BD1">
        <w:rPr>
          <w:rFonts w:ascii="Times New Roman" w:hAnsi="Times New Roman"/>
          <w:bCs/>
          <w:iCs/>
          <w:color w:val="000000"/>
          <w:sz w:val="24"/>
          <w:szCs w:val="24"/>
        </w:rPr>
        <w:t xml:space="preserve"> combinación </w:t>
      </w:r>
      <w:r>
        <w:rPr>
          <w:rFonts w:ascii="Times New Roman" w:hAnsi="Times New Roman"/>
          <w:bCs/>
          <w:iCs/>
          <w:color w:val="000000"/>
          <w:sz w:val="24"/>
          <w:szCs w:val="24"/>
        </w:rPr>
        <w:t xml:space="preserve">con </w:t>
      </w:r>
      <w:r w:rsidR="00F137A9">
        <w:rPr>
          <w:rFonts w:ascii="Times New Roman" w:hAnsi="Times New Roman"/>
          <w:bCs/>
          <w:iCs/>
          <w:color w:val="000000"/>
          <w:sz w:val="24"/>
          <w:szCs w:val="24"/>
        </w:rPr>
        <w:t xml:space="preserve">la efectiva vigencia de la </w:t>
      </w:r>
      <w:r w:rsidR="008D211F">
        <w:rPr>
          <w:rFonts w:ascii="Times New Roman" w:hAnsi="Times New Roman"/>
          <w:bCs/>
          <w:iCs/>
          <w:color w:val="000000"/>
          <w:sz w:val="24"/>
          <w:szCs w:val="24"/>
        </w:rPr>
        <w:t>interdicción</w:t>
      </w:r>
      <w:r w:rsidR="00F137A9">
        <w:rPr>
          <w:rFonts w:ascii="Times New Roman" w:hAnsi="Times New Roman"/>
          <w:bCs/>
          <w:iCs/>
          <w:color w:val="000000"/>
          <w:sz w:val="24"/>
          <w:szCs w:val="24"/>
        </w:rPr>
        <w:t xml:space="preserve"> (e</w:t>
      </w:r>
      <w:r>
        <w:rPr>
          <w:rFonts w:ascii="Times New Roman" w:hAnsi="Times New Roman"/>
          <w:bCs/>
          <w:iCs/>
          <w:color w:val="000000"/>
          <w:sz w:val="24"/>
          <w:szCs w:val="24"/>
        </w:rPr>
        <w:t>xpresada en</w:t>
      </w:r>
      <w:r w:rsidR="00C06BD1">
        <w:rPr>
          <w:rFonts w:ascii="Times New Roman" w:hAnsi="Times New Roman"/>
          <w:bCs/>
          <w:iCs/>
          <w:color w:val="000000"/>
          <w:sz w:val="24"/>
          <w:szCs w:val="24"/>
        </w:rPr>
        <w:t xml:space="preserve"> los castigos severos </w:t>
      </w:r>
      <w:r>
        <w:rPr>
          <w:rFonts w:ascii="Times New Roman" w:hAnsi="Times New Roman"/>
          <w:bCs/>
          <w:iCs/>
          <w:color w:val="000000"/>
          <w:sz w:val="24"/>
          <w:szCs w:val="24"/>
        </w:rPr>
        <w:t xml:space="preserve">que establece el código y ejecutan los jueces </w:t>
      </w:r>
      <w:r w:rsidR="00C06BD1">
        <w:rPr>
          <w:rFonts w:ascii="Times New Roman" w:hAnsi="Times New Roman"/>
          <w:bCs/>
          <w:iCs/>
          <w:color w:val="000000"/>
          <w:sz w:val="24"/>
          <w:szCs w:val="24"/>
        </w:rPr>
        <w:t>para el delito de homicidio doloso</w:t>
      </w:r>
      <w:r w:rsidR="00F137A9">
        <w:rPr>
          <w:rFonts w:ascii="Times New Roman" w:hAnsi="Times New Roman"/>
          <w:bCs/>
          <w:iCs/>
          <w:color w:val="000000"/>
          <w:sz w:val="24"/>
          <w:szCs w:val="24"/>
        </w:rPr>
        <w:t>)</w:t>
      </w:r>
      <w:r w:rsidR="00C06BD1">
        <w:rPr>
          <w:rFonts w:ascii="Times New Roman" w:hAnsi="Times New Roman"/>
          <w:bCs/>
          <w:iCs/>
          <w:color w:val="000000"/>
          <w:sz w:val="24"/>
          <w:szCs w:val="24"/>
        </w:rPr>
        <w:t xml:space="preserve"> deja ver</w:t>
      </w:r>
      <w:r w:rsidR="000039E2">
        <w:rPr>
          <w:rFonts w:ascii="Times New Roman" w:hAnsi="Times New Roman"/>
          <w:bCs/>
          <w:iCs/>
          <w:color w:val="000000"/>
          <w:sz w:val="24"/>
          <w:szCs w:val="24"/>
        </w:rPr>
        <w:t>, creemos,</w:t>
      </w:r>
      <w:r w:rsidR="00C06BD1">
        <w:rPr>
          <w:rFonts w:ascii="Times New Roman" w:hAnsi="Times New Roman"/>
          <w:bCs/>
          <w:iCs/>
          <w:color w:val="000000"/>
          <w:sz w:val="24"/>
          <w:szCs w:val="24"/>
        </w:rPr>
        <w:t xml:space="preserve"> una cierta duplicidad de valencia de la vida. Es decir que la misma aparece como valorada, así como </w:t>
      </w:r>
      <w:proofErr w:type="spellStart"/>
      <w:r w:rsidR="00C06BD1">
        <w:rPr>
          <w:rFonts w:ascii="Times New Roman" w:hAnsi="Times New Roman"/>
          <w:bCs/>
          <w:iCs/>
          <w:color w:val="000000"/>
          <w:sz w:val="24"/>
          <w:szCs w:val="24"/>
        </w:rPr>
        <w:t>dis-valorada</w:t>
      </w:r>
      <w:proofErr w:type="spellEnd"/>
      <w:r w:rsidR="00C06BD1">
        <w:rPr>
          <w:rFonts w:ascii="Times New Roman" w:hAnsi="Times New Roman"/>
          <w:bCs/>
          <w:iCs/>
          <w:color w:val="000000"/>
          <w:sz w:val="24"/>
          <w:szCs w:val="24"/>
        </w:rPr>
        <w:t>; resulta estar muy protegida a la vez que desprotegida</w:t>
      </w:r>
      <w:r w:rsidR="000039E2">
        <w:rPr>
          <w:rFonts w:ascii="Times New Roman" w:hAnsi="Times New Roman"/>
          <w:bCs/>
          <w:iCs/>
          <w:color w:val="000000"/>
          <w:sz w:val="24"/>
          <w:szCs w:val="24"/>
        </w:rPr>
        <w:t xml:space="preserve"> </w:t>
      </w:r>
      <w:r w:rsidR="008D211F">
        <w:rPr>
          <w:rFonts w:ascii="Times New Roman" w:hAnsi="Times New Roman"/>
          <w:bCs/>
          <w:iCs/>
          <w:color w:val="000000"/>
          <w:sz w:val="24"/>
          <w:szCs w:val="24"/>
        </w:rPr>
        <w:t>(</w:t>
      </w:r>
      <w:r w:rsidR="000039E2">
        <w:rPr>
          <w:rFonts w:ascii="Times New Roman" w:hAnsi="Times New Roman"/>
          <w:bCs/>
          <w:iCs/>
          <w:color w:val="000000"/>
          <w:sz w:val="24"/>
          <w:szCs w:val="24"/>
        </w:rPr>
        <w:t>en el marco de la excepción</w:t>
      </w:r>
      <w:r w:rsidR="008D211F">
        <w:rPr>
          <w:rFonts w:ascii="Times New Roman" w:hAnsi="Times New Roman"/>
          <w:bCs/>
          <w:iCs/>
          <w:color w:val="000000"/>
          <w:sz w:val="24"/>
          <w:szCs w:val="24"/>
        </w:rPr>
        <w:t>)</w:t>
      </w:r>
      <w:r w:rsidR="00C06BD1">
        <w:rPr>
          <w:rFonts w:ascii="Times New Roman" w:hAnsi="Times New Roman"/>
          <w:bCs/>
          <w:iCs/>
          <w:color w:val="000000"/>
          <w:sz w:val="24"/>
          <w:szCs w:val="24"/>
        </w:rPr>
        <w:t xml:space="preserve">. Esta duplicidad, que se </w:t>
      </w:r>
      <w:r w:rsidR="00C06BD1">
        <w:rPr>
          <w:rFonts w:ascii="Times New Roman" w:hAnsi="Times New Roman"/>
          <w:bCs/>
          <w:iCs/>
          <w:color w:val="000000"/>
          <w:sz w:val="24"/>
          <w:szCs w:val="24"/>
        </w:rPr>
        <w:lastRenderedPageBreak/>
        <w:t>encontraría en la estructura misma de la prohibición general de matar, ha sido problematizada por Giorgio Agamben (2017) en sus análisis sobre la politización de la vida en Occidente.</w:t>
      </w:r>
    </w:p>
    <w:p w14:paraId="0BC9E9D2" w14:textId="77777777" w:rsidR="00216A17" w:rsidRDefault="00216A17" w:rsidP="00C06BD1">
      <w:pPr>
        <w:spacing w:line="360" w:lineRule="auto"/>
        <w:jc w:val="both"/>
        <w:rPr>
          <w:rFonts w:ascii="Times New Roman" w:hAnsi="Times New Roman"/>
          <w:b/>
          <w:bCs/>
          <w:sz w:val="24"/>
          <w:szCs w:val="24"/>
        </w:rPr>
      </w:pPr>
    </w:p>
    <w:p w14:paraId="399C3083" w14:textId="5818474F" w:rsidR="00D031F2" w:rsidRPr="00746B19" w:rsidRDefault="00682B3A" w:rsidP="00C06BD1">
      <w:pPr>
        <w:spacing w:line="360" w:lineRule="auto"/>
        <w:jc w:val="both"/>
        <w:rPr>
          <w:rFonts w:ascii="Times New Roman" w:hAnsi="Times New Roman"/>
          <w:i/>
          <w:iCs/>
          <w:sz w:val="24"/>
          <w:szCs w:val="24"/>
        </w:rPr>
      </w:pPr>
      <w:r w:rsidRPr="00746B19">
        <w:rPr>
          <w:rFonts w:ascii="Times New Roman" w:hAnsi="Times New Roman"/>
          <w:i/>
          <w:iCs/>
          <w:sz w:val="24"/>
          <w:szCs w:val="24"/>
        </w:rPr>
        <w:t>Vida</w:t>
      </w:r>
      <w:r w:rsidR="00D031F2" w:rsidRPr="00746B19">
        <w:rPr>
          <w:rFonts w:ascii="Times New Roman" w:hAnsi="Times New Roman"/>
          <w:i/>
          <w:iCs/>
          <w:sz w:val="24"/>
          <w:szCs w:val="24"/>
        </w:rPr>
        <w:t xml:space="preserve"> sagrada y modernidad</w:t>
      </w:r>
    </w:p>
    <w:p w14:paraId="624B42D1" w14:textId="0E71AA3A" w:rsidR="00C06BD1" w:rsidRDefault="00C06BD1" w:rsidP="00C06BD1">
      <w:pPr>
        <w:spacing w:line="360" w:lineRule="auto"/>
        <w:jc w:val="both"/>
        <w:rPr>
          <w:rFonts w:ascii="Times New Roman" w:hAnsi="Times New Roman"/>
          <w:sz w:val="24"/>
          <w:szCs w:val="24"/>
        </w:rPr>
      </w:pPr>
      <w:r>
        <w:rPr>
          <w:rFonts w:ascii="Times New Roman" w:hAnsi="Times New Roman"/>
          <w:sz w:val="24"/>
          <w:szCs w:val="24"/>
        </w:rPr>
        <w:t xml:space="preserve">Agamben introduce el problema de la sacralidad de la vida a partir de una figura del derecho romano: la figura del </w:t>
      </w:r>
      <w:r>
        <w:rPr>
          <w:rFonts w:ascii="Times New Roman" w:hAnsi="Times New Roman"/>
          <w:i/>
          <w:sz w:val="24"/>
          <w:szCs w:val="24"/>
        </w:rPr>
        <w:t>homo sacer.</w:t>
      </w:r>
      <w:r>
        <w:rPr>
          <w:rFonts w:ascii="Times New Roman" w:hAnsi="Times New Roman"/>
          <w:sz w:val="24"/>
          <w:szCs w:val="24"/>
        </w:rPr>
        <w:t xml:space="preserve"> Se trata de una figura ciertamente enigmática pues parece reunir en sí misma características contradictorias. El hombre sagrado era aquel al cual era lícito matar, aun cuando pertenecía efectivamente al orden inviolable de lo sagrado. Pero, lo peculiar de esta figura es que esa muerte no constituía ni un sacrificio ni tampoco un homicidio. De modo que</w:t>
      </w:r>
      <w:r w:rsidR="001C20BE">
        <w:rPr>
          <w:rFonts w:ascii="Times New Roman" w:hAnsi="Times New Roman"/>
          <w:sz w:val="24"/>
          <w:szCs w:val="24"/>
        </w:rPr>
        <w:t>,</w:t>
      </w:r>
      <w:r>
        <w:rPr>
          <w:rFonts w:ascii="Times New Roman" w:hAnsi="Times New Roman"/>
          <w:sz w:val="24"/>
          <w:szCs w:val="24"/>
        </w:rPr>
        <w:t xml:space="preserve"> estrictamente</w:t>
      </w:r>
      <w:r w:rsidR="001C20BE">
        <w:rPr>
          <w:rFonts w:ascii="Times New Roman" w:hAnsi="Times New Roman"/>
          <w:sz w:val="24"/>
          <w:szCs w:val="24"/>
        </w:rPr>
        <w:t>,</w:t>
      </w:r>
      <w:r>
        <w:rPr>
          <w:rFonts w:ascii="Times New Roman" w:hAnsi="Times New Roman"/>
          <w:sz w:val="24"/>
          <w:szCs w:val="24"/>
        </w:rPr>
        <w:t xml:space="preserve"> esta vida no pertenecería ni al ámbito profano ni al sagrado porque está excluida de ambos. “[…] en el caso del </w:t>
      </w:r>
      <w:r>
        <w:rPr>
          <w:rFonts w:ascii="Times New Roman" w:hAnsi="Times New Roman"/>
          <w:i/>
          <w:sz w:val="24"/>
          <w:szCs w:val="24"/>
        </w:rPr>
        <w:t>homo sacer</w:t>
      </w:r>
      <w:r>
        <w:rPr>
          <w:rFonts w:ascii="Times New Roman" w:hAnsi="Times New Roman"/>
          <w:sz w:val="24"/>
          <w:szCs w:val="24"/>
        </w:rPr>
        <w:t xml:space="preserve"> se pone a una persona simplemente afuera de la jurisdicción humana sin pasar a la divina” (2017: 130). Doble exclusión, entonces, que lo sustrae de las formas sancionadas del derecho humano y del divino. Se trata de una “violencia que abre una esfera del hacer humano que no es la del sacrificar, ni la de la acción profana” (2017: 131). </w:t>
      </w:r>
    </w:p>
    <w:p w14:paraId="7C4F4169" w14:textId="4D21E464" w:rsidR="00C06BD1" w:rsidRDefault="008E7B3D" w:rsidP="00C06BD1">
      <w:pPr>
        <w:spacing w:line="360" w:lineRule="auto"/>
        <w:jc w:val="both"/>
        <w:rPr>
          <w:rFonts w:ascii="Times New Roman" w:hAnsi="Times New Roman"/>
          <w:sz w:val="24"/>
          <w:szCs w:val="24"/>
        </w:rPr>
      </w:pPr>
      <w:r>
        <w:rPr>
          <w:rFonts w:ascii="Times New Roman" w:hAnsi="Times New Roman"/>
          <w:sz w:val="24"/>
          <w:szCs w:val="24"/>
        </w:rPr>
        <w:t>Según este filósofo, e</w:t>
      </w:r>
      <w:r w:rsidR="00C06BD1">
        <w:rPr>
          <w:rFonts w:ascii="Times New Roman" w:hAnsi="Times New Roman"/>
          <w:sz w:val="24"/>
          <w:szCs w:val="24"/>
        </w:rPr>
        <w:t xml:space="preserve">l </w:t>
      </w:r>
      <w:r w:rsidR="00C06BD1">
        <w:rPr>
          <w:rFonts w:ascii="Times New Roman" w:hAnsi="Times New Roman"/>
          <w:i/>
          <w:sz w:val="24"/>
          <w:szCs w:val="24"/>
        </w:rPr>
        <w:t xml:space="preserve">hombre sagrado </w:t>
      </w:r>
      <w:r w:rsidR="00C06BD1">
        <w:rPr>
          <w:rFonts w:ascii="Times New Roman" w:hAnsi="Times New Roman"/>
          <w:sz w:val="24"/>
          <w:szCs w:val="24"/>
        </w:rPr>
        <w:t xml:space="preserve">presentaría la figura originaria de la vida apresada en la esfera de la soberanía —la cual es denominada </w:t>
      </w:r>
      <w:r w:rsidR="00C06BD1">
        <w:rPr>
          <w:rFonts w:ascii="Times New Roman" w:hAnsi="Times New Roman"/>
          <w:i/>
          <w:sz w:val="24"/>
          <w:szCs w:val="24"/>
        </w:rPr>
        <w:t>vida desnuda</w:t>
      </w:r>
      <w:r w:rsidR="00C06BD1">
        <w:rPr>
          <w:rFonts w:ascii="Times New Roman" w:hAnsi="Times New Roman"/>
          <w:sz w:val="24"/>
          <w:szCs w:val="24"/>
        </w:rPr>
        <w:t xml:space="preserve">. Para Agamben, no se trata estrictamente ni de la vida natural ni de la vida política, sino de una </w:t>
      </w:r>
      <w:r w:rsidR="00C06BD1">
        <w:rPr>
          <w:rFonts w:ascii="Times New Roman" w:hAnsi="Times New Roman"/>
          <w:i/>
          <w:sz w:val="24"/>
          <w:szCs w:val="24"/>
        </w:rPr>
        <w:t>vida que está expuesta a la muerte</w:t>
      </w:r>
      <w:r w:rsidR="00C06BD1">
        <w:rPr>
          <w:rFonts w:ascii="Times New Roman" w:hAnsi="Times New Roman"/>
          <w:sz w:val="24"/>
          <w:szCs w:val="24"/>
        </w:rPr>
        <w:t xml:space="preserve">. Como mencionábamos antes, lo peculiar de la vida sagrada (o </w:t>
      </w:r>
      <w:r w:rsidR="00C06BD1" w:rsidRPr="000626C4">
        <w:rPr>
          <w:rFonts w:ascii="Times New Roman" w:hAnsi="Times New Roman"/>
          <w:i/>
          <w:sz w:val="24"/>
          <w:szCs w:val="24"/>
        </w:rPr>
        <w:t>desnuda</w:t>
      </w:r>
      <w:r w:rsidR="00C06BD1">
        <w:rPr>
          <w:rFonts w:ascii="Times New Roman" w:hAnsi="Times New Roman"/>
          <w:sz w:val="24"/>
          <w:szCs w:val="24"/>
        </w:rPr>
        <w:t>) es que se encuentra en una zona de indistinción, en un umbral: no pertenece ni al ámbito del derecho penal ni al religioso. Esta figura daría cuenta de la forma en que la vida fue configurada, capturada (originariamente), por parte del poder. Y esto por cuanto Agamben (retomando, entre otros, los trabajos de Schmitt y Hobbes) sostiene que el espacio político de la soberanía se instituyó mediante una excepción doble, “como una excrecencia de lo profano en lo religioso y de lo religioso en lo profano que configura una zona de indiferencia entre el sacrificio y el homicidio” (2017: 132). De ahí que</w:t>
      </w:r>
      <w:r w:rsidR="001C20BE">
        <w:rPr>
          <w:rFonts w:ascii="Times New Roman" w:hAnsi="Times New Roman"/>
          <w:sz w:val="24"/>
          <w:szCs w:val="24"/>
        </w:rPr>
        <w:t>, según el filósofo,</w:t>
      </w:r>
      <w:r w:rsidR="00C06BD1">
        <w:rPr>
          <w:rFonts w:ascii="Times New Roman" w:hAnsi="Times New Roman"/>
          <w:sz w:val="24"/>
          <w:szCs w:val="24"/>
        </w:rPr>
        <w:t xml:space="preserve"> la sacralidad de la vida se caracteri</w:t>
      </w:r>
      <w:r w:rsidR="001C20BE">
        <w:rPr>
          <w:rFonts w:ascii="Times New Roman" w:hAnsi="Times New Roman"/>
          <w:sz w:val="24"/>
          <w:szCs w:val="24"/>
        </w:rPr>
        <w:t>za</w:t>
      </w:r>
      <w:r w:rsidR="00C06BD1">
        <w:rPr>
          <w:rFonts w:ascii="Times New Roman" w:hAnsi="Times New Roman"/>
          <w:sz w:val="24"/>
          <w:szCs w:val="24"/>
        </w:rPr>
        <w:t xml:space="preserve"> por referir estrictamente a esa dimensión jurídico-política originaria. Dimensión que es originaria puesto que es mediante la captura de una vida humana que se puede matar y es insacrificable, que el poder soberano se instituye como tal. Más que un fenómeno religioso (como lo ha pensado la sociología francesa), entonces, la sacralidad de la vida es un fenómeno jurídico-religioso; se trata de una “formulación política originaria de la imposición del vínculo soberano” (2017: 135). Y de ahí que, por tratarse de una “prestación original de la soberanía” </w:t>
      </w:r>
      <w:r w:rsidR="00C06BD1">
        <w:rPr>
          <w:rFonts w:ascii="Times New Roman" w:hAnsi="Times New Roman"/>
          <w:sz w:val="24"/>
          <w:szCs w:val="24"/>
        </w:rPr>
        <w:lastRenderedPageBreak/>
        <w:t>(2017: 132), la relación de imbricación entre vida y poder (</w:t>
      </w:r>
      <w:proofErr w:type="spellStart"/>
      <w:r w:rsidR="00C06BD1">
        <w:rPr>
          <w:rFonts w:ascii="Times New Roman" w:hAnsi="Times New Roman"/>
          <w:sz w:val="24"/>
          <w:szCs w:val="24"/>
        </w:rPr>
        <w:t>Raffin</w:t>
      </w:r>
      <w:proofErr w:type="spellEnd"/>
      <w:r w:rsidR="00C06BD1" w:rsidRPr="00A95B94">
        <w:rPr>
          <w:rFonts w:ascii="Times New Roman" w:hAnsi="Times New Roman"/>
          <w:sz w:val="24"/>
          <w:szCs w:val="24"/>
        </w:rPr>
        <w:t xml:space="preserve">, </w:t>
      </w:r>
      <w:r w:rsidR="00C06BD1">
        <w:rPr>
          <w:rFonts w:ascii="Times New Roman" w:hAnsi="Times New Roman"/>
          <w:sz w:val="24"/>
          <w:szCs w:val="24"/>
        </w:rPr>
        <w:t>2018</w:t>
      </w:r>
      <w:r w:rsidR="00C06BD1" w:rsidRPr="00A95B94">
        <w:rPr>
          <w:rFonts w:ascii="Times New Roman" w:hAnsi="Times New Roman"/>
          <w:sz w:val="24"/>
          <w:szCs w:val="24"/>
        </w:rPr>
        <w:t>)</w:t>
      </w:r>
      <w:r w:rsidR="00C06BD1">
        <w:rPr>
          <w:rFonts w:ascii="Times New Roman" w:hAnsi="Times New Roman"/>
          <w:sz w:val="24"/>
          <w:szCs w:val="24"/>
        </w:rPr>
        <w:t xml:space="preserve"> no puede ser un rasgo propio (y novedoso) de las sociedades modernas, sino más bien una característica de la historia política de Occidente, desde la antigüedad hasta nuestros tiempos.</w:t>
      </w:r>
    </w:p>
    <w:p w14:paraId="7B5C4A84" w14:textId="32B6EC88" w:rsidR="001654A4" w:rsidRDefault="001654A4" w:rsidP="001654A4">
      <w:pPr>
        <w:spacing w:line="360" w:lineRule="auto"/>
        <w:jc w:val="both"/>
        <w:rPr>
          <w:rFonts w:ascii="Times New Roman" w:hAnsi="Times New Roman"/>
          <w:sz w:val="24"/>
          <w:szCs w:val="24"/>
        </w:rPr>
      </w:pPr>
      <w:r>
        <w:rPr>
          <w:rFonts w:ascii="Times New Roman" w:hAnsi="Times New Roman"/>
          <w:sz w:val="24"/>
          <w:szCs w:val="24"/>
        </w:rPr>
        <w:t xml:space="preserve">La captura de la vida por parte del poder, su politización, es ubicada ciertamente en el centro de la esfera política, pero de una forma muy peculiar. La vida natural, excluida del ordenamiento en favor de una vida calificada (eso que los griegos han llamado </w:t>
      </w:r>
      <w:r>
        <w:rPr>
          <w:rFonts w:ascii="Times New Roman" w:hAnsi="Times New Roman"/>
          <w:i/>
          <w:sz w:val="24"/>
          <w:szCs w:val="24"/>
        </w:rPr>
        <w:t>bíos,</w:t>
      </w:r>
      <w:r>
        <w:rPr>
          <w:rFonts w:ascii="Times New Roman" w:hAnsi="Times New Roman"/>
          <w:sz w:val="24"/>
          <w:szCs w:val="24"/>
        </w:rPr>
        <w:t xml:space="preserve"> o lo que la modernidad ha llamado ciudadano), solo es incluida a través de su exclusión. Es decir, a través de la exposición a un poder de muerte, a una violencia (soberana) que, como vimos, no puede calificarse ni como homicidio ni como sacrificio. Como mencionamos antes, este es un espacio límite, un umbral que se corresponde con el </w:t>
      </w:r>
      <w:r>
        <w:rPr>
          <w:rFonts w:ascii="Times New Roman" w:hAnsi="Times New Roman"/>
          <w:i/>
          <w:sz w:val="24"/>
          <w:szCs w:val="24"/>
        </w:rPr>
        <w:t>estado de excepción</w:t>
      </w:r>
      <w:r>
        <w:rPr>
          <w:rFonts w:ascii="Times New Roman" w:hAnsi="Times New Roman"/>
          <w:sz w:val="24"/>
          <w:szCs w:val="24"/>
        </w:rPr>
        <w:t>. Una zona de verdadera indistinción donde naturaleza y cultura, violencia y ley, excepción y regla, ya no pueden distinguirse con claridad, y que habita el núcleo mismo de toda sociedad</w:t>
      </w:r>
      <w:r>
        <w:rPr>
          <w:rStyle w:val="Refdenotaalpie"/>
          <w:rFonts w:ascii="Times New Roman" w:hAnsi="Times New Roman"/>
          <w:sz w:val="24"/>
          <w:szCs w:val="24"/>
        </w:rPr>
        <w:footnoteReference w:id="3"/>
      </w:r>
      <w:r>
        <w:rPr>
          <w:rFonts w:ascii="Times New Roman" w:hAnsi="Times New Roman"/>
          <w:sz w:val="24"/>
          <w:szCs w:val="24"/>
        </w:rPr>
        <w:t xml:space="preserve">. Trazada por la decisión soberana, esta relación —que expresa la estructura formal originaria de la relación jurídica misma—, en la que se incluye algo solo a través de una exclusión, es para Agamben una </w:t>
      </w:r>
      <w:r>
        <w:rPr>
          <w:rFonts w:ascii="Times New Roman" w:hAnsi="Times New Roman"/>
          <w:i/>
          <w:sz w:val="24"/>
          <w:szCs w:val="24"/>
        </w:rPr>
        <w:t>relación de bando</w:t>
      </w:r>
      <w:r>
        <w:rPr>
          <w:rFonts w:ascii="Times New Roman" w:hAnsi="Times New Roman"/>
          <w:sz w:val="24"/>
          <w:szCs w:val="24"/>
        </w:rPr>
        <w:t xml:space="preserve">, de abandono. De manera que decir que la vida </w:t>
      </w:r>
      <w:r>
        <w:rPr>
          <w:rFonts w:ascii="Times New Roman" w:hAnsi="Times New Roman"/>
          <w:i/>
          <w:sz w:val="24"/>
          <w:szCs w:val="24"/>
        </w:rPr>
        <w:t>desnuda</w:t>
      </w:r>
      <w:r>
        <w:rPr>
          <w:rFonts w:ascii="Times New Roman" w:hAnsi="Times New Roman"/>
          <w:sz w:val="24"/>
          <w:szCs w:val="24"/>
        </w:rPr>
        <w:t xml:space="preserve"> se encuentra capturada en esta zona de indistinción, es también decir que esta se encuentra en una relación de abandono, donde abandono no implica simplemente estar fuera de la ley y ser indiferente a ella, sino estar expuesto a la violencia de un umbral donde se confunden vida y derecho, excepción y ley, interioridad y exterioridad (Agamben, 2017: 53).</w:t>
      </w:r>
    </w:p>
    <w:p w14:paraId="2E9CF30D" w14:textId="7D3B54BF" w:rsidR="00056CFB" w:rsidRDefault="00056CFB" w:rsidP="001654A4">
      <w:pPr>
        <w:spacing w:line="360" w:lineRule="auto"/>
        <w:jc w:val="both"/>
        <w:rPr>
          <w:rFonts w:ascii="Times New Roman" w:hAnsi="Times New Roman"/>
          <w:sz w:val="24"/>
          <w:szCs w:val="24"/>
        </w:rPr>
      </w:pPr>
      <w:r>
        <w:rPr>
          <w:rFonts w:ascii="Times New Roman" w:hAnsi="Times New Roman"/>
          <w:sz w:val="24"/>
          <w:szCs w:val="24"/>
        </w:rPr>
        <w:t xml:space="preserve">De ahí que lo propiamente moderno </w:t>
      </w:r>
      <w:proofErr w:type="gramStart"/>
      <w:r>
        <w:rPr>
          <w:rFonts w:ascii="Times New Roman" w:hAnsi="Times New Roman"/>
          <w:sz w:val="24"/>
          <w:szCs w:val="24"/>
        </w:rPr>
        <w:t>en relación a</w:t>
      </w:r>
      <w:proofErr w:type="gramEnd"/>
      <w:r>
        <w:rPr>
          <w:rFonts w:ascii="Times New Roman" w:hAnsi="Times New Roman"/>
          <w:sz w:val="24"/>
          <w:szCs w:val="24"/>
        </w:rPr>
        <w:t xml:space="preserve"> la politización de la vida es el devenir regla de la excepción: “[…] el espacio de la vida desnuda que en su origen estaba situado al margen del ordenamiento, progresivamente coincide con el espacio político, y exclusión e inclusión, derecho y hecho entran en una zona de indistinción irreductible” (2017: 22). De este modo, lo que muestra la modernidad cada vez con mayor claridad es la trasformación de la biopolítica en </w:t>
      </w:r>
      <w:proofErr w:type="spellStart"/>
      <w:r>
        <w:rPr>
          <w:rFonts w:ascii="Times New Roman" w:hAnsi="Times New Roman"/>
          <w:sz w:val="24"/>
          <w:szCs w:val="24"/>
        </w:rPr>
        <w:t>tanatopolítica</w:t>
      </w:r>
      <w:proofErr w:type="spellEnd"/>
      <w:r>
        <w:rPr>
          <w:rFonts w:ascii="Times New Roman" w:hAnsi="Times New Roman"/>
          <w:sz w:val="24"/>
          <w:szCs w:val="24"/>
        </w:rPr>
        <w:t>.</w:t>
      </w:r>
    </w:p>
    <w:p w14:paraId="078D5228" w14:textId="0ABD2FBA" w:rsidR="00C06BD1" w:rsidRDefault="00412616" w:rsidP="00C06BD1">
      <w:pPr>
        <w:spacing w:line="360" w:lineRule="auto"/>
        <w:jc w:val="both"/>
        <w:rPr>
          <w:rFonts w:ascii="Times New Roman" w:hAnsi="Times New Roman"/>
          <w:sz w:val="24"/>
          <w:szCs w:val="24"/>
        </w:rPr>
      </w:pPr>
      <w:r>
        <w:rPr>
          <w:rFonts w:ascii="Times New Roman" w:hAnsi="Times New Roman"/>
          <w:sz w:val="24"/>
          <w:szCs w:val="24"/>
        </w:rPr>
        <w:t>Se podrá observar que</w:t>
      </w:r>
      <w:r w:rsidR="00C06BD1">
        <w:rPr>
          <w:rFonts w:ascii="Times New Roman" w:hAnsi="Times New Roman"/>
          <w:sz w:val="24"/>
          <w:szCs w:val="24"/>
        </w:rPr>
        <w:t xml:space="preserve"> </w:t>
      </w:r>
      <w:r w:rsidR="00162237">
        <w:rPr>
          <w:rFonts w:ascii="Times New Roman" w:hAnsi="Times New Roman"/>
          <w:sz w:val="24"/>
          <w:szCs w:val="24"/>
        </w:rPr>
        <w:t xml:space="preserve">los </w:t>
      </w:r>
      <w:r w:rsidR="00C06BD1">
        <w:rPr>
          <w:rFonts w:ascii="Times New Roman" w:hAnsi="Times New Roman"/>
          <w:sz w:val="24"/>
          <w:szCs w:val="24"/>
        </w:rPr>
        <w:t>desarrollos de Agamben rechazan las propuestas de pensar la vida como un derecho humano fundamental e inviolable, algo que sostienen firmemente, entre otros, las ideologías jurídicas de la modernidad</w:t>
      </w:r>
      <w:r w:rsidR="004848CB">
        <w:rPr>
          <w:rFonts w:ascii="Times New Roman" w:hAnsi="Times New Roman"/>
          <w:sz w:val="24"/>
          <w:szCs w:val="24"/>
        </w:rPr>
        <w:t>, y sobre lo que se encuentra cimentado todo el derecho moderno</w:t>
      </w:r>
      <w:r w:rsidR="00C06BD1" w:rsidRPr="003E16B9">
        <w:rPr>
          <w:rFonts w:ascii="Times New Roman" w:hAnsi="Times New Roman"/>
          <w:sz w:val="24"/>
          <w:szCs w:val="24"/>
        </w:rPr>
        <w:t xml:space="preserve">. </w:t>
      </w:r>
      <w:r w:rsidR="00C06BD1">
        <w:rPr>
          <w:rFonts w:ascii="Times New Roman" w:hAnsi="Times New Roman"/>
          <w:sz w:val="24"/>
          <w:szCs w:val="24"/>
        </w:rPr>
        <w:t>En este sentido</w:t>
      </w:r>
      <w:r w:rsidR="00C06BD1" w:rsidRPr="003E16B9">
        <w:rPr>
          <w:rFonts w:ascii="Times New Roman" w:hAnsi="Times New Roman"/>
          <w:sz w:val="24"/>
          <w:szCs w:val="24"/>
        </w:rPr>
        <w:t xml:space="preserve">, si la vida es sagrada </w:t>
      </w:r>
      <w:r w:rsidR="00C06BD1">
        <w:rPr>
          <w:rFonts w:ascii="Times New Roman" w:hAnsi="Times New Roman"/>
          <w:sz w:val="24"/>
          <w:szCs w:val="24"/>
        </w:rPr>
        <w:t>esto no se debe a que se trata</w:t>
      </w:r>
      <w:r w:rsidR="00C06BD1" w:rsidRPr="003E16B9">
        <w:rPr>
          <w:rFonts w:ascii="Times New Roman" w:hAnsi="Times New Roman"/>
          <w:sz w:val="24"/>
          <w:szCs w:val="24"/>
        </w:rPr>
        <w:t xml:space="preserve"> de un valor inviolable y altamente protegido, sino </w:t>
      </w:r>
      <w:r w:rsidR="00C06BD1">
        <w:rPr>
          <w:rFonts w:ascii="Times New Roman" w:hAnsi="Times New Roman"/>
          <w:sz w:val="24"/>
          <w:szCs w:val="24"/>
        </w:rPr>
        <w:t>a que</w:t>
      </w:r>
      <w:r w:rsidR="00C06BD1" w:rsidRPr="003E16B9">
        <w:rPr>
          <w:rFonts w:ascii="Times New Roman" w:hAnsi="Times New Roman"/>
          <w:sz w:val="24"/>
          <w:szCs w:val="24"/>
        </w:rPr>
        <w:t xml:space="preserve"> en origen</w:t>
      </w:r>
      <w:r w:rsidR="00C06BD1">
        <w:rPr>
          <w:rFonts w:ascii="Times New Roman" w:hAnsi="Times New Roman"/>
          <w:sz w:val="24"/>
          <w:szCs w:val="24"/>
        </w:rPr>
        <w:t xml:space="preserve"> expresa “la sujeción de la vida a un poder de muerte, su exposición irreparable a una relación de abandono” (2017: 132). Pero, aun cuando </w:t>
      </w:r>
      <w:r w:rsidR="00C06BD1">
        <w:rPr>
          <w:rFonts w:ascii="Times New Roman" w:hAnsi="Times New Roman"/>
          <w:sz w:val="24"/>
          <w:szCs w:val="24"/>
        </w:rPr>
        <w:lastRenderedPageBreak/>
        <w:t xml:space="preserve">la politización de la vida no sea un rasgo propio de la modernidad, lo cierto es que las sociedades modernas poseen una particularidad que las distingue de otras sociedades de periodos históricos anteriores. Así como Foucault, Agamben también reconoce que la modernidad coloca cada vez más la vida en los cálculos del poder, que “la vida biológica con sus necesidades se ha vuelto el hecho políticamente decisivo” (2017: 185). No obstante, a la luz de la propuesta general de Agamben, esta aserción tiene ciertas implicancias no presentes en la propuesta </w:t>
      </w:r>
      <w:proofErr w:type="spellStart"/>
      <w:r w:rsidR="00C06BD1">
        <w:rPr>
          <w:rFonts w:ascii="Times New Roman" w:hAnsi="Times New Roman"/>
          <w:sz w:val="24"/>
          <w:szCs w:val="24"/>
        </w:rPr>
        <w:t>foucaultiana</w:t>
      </w:r>
      <w:proofErr w:type="spellEnd"/>
      <w:r w:rsidR="00C06BD1">
        <w:rPr>
          <w:rFonts w:ascii="Times New Roman" w:hAnsi="Times New Roman"/>
          <w:sz w:val="24"/>
          <w:szCs w:val="24"/>
        </w:rPr>
        <w:t xml:space="preserve">. Estas implicancias no están solamente vinculadas a las disimilitudes que muestran ambos autores </w:t>
      </w:r>
      <w:proofErr w:type="gramStart"/>
      <w:r w:rsidR="00C06BD1">
        <w:rPr>
          <w:rFonts w:ascii="Times New Roman" w:hAnsi="Times New Roman"/>
          <w:sz w:val="24"/>
          <w:szCs w:val="24"/>
        </w:rPr>
        <w:t>en relación al</w:t>
      </w:r>
      <w:proofErr w:type="gramEnd"/>
      <w:r w:rsidR="00C06BD1">
        <w:rPr>
          <w:rFonts w:ascii="Times New Roman" w:hAnsi="Times New Roman"/>
          <w:sz w:val="24"/>
          <w:szCs w:val="24"/>
        </w:rPr>
        <w:t xml:space="preserve"> momento de surgimiento de la biopolítica. A diferencia de Foucault, la biopolítica es para Agamben siempre también </w:t>
      </w:r>
      <w:proofErr w:type="spellStart"/>
      <w:r w:rsidR="00C06BD1">
        <w:rPr>
          <w:rFonts w:ascii="Times New Roman" w:hAnsi="Times New Roman"/>
          <w:sz w:val="24"/>
          <w:szCs w:val="24"/>
        </w:rPr>
        <w:t>tanatopolítica</w:t>
      </w:r>
      <w:proofErr w:type="spellEnd"/>
      <w:r w:rsidR="00C06BD1">
        <w:rPr>
          <w:rFonts w:ascii="Times New Roman" w:hAnsi="Times New Roman"/>
          <w:sz w:val="24"/>
          <w:szCs w:val="24"/>
        </w:rPr>
        <w:t xml:space="preserve"> dado que refiere, en definitiva, a la posibilidad soberana de dar muerte sin que eso sea ni un sacrificio ni un homicidio. En este sentido, </w:t>
      </w:r>
      <w:proofErr w:type="gramStart"/>
      <w:r w:rsidR="00C06BD1">
        <w:rPr>
          <w:rFonts w:ascii="Times New Roman" w:hAnsi="Times New Roman"/>
          <w:sz w:val="24"/>
          <w:szCs w:val="24"/>
        </w:rPr>
        <w:t>afirmar</w:t>
      </w:r>
      <w:proofErr w:type="gramEnd"/>
      <w:r w:rsidR="00C06BD1">
        <w:rPr>
          <w:rFonts w:ascii="Times New Roman" w:hAnsi="Times New Roman"/>
          <w:sz w:val="24"/>
          <w:szCs w:val="24"/>
        </w:rPr>
        <w:t xml:space="preserve"> que el poder ejerce cada vez más cálculos y previsiones</w:t>
      </w:r>
      <w:r w:rsidR="00C06BD1" w:rsidRPr="00D83B8E">
        <w:rPr>
          <w:rFonts w:ascii="Times New Roman" w:hAnsi="Times New Roman"/>
          <w:sz w:val="24"/>
          <w:szCs w:val="24"/>
        </w:rPr>
        <w:t xml:space="preserve"> </w:t>
      </w:r>
      <w:r w:rsidR="00C06BD1">
        <w:rPr>
          <w:rFonts w:ascii="Times New Roman" w:hAnsi="Times New Roman"/>
          <w:sz w:val="24"/>
          <w:szCs w:val="24"/>
        </w:rPr>
        <w:t xml:space="preserve">sobre la vida biológica, no es más que decir que la </w:t>
      </w:r>
      <w:r w:rsidR="00C06BD1">
        <w:rPr>
          <w:rFonts w:ascii="Times New Roman" w:hAnsi="Times New Roman"/>
          <w:i/>
          <w:sz w:val="24"/>
          <w:szCs w:val="24"/>
        </w:rPr>
        <w:t>nuda vida</w:t>
      </w:r>
      <w:r w:rsidR="00C06BD1">
        <w:rPr>
          <w:rFonts w:ascii="Times New Roman" w:hAnsi="Times New Roman"/>
          <w:sz w:val="24"/>
          <w:szCs w:val="24"/>
        </w:rPr>
        <w:t xml:space="preserve"> se ubica crecientemente en el centro de las estrategias políticas y que, entonces, </w:t>
      </w:r>
      <w:r w:rsidR="00264C4B">
        <w:rPr>
          <w:rFonts w:ascii="Times New Roman" w:hAnsi="Times New Roman"/>
          <w:sz w:val="24"/>
          <w:szCs w:val="24"/>
        </w:rPr>
        <w:t>se torna</w:t>
      </w:r>
      <w:r w:rsidR="00C06BD1">
        <w:rPr>
          <w:rFonts w:ascii="Times New Roman" w:hAnsi="Times New Roman"/>
          <w:sz w:val="24"/>
          <w:szCs w:val="24"/>
        </w:rPr>
        <w:t xml:space="preserve"> cada vez más libremente dispuesta por parte del poder soberano. </w:t>
      </w:r>
      <w:r w:rsidR="00264C4B">
        <w:rPr>
          <w:rFonts w:ascii="Times New Roman" w:hAnsi="Times New Roman"/>
          <w:sz w:val="24"/>
          <w:szCs w:val="24"/>
        </w:rPr>
        <w:t>Según Agamben, e</w:t>
      </w:r>
      <w:r w:rsidR="00F77F84">
        <w:rPr>
          <w:rFonts w:ascii="Times New Roman" w:hAnsi="Times New Roman"/>
          <w:sz w:val="24"/>
          <w:szCs w:val="24"/>
        </w:rPr>
        <w:t xml:space="preserve">l espacio de la excepción </w:t>
      </w:r>
      <w:r w:rsidR="000672E2">
        <w:rPr>
          <w:rFonts w:ascii="Times New Roman" w:hAnsi="Times New Roman"/>
          <w:sz w:val="24"/>
          <w:szCs w:val="24"/>
        </w:rPr>
        <w:t xml:space="preserve">definido por </w:t>
      </w:r>
      <w:r w:rsidR="00264C4B">
        <w:rPr>
          <w:rFonts w:ascii="Times New Roman" w:hAnsi="Times New Roman"/>
          <w:sz w:val="24"/>
          <w:szCs w:val="24"/>
        </w:rPr>
        <w:t xml:space="preserve">la soberanía </w:t>
      </w:r>
      <w:r w:rsidR="000672E2">
        <w:rPr>
          <w:rFonts w:ascii="Times New Roman" w:hAnsi="Times New Roman"/>
          <w:sz w:val="24"/>
          <w:szCs w:val="24"/>
        </w:rPr>
        <w:t xml:space="preserve">que </w:t>
      </w:r>
      <w:r w:rsidR="00F77F84">
        <w:rPr>
          <w:rFonts w:ascii="Times New Roman" w:hAnsi="Times New Roman"/>
          <w:sz w:val="24"/>
          <w:szCs w:val="24"/>
        </w:rPr>
        <w:t>abre esta</w:t>
      </w:r>
      <w:r w:rsidR="00264C4B">
        <w:rPr>
          <w:rFonts w:ascii="Times New Roman" w:hAnsi="Times New Roman"/>
          <w:sz w:val="24"/>
          <w:szCs w:val="24"/>
        </w:rPr>
        <w:t xml:space="preserve"> esfera de</w:t>
      </w:r>
      <w:r w:rsidR="00F77F84">
        <w:rPr>
          <w:rFonts w:ascii="Times New Roman" w:hAnsi="Times New Roman"/>
          <w:sz w:val="24"/>
          <w:szCs w:val="24"/>
        </w:rPr>
        <w:t xml:space="preserve"> libre disposición de ciertas vidas se ha vuelto cada vez </w:t>
      </w:r>
      <w:r w:rsidR="009058AC">
        <w:rPr>
          <w:rFonts w:ascii="Times New Roman" w:hAnsi="Times New Roman"/>
          <w:sz w:val="24"/>
          <w:szCs w:val="24"/>
        </w:rPr>
        <w:t xml:space="preserve">menos </w:t>
      </w:r>
      <w:r w:rsidR="009058AC" w:rsidRPr="009058AC">
        <w:rPr>
          <w:rFonts w:ascii="Times New Roman" w:hAnsi="Times New Roman"/>
          <w:i/>
          <w:iCs/>
          <w:sz w:val="24"/>
          <w:szCs w:val="24"/>
        </w:rPr>
        <w:t xml:space="preserve">excepcional </w:t>
      </w:r>
      <w:r w:rsidR="009058AC">
        <w:rPr>
          <w:rFonts w:ascii="Times New Roman" w:hAnsi="Times New Roman"/>
          <w:sz w:val="24"/>
          <w:szCs w:val="24"/>
        </w:rPr>
        <w:t xml:space="preserve">y </w:t>
      </w:r>
      <w:r w:rsidR="00F77F84">
        <w:rPr>
          <w:rFonts w:ascii="Times New Roman" w:hAnsi="Times New Roman"/>
          <w:sz w:val="24"/>
          <w:szCs w:val="24"/>
        </w:rPr>
        <w:t>más frecuente.</w:t>
      </w:r>
    </w:p>
    <w:p w14:paraId="312A8F6A" w14:textId="0D0FE471" w:rsidR="00216A17" w:rsidRDefault="003646C3" w:rsidP="00216A17">
      <w:pPr>
        <w:spacing w:line="360" w:lineRule="auto"/>
        <w:jc w:val="both"/>
        <w:rPr>
          <w:rFonts w:ascii="Times New Roman" w:hAnsi="Times New Roman"/>
          <w:sz w:val="24"/>
          <w:szCs w:val="24"/>
        </w:rPr>
      </w:pPr>
      <w:r>
        <w:rPr>
          <w:rFonts w:ascii="Times New Roman" w:hAnsi="Times New Roman"/>
          <w:sz w:val="24"/>
          <w:szCs w:val="24"/>
        </w:rPr>
        <w:t>Ahora bien,</w:t>
      </w:r>
      <w:r w:rsidR="00FC2DE2">
        <w:rPr>
          <w:rFonts w:ascii="Times New Roman" w:hAnsi="Times New Roman"/>
          <w:sz w:val="24"/>
          <w:szCs w:val="24"/>
        </w:rPr>
        <w:t xml:space="preserve"> aun cuando Agamben sostenga que la estructura biopolítica </w:t>
      </w:r>
      <w:r w:rsidR="005608CB">
        <w:rPr>
          <w:rFonts w:ascii="Times New Roman" w:hAnsi="Times New Roman"/>
          <w:sz w:val="24"/>
          <w:szCs w:val="24"/>
        </w:rPr>
        <w:t xml:space="preserve">moderna </w:t>
      </w:r>
      <w:r w:rsidR="00FC2DE2">
        <w:rPr>
          <w:rFonts w:ascii="Times New Roman" w:hAnsi="Times New Roman"/>
          <w:sz w:val="24"/>
          <w:szCs w:val="24"/>
        </w:rPr>
        <w:t xml:space="preserve">de occidente </w:t>
      </w:r>
      <w:r w:rsidR="005608CB">
        <w:rPr>
          <w:rFonts w:ascii="Times New Roman" w:hAnsi="Times New Roman"/>
          <w:sz w:val="24"/>
          <w:szCs w:val="24"/>
        </w:rPr>
        <w:t xml:space="preserve">vuelve a todos los hombres </w:t>
      </w:r>
      <w:r w:rsidR="005608CB">
        <w:rPr>
          <w:rFonts w:ascii="Times New Roman" w:hAnsi="Times New Roman"/>
          <w:i/>
          <w:iCs/>
          <w:sz w:val="24"/>
          <w:szCs w:val="24"/>
        </w:rPr>
        <w:t xml:space="preserve">virtualmente </w:t>
      </w:r>
      <w:r w:rsidR="005608CB">
        <w:rPr>
          <w:rFonts w:ascii="Times New Roman" w:hAnsi="Times New Roman"/>
          <w:sz w:val="24"/>
          <w:szCs w:val="24"/>
        </w:rPr>
        <w:t>hombres sagrados</w:t>
      </w:r>
      <w:r w:rsidR="005C3631">
        <w:rPr>
          <w:rFonts w:ascii="Times New Roman" w:hAnsi="Times New Roman"/>
          <w:sz w:val="24"/>
          <w:szCs w:val="24"/>
        </w:rPr>
        <w:t xml:space="preserve"> (pues generaliza el Estado de Excepción)</w:t>
      </w:r>
      <w:r w:rsidR="005608CB">
        <w:rPr>
          <w:rFonts w:ascii="Times New Roman" w:hAnsi="Times New Roman"/>
          <w:sz w:val="24"/>
          <w:szCs w:val="24"/>
        </w:rPr>
        <w:t xml:space="preserve">, lo cierto es que también señala que </w:t>
      </w:r>
      <w:r>
        <w:rPr>
          <w:rFonts w:ascii="Times New Roman" w:hAnsi="Times New Roman"/>
          <w:sz w:val="24"/>
          <w:szCs w:val="24"/>
        </w:rPr>
        <w:t xml:space="preserve">todas las sociedades tienen sus </w:t>
      </w:r>
      <w:r w:rsidR="001654A4">
        <w:rPr>
          <w:rFonts w:ascii="Times New Roman" w:hAnsi="Times New Roman"/>
          <w:sz w:val="24"/>
          <w:szCs w:val="24"/>
        </w:rPr>
        <w:t xml:space="preserve">propios </w:t>
      </w:r>
      <w:r>
        <w:rPr>
          <w:rFonts w:ascii="Times New Roman" w:hAnsi="Times New Roman"/>
          <w:sz w:val="24"/>
          <w:szCs w:val="24"/>
        </w:rPr>
        <w:t xml:space="preserve">hombres sagrados. Y esto por cuanto </w:t>
      </w:r>
      <w:r w:rsidR="00300B65">
        <w:rPr>
          <w:rFonts w:ascii="Times New Roman" w:hAnsi="Times New Roman"/>
          <w:sz w:val="24"/>
          <w:szCs w:val="24"/>
        </w:rPr>
        <w:t>esta estructura opera la</w:t>
      </w:r>
      <w:r>
        <w:rPr>
          <w:rFonts w:ascii="Times New Roman" w:hAnsi="Times New Roman"/>
          <w:sz w:val="24"/>
          <w:szCs w:val="24"/>
        </w:rPr>
        <w:t xml:space="preserve"> decisión entre</w:t>
      </w:r>
      <w:r w:rsidR="00300B65">
        <w:rPr>
          <w:rFonts w:ascii="Times New Roman" w:hAnsi="Times New Roman"/>
          <w:sz w:val="24"/>
          <w:szCs w:val="24"/>
        </w:rPr>
        <w:t xml:space="preserve"> las</w:t>
      </w:r>
      <w:r>
        <w:rPr>
          <w:rFonts w:ascii="Times New Roman" w:hAnsi="Times New Roman"/>
          <w:sz w:val="24"/>
          <w:szCs w:val="24"/>
        </w:rPr>
        <w:t xml:space="preserve"> vidas </w:t>
      </w:r>
      <w:r w:rsidR="00300B65">
        <w:rPr>
          <w:rFonts w:ascii="Times New Roman" w:hAnsi="Times New Roman"/>
          <w:sz w:val="24"/>
          <w:szCs w:val="24"/>
        </w:rPr>
        <w:t xml:space="preserve">que son </w:t>
      </w:r>
      <w:r>
        <w:rPr>
          <w:rFonts w:ascii="Times New Roman" w:hAnsi="Times New Roman"/>
          <w:sz w:val="24"/>
          <w:szCs w:val="24"/>
        </w:rPr>
        <w:t xml:space="preserve">dignas de ser vividas, y </w:t>
      </w:r>
      <w:r w:rsidR="00300B65">
        <w:rPr>
          <w:rFonts w:ascii="Times New Roman" w:hAnsi="Times New Roman"/>
          <w:sz w:val="24"/>
          <w:szCs w:val="24"/>
        </w:rPr>
        <w:t xml:space="preserve">las </w:t>
      </w:r>
      <w:r>
        <w:rPr>
          <w:rFonts w:ascii="Times New Roman" w:hAnsi="Times New Roman"/>
          <w:sz w:val="24"/>
          <w:szCs w:val="24"/>
        </w:rPr>
        <w:t xml:space="preserve">vidas que no lo son. Es trazando ese límite </w:t>
      </w:r>
      <w:r w:rsidR="00C73829">
        <w:rPr>
          <w:rFonts w:ascii="Times New Roman" w:hAnsi="Times New Roman"/>
          <w:sz w:val="24"/>
          <w:szCs w:val="24"/>
        </w:rPr>
        <w:t>que se</w:t>
      </w:r>
      <w:r>
        <w:rPr>
          <w:rFonts w:ascii="Times New Roman" w:hAnsi="Times New Roman"/>
          <w:sz w:val="24"/>
          <w:szCs w:val="24"/>
        </w:rPr>
        <w:t xml:space="preserve"> sacraliza</w:t>
      </w:r>
      <w:r w:rsidR="00C73829">
        <w:rPr>
          <w:rFonts w:ascii="Times New Roman" w:hAnsi="Times New Roman"/>
          <w:sz w:val="24"/>
          <w:szCs w:val="24"/>
        </w:rPr>
        <w:t>n</w:t>
      </w:r>
      <w:r>
        <w:rPr>
          <w:rFonts w:ascii="Times New Roman" w:hAnsi="Times New Roman"/>
          <w:sz w:val="24"/>
          <w:szCs w:val="24"/>
        </w:rPr>
        <w:t xml:space="preserve"> algunas vidas, convirtiendo así algunos hombres en </w:t>
      </w:r>
      <w:r w:rsidR="00C73829">
        <w:rPr>
          <w:rFonts w:ascii="Times New Roman" w:hAnsi="Times New Roman"/>
          <w:i/>
          <w:iCs/>
          <w:sz w:val="24"/>
          <w:szCs w:val="24"/>
        </w:rPr>
        <w:t>sacer</w:t>
      </w:r>
      <w:r w:rsidR="00C73829">
        <w:rPr>
          <w:rFonts w:ascii="Times New Roman" w:hAnsi="Times New Roman"/>
          <w:sz w:val="24"/>
          <w:szCs w:val="24"/>
        </w:rPr>
        <w:t>.</w:t>
      </w:r>
    </w:p>
    <w:p w14:paraId="20ADB34C" w14:textId="56C9EECD" w:rsidR="00D13D79" w:rsidRDefault="00D13D79" w:rsidP="00216A17">
      <w:pPr>
        <w:spacing w:line="360" w:lineRule="auto"/>
        <w:jc w:val="both"/>
        <w:rPr>
          <w:rFonts w:ascii="Times New Roman" w:hAnsi="Times New Roman"/>
          <w:sz w:val="24"/>
          <w:szCs w:val="24"/>
        </w:rPr>
      </w:pPr>
    </w:p>
    <w:p w14:paraId="1BDB20E4" w14:textId="1AE9F7DB" w:rsidR="00D13D79" w:rsidRPr="00AE669B" w:rsidRDefault="00835711" w:rsidP="00216A17">
      <w:pPr>
        <w:spacing w:line="360" w:lineRule="auto"/>
        <w:jc w:val="both"/>
        <w:rPr>
          <w:rFonts w:ascii="Times New Roman" w:hAnsi="Times New Roman"/>
          <w:i/>
          <w:iCs/>
          <w:sz w:val="24"/>
          <w:szCs w:val="24"/>
        </w:rPr>
      </w:pPr>
      <w:r>
        <w:rPr>
          <w:rFonts w:ascii="Times New Roman" w:hAnsi="Times New Roman"/>
          <w:i/>
          <w:iCs/>
          <w:sz w:val="24"/>
          <w:szCs w:val="24"/>
        </w:rPr>
        <w:t>La</w:t>
      </w:r>
      <w:r w:rsidR="00401167">
        <w:rPr>
          <w:rFonts w:ascii="Times New Roman" w:hAnsi="Times New Roman"/>
          <w:i/>
          <w:iCs/>
          <w:sz w:val="24"/>
          <w:szCs w:val="24"/>
        </w:rPr>
        <w:t xml:space="preserve"> l</w:t>
      </w:r>
      <w:r w:rsidR="00AE669B" w:rsidRPr="00AE669B">
        <w:rPr>
          <w:rFonts w:ascii="Times New Roman" w:hAnsi="Times New Roman"/>
          <w:i/>
          <w:iCs/>
          <w:sz w:val="24"/>
          <w:szCs w:val="24"/>
        </w:rPr>
        <w:t>egítima defensa</w:t>
      </w:r>
      <w:r>
        <w:rPr>
          <w:rFonts w:ascii="Times New Roman" w:hAnsi="Times New Roman"/>
          <w:i/>
          <w:iCs/>
          <w:sz w:val="24"/>
          <w:szCs w:val="24"/>
        </w:rPr>
        <w:t xml:space="preserve"> en el código penal</w:t>
      </w:r>
      <w:r w:rsidR="00F64363">
        <w:rPr>
          <w:rFonts w:ascii="Times New Roman" w:hAnsi="Times New Roman"/>
          <w:i/>
          <w:iCs/>
          <w:sz w:val="24"/>
          <w:szCs w:val="24"/>
        </w:rPr>
        <w:t xml:space="preserve"> </w:t>
      </w:r>
      <w:r w:rsidR="00C522AE">
        <w:rPr>
          <w:rFonts w:ascii="Times New Roman" w:hAnsi="Times New Roman"/>
          <w:i/>
          <w:iCs/>
          <w:sz w:val="24"/>
          <w:szCs w:val="24"/>
        </w:rPr>
        <w:t>a</w:t>
      </w:r>
      <w:r w:rsidR="00F64363">
        <w:rPr>
          <w:rFonts w:ascii="Times New Roman" w:hAnsi="Times New Roman"/>
          <w:i/>
          <w:iCs/>
          <w:sz w:val="24"/>
          <w:szCs w:val="24"/>
        </w:rPr>
        <w:t>rgentino</w:t>
      </w:r>
    </w:p>
    <w:p w14:paraId="3D715EDE" w14:textId="2F381253" w:rsidR="00FA7B31" w:rsidRDefault="003646C3" w:rsidP="00F3093F">
      <w:pPr>
        <w:spacing w:line="360" w:lineRule="auto"/>
        <w:jc w:val="both"/>
        <w:rPr>
          <w:rFonts w:ascii="Times New Roman" w:hAnsi="Times New Roman" w:cs="Times New Roman"/>
          <w:sz w:val="24"/>
          <w:szCs w:val="24"/>
        </w:rPr>
      </w:pPr>
      <w:r>
        <w:rPr>
          <w:rFonts w:ascii="Times New Roman" w:hAnsi="Times New Roman"/>
          <w:sz w:val="24"/>
          <w:szCs w:val="24"/>
        </w:rPr>
        <w:t xml:space="preserve">Los desarrollos anteriores </w:t>
      </w:r>
      <w:r w:rsidR="008202CF">
        <w:rPr>
          <w:rFonts w:ascii="Times New Roman" w:hAnsi="Times New Roman"/>
          <w:sz w:val="24"/>
          <w:szCs w:val="24"/>
        </w:rPr>
        <w:t>resultan ciertamente útiles para</w:t>
      </w:r>
      <w:r>
        <w:rPr>
          <w:rFonts w:ascii="Times New Roman" w:hAnsi="Times New Roman"/>
          <w:sz w:val="24"/>
          <w:szCs w:val="24"/>
        </w:rPr>
        <w:t xml:space="preserve"> </w:t>
      </w:r>
      <w:r w:rsidR="00D13D79">
        <w:rPr>
          <w:rFonts w:ascii="Times New Roman" w:hAnsi="Times New Roman"/>
          <w:sz w:val="24"/>
          <w:szCs w:val="24"/>
        </w:rPr>
        <w:t>pensar la duplicidad de valencia de la vida que parecería mostrar la relación entre regla y excepción en cuanto a la prohibición de matar.</w:t>
      </w:r>
      <w:r w:rsidR="00D73D39">
        <w:rPr>
          <w:rFonts w:ascii="Times New Roman" w:hAnsi="Times New Roman"/>
          <w:sz w:val="24"/>
          <w:szCs w:val="24"/>
        </w:rPr>
        <w:t xml:space="preserve"> Esta relación (de completa interioridad) entre la prohibición del homicidio y la legítima defensa contraponen, por un lado,</w:t>
      </w:r>
      <w:r w:rsidR="00F10726">
        <w:rPr>
          <w:rFonts w:ascii="Times New Roman" w:hAnsi="Times New Roman"/>
          <w:sz w:val="24"/>
          <w:szCs w:val="24"/>
        </w:rPr>
        <w:t xml:space="preserve"> </w:t>
      </w:r>
      <w:r w:rsidR="00D73D39">
        <w:rPr>
          <w:rFonts w:ascii="Times New Roman" w:hAnsi="Times New Roman"/>
          <w:sz w:val="24"/>
          <w:szCs w:val="24"/>
        </w:rPr>
        <w:t xml:space="preserve">una </w:t>
      </w:r>
      <w:r w:rsidR="00F10726">
        <w:rPr>
          <w:rFonts w:ascii="Times New Roman" w:hAnsi="Times New Roman"/>
          <w:sz w:val="24"/>
          <w:szCs w:val="24"/>
        </w:rPr>
        <w:t xml:space="preserve">vida </w:t>
      </w:r>
      <w:r w:rsidR="00D73D39">
        <w:rPr>
          <w:rFonts w:ascii="Times New Roman" w:hAnsi="Times New Roman"/>
          <w:sz w:val="24"/>
          <w:szCs w:val="24"/>
        </w:rPr>
        <w:t xml:space="preserve">(o unas vidas) </w:t>
      </w:r>
      <w:r w:rsidR="00F10726">
        <w:rPr>
          <w:rFonts w:ascii="Times New Roman" w:hAnsi="Times New Roman"/>
          <w:sz w:val="24"/>
          <w:szCs w:val="24"/>
        </w:rPr>
        <w:t>calificada como valor protegido</w:t>
      </w:r>
      <w:r w:rsidR="00D73D39">
        <w:rPr>
          <w:rFonts w:ascii="Times New Roman" w:hAnsi="Times New Roman"/>
          <w:sz w:val="24"/>
          <w:szCs w:val="24"/>
        </w:rPr>
        <w:t xml:space="preserve"> y, por otro, una vida (o unas vidas) </w:t>
      </w:r>
      <w:r w:rsidR="00D73D39">
        <w:rPr>
          <w:rFonts w:ascii="Times New Roman" w:hAnsi="Times New Roman"/>
          <w:i/>
          <w:iCs/>
          <w:sz w:val="24"/>
          <w:szCs w:val="24"/>
        </w:rPr>
        <w:t xml:space="preserve">no cualificada, desnuda, </w:t>
      </w:r>
      <w:r w:rsidR="00176818">
        <w:rPr>
          <w:rFonts w:ascii="Times New Roman" w:hAnsi="Times New Roman"/>
          <w:i/>
          <w:iCs/>
          <w:sz w:val="24"/>
          <w:szCs w:val="24"/>
        </w:rPr>
        <w:t>sacer</w:t>
      </w:r>
      <w:r w:rsidR="00D73D39">
        <w:rPr>
          <w:rFonts w:ascii="Times New Roman" w:hAnsi="Times New Roman"/>
          <w:sz w:val="24"/>
          <w:szCs w:val="24"/>
        </w:rPr>
        <w:t xml:space="preserve"> y </w:t>
      </w:r>
      <w:r w:rsidR="00176818">
        <w:rPr>
          <w:rFonts w:ascii="Times New Roman" w:hAnsi="Times New Roman"/>
          <w:sz w:val="24"/>
          <w:szCs w:val="24"/>
        </w:rPr>
        <w:t xml:space="preserve">entonces </w:t>
      </w:r>
      <w:r w:rsidR="00D73D39">
        <w:rPr>
          <w:rFonts w:ascii="Times New Roman" w:hAnsi="Times New Roman"/>
          <w:sz w:val="24"/>
          <w:szCs w:val="24"/>
        </w:rPr>
        <w:t>pasible</w:t>
      </w:r>
      <w:r w:rsidR="000D21D0">
        <w:rPr>
          <w:rFonts w:ascii="Times New Roman" w:hAnsi="Times New Roman"/>
          <w:sz w:val="24"/>
          <w:szCs w:val="24"/>
        </w:rPr>
        <w:t xml:space="preserve"> </w:t>
      </w:r>
      <w:r w:rsidR="00D73D39">
        <w:rPr>
          <w:rFonts w:ascii="Times New Roman" w:hAnsi="Times New Roman"/>
          <w:sz w:val="24"/>
          <w:szCs w:val="24"/>
        </w:rPr>
        <w:t>de recibir muerte</w:t>
      </w:r>
      <w:r w:rsidR="00FB636A">
        <w:rPr>
          <w:rFonts w:ascii="Times New Roman" w:hAnsi="Times New Roman"/>
          <w:sz w:val="24"/>
          <w:szCs w:val="24"/>
        </w:rPr>
        <w:t xml:space="preserve"> (sin que ello sea un homicidio, ni tampoco una muerte ritual</w:t>
      </w:r>
      <w:r w:rsidR="00C84454">
        <w:rPr>
          <w:rFonts w:ascii="Times New Roman" w:hAnsi="Times New Roman"/>
          <w:sz w:val="24"/>
          <w:szCs w:val="24"/>
        </w:rPr>
        <w:t>izada</w:t>
      </w:r>
      <w:r w:rsidR="00FB636A">
        <w:rPr>
          <w:rFonts w:ascii="Times New Roman" w:hAnsi="Times New Roman"/>
          <w:sz w:val="24"/>
          <w:szCs w:val="24"/>
        </w:rPr>
        <w:t>)</w:t>
      </w:r>
      <w:r w:rsidR="00D73D39">
        <w:rPr>
          <w:rFonts w:ascii="Times New Roman" w:hAnsi="Times New Roman"/>
          <w:sz w:val="24"/>
          <w:szCs w:val="24"/>
        </w:rPr>
        <w:t xml:space="preserve">. E, insistimos, esta aparente contradicción entre valor y </w:t>
      </w:r>
      <w:proofErr w:type="spellStart"/>
      <w:proofErr w:type="gramStart"/>
      <w:r w:rsidR="00D73D39">
        <w:rPr>
          <w:rFonts w:ascii="Times New Roman" w:hAnsi="Times New Roman"/>
          <w:sz w:val="24"/>
          <w:szCs w:val="24"/>
        </w:rPr>
        <w:t>dis-valor</w:t>
      </w:r>
      <w:proofErr w:type="spellEnd"/>
      <w:proofErr w:type="gramEnd"/>
      <w:r w:rsidR="00D73D39">
        <w:rPr>
          <w:rFonts w:ascii="Times New Roman" w:hAnsi="Times New Roman"/>
          <w:sz w:val="24"/>
          <w:szCs w:val="24"/>
        </w:rPr>
        <w:t xml:space="preserve"> es intrínseca</w:t>
      </w:r>
      <w:r w:rsidR="00C22F9E">
        <w:rPr>
          <w:rFonts w:ascii="Times New Roman" w:hAnsi="Times New Roman"/>
          <w:sz w:val="24"/>
          <w:szCs w:val="24"/>
        </w:rPr>
        <w:t xml:space="preserve"> a </w:t>
      </w:r>
      <w:r w:rsidR="00D73D39">
        <w:rPr>
          <w:rFonts w:ascii="Times New Roman" w:hAnsi="Times New Roman"/>
          <w:sz w:val="24"/>
          <w:szCs w:val="24"/>
        </w:rPr>
        <w:t xml:space="preserve">la </w:t>
      </w:r>
      <w:r w:rsidR="00F049DB">
        <w:rPr>
          <w:rFonts w:ascii="Times New Roman" w:hAnsi="Times New Roman"/>
          <w:sz w:val="24"/>
          <w:szCs w:val="24"/>
        </w:rPr>
        <w:t>l</w:t>
      </w:r>
      <w:r w:rsidR="00475713">
        <w:rPr>
          <w:rFonts w:ascii="Times New Roman" w:hAnsi="Times New Roman"/>
          <w:sz w:val="24"/>
          <w:szCs w:val="24"/>
        </w:rPr>
        <w:t xml:space="preserve">ógica misma de la norma que prohíbe el homicidio, </w:t>
      </w:r>
      <w:r w:rsidR="00240EE2">
        <w:rPr>
          <w:rFonts w:ascii="Times New Roman" w:hAnsi="Times New Roman"/>
          <w:sz w:val="24"/>
          <w:szCs w:val="24"/>
        </w:rPr>
        <w:t xml:space="preserve">y </w:t>
      </w:r>
      <w:r w:rsidR="00E0405E">
        <w:rPr>
          <w:rFonts w:ascii="Times New Roman" w:hAnsi="Times New Roman"/>
          <w:sz w:val="24"/>
          <w:szCs w:val="24"/>
        </w:rPr>
        <w:t>que, como toda norma,</w:t>
      </w:r>
      <w:r w:rsidR="00475713">
        <w:rPr>
          <w:rFonts w:ascii="Times New Roman" w:hAnsi="Times New Roman"/>
          <w:sz w:val="24"/>
          <w:szCs w:val="24"/>
        </w:rPr>
        <w:t xml:space="preserve"> </w:t>
      </w:r>
      <w:r w:rsidR="00813346">
        <w:rPr>
          <w:rFonts w:ascii="Times New Roman" w:hAnsi="Times New Roman"/>
          <w:sz w:val="24"/>
          <w:szCs w:val="24"/>
        </w:rPr>
        <w:t>“</w:t>
      </w:r>
      <w:r w:rsidR="00475713">
        <w:rPr>
          <w:rFonts w:ascii="Times New Roman" w:hAnsi="Times New Roman"/>
          <w:sz w:val="24"/>
          <w:szCs w:val="24"/>
        </w:rPr>
        <w:t>vive</w:t>
      </w:r>
      <w:r w:rsidR="00F049DB">
        <w:rPr>
          <w:rFonts w:ascii="Times New Roman" w:hAnsi="Times New Roman"/>
          <w:sz w:val="24"/>
          <w:szCs w:val="24"/>
        </w:rPr>
        <w:t xml:space="preserve"> solo de </w:t>
      </w:r>
      <w:r w:rsidR="00543C2D">
        <w:rPr>
          <w:rFonts w:ascii="Times New Roman" w:hAnsi="Times New Roman"/>
          <w:sz w:val="24"/>
          <w:szCs w:val="24"/>
        </w:rPr>
        <w:t>su</w:t>
      </w:r>
      <w:r w:rsidR="00F049DB">
        <w:rPr>
          <w:rFonts w:ascii="Times New Roman" w:hAnsi="Times New Roman"/>
          <w:sz w:val="24"/>
          <w:szCs w:val="24"/>
        </w:rPr>
        <w:t xml:space="preserve"> excepción</w:t>
      </w:r>
      <w:r w:rsidR="00813346">
        <w:rPr>
          <w:rFonts w:ascii="Times New Roman" w:hAnsi="Times New Roman"/>
          <w:sz w:val="24"/>
          <w:szCs w:val="24"/>
        </w:rPr>
        <w:t>”</w:t>
      </w:r>
      <w:r w:rsidR="00F049DB">
        <w:rPr>
          <w:rFonts w:ascii="Times New Roman" w:hAnsi="Times New Roman"/>
          <w:sz w:val="24"/>
          <w:szCs w:val="24"/>
        </w:rPr>
        <w:t xml:space="preserve"> (</w:t>
      </w:r>
      <w:r w:rsidR="00F049DB" w:rsidRPr="008E22B6">
        <w:rPr>
          <w:rFonts w:ascii="Times New Roman" w:hAnsi="Times New Roman"/>
          <w:sz w:val="24"/>
          <w:szCs w:val="24"/>
        </w:rPr>
        <w:t xml:space="preserve">Schmitt, </w:t>
      </w:r>
      <w:r w:rsidR="00621874">
        <w:rPr>
          <w:rFonts w:ascii="Times New Roman" w:hAnsi="Times New Roman"/>
          <w:sz w:val="24"/>
          <w:szCs w:val="24"/>
        </w:rPr>
        <w:t>2009</w:t>
      </w:r>
      <w:r w:rsidR="00F049DB">
        <w:rPr>
          <w:rFonts w:ascii="Times New Roman" w:hAnsi="Times New Roman"/>
          <w:sz w:val="24"/>
          <w:szCs w:val="24"/>
        </w:rPr>
        <w:t>)</w:t>
      </w:r>
      <w:r w:rsidR="00813346">
        <w:rPr>
          <w:rFonts w:ascii="Times New Roman" w:hAnsi="Times New Roman"/>
          <w:sz w:val="24"/>
          <w:szCs w:val="24"/>
        </w:rPr>
        <w:t>.</w:t>
      </w:r>
      <w:r w:rsidR="000D21D0">
        <w:rPr>
          <w:rFonts w:ascii="Times New Roman" w:hAnsi="Times New Roman"/>
          <w:sz w:val="24"/>
          <w:szCs w:val="24"/>
        </w:rPr>
        <w:t xml:space="preserve"> </w:t>
      </w:r>
      <w:r w:rsidR="00176818">
        <w:rPr>
          <w:rFonts w:ascii="Times New Roman" w:hAnsi="Times New Roman" w:cs="Times New Roman"/>
          <w:sz w:val="24"/>
          <w:szCs w:val="24"/>
        </w:rPr>
        <w:lastRenderedPageBreak/>
        <w:t>Pero, a</w:t>
      </w:r>
      <w:r w:rsidR="001611B9">
        <w:rPr>
          <w:rFonts w:ascii="Times New Roman" w:hAnsi="Times New Roman" w:cs="Times New Roman"/>
          <w:sz w:val="24"/>
          <w:szCs w:val="24"/>
        </w:rPr>
        <w:t xml:space="preserve">un cuando aceptemos que </w:t>
      </w:r>
      <w:r w:rsidR="000D21D0">
        <w:rPr>
          <w:rFonts w:ascii="Times New Roman" w:hAnsi="Times New Roman" w:cs="Times New Roman"/>
          <w:sz w:val="24"/>
          <w:szCs w:val="24"/>
        </w:rPr>
        <w:t>esto</w:t>
      </w:r>
      <w:r w:rsidR="001611B9">
        <w:rPr>
          <w:rFonts w:ascii="Times New Roman" w:hAnsi="Times New Roman" w:cs="Times New Roman"/>
          <w:sz w:val="24"/>
          <w:szCs w:val="24"/>
        </w:rPr>
        <w:t xml:space="preserve"> es en cierto sentido</w:t>
      </w:r>
      <w:r w:rsidR="000D21D0">
        <w:rPr>
          <w:rFonts w:ascii="Times New Roman" w:hAnsi="Times New Roman" w:cs="Times New Roman"/>
          <w:sz w:val="24"/>
          <w:szCs w:val="24"/>
        </w:rPr>
        <w:t xml:space="preserve"> “estructural”</w:t>
      </w:r>
      <w:r w:rsidR="00240EE2">
        <w:rPr>
          <w:rFonts w:ascii="Times New Roman" w:hAnsi="Times New Roman" w:cs="Times New Roman"/>
          <w:sz w:val="24"/>
          <w:szCs w:val="24"/>
        </w:rPr>
        <w:t xml:space="preserve"> (o constitutivo de la prohibición)</w:t>
      </w:r>
      <w:r w:rsidR="000D21D0">
        <w:rPr>
          <w:rFonts w:ascii="Times New Roman" w:hAnsi="Times New Roman" w:cs="Times New Roman"/>
          <w:sz w:val="24"/>
          <w:szCs w:val="24"/>
        </w:rPr>
        <w:t xml:space="preserve"> </w:t>
      </w:r>
      <w:r w:rsidR="001611B9">
        <w:rPr>
          <w:rFonts w:ascii="Times New Roman" w:hAnsi="Times New Roman" w:cs="Times New Roman"/>
          <w:sz w:val="24"/>
          <w:szCs w:val="24"/>
        </w:rPr>
        <w:t>pues, como vimos, no hay prohibición s</w:t>
      </w:r>
      <w:r w:rsidR="00A43953">
        <w:rPr>
          <w:rFonts w:ascii="Times New Roman" w:hAnsi="Times New Roman" w:cs="Times New Roman"/>
          <w:sz w:val="24"/>
          <w:szCs w:val="24"/>
        </w:rPr>
        <w:t>i</w:t>
      </w:r>
      <w:r w:rsidR="001611B9">
        <w:rPr>
          <w:rFonts w:ascii="Times New Roman" w:hAnsi="Times New Roman" w:cs="Times New Roman"/>
          <w:sz w:val="24"/>
          <w:szCs w:val="24"/>
        </w:rPr>
        <w:t xml:space="preserve">n excepción, </w:t>
      </w:r>
      <w:r w:rsidR="00FA7B31">
        <w:rPr>
          <w:rFonts w:ascii="Times New Roman" w:hAnsi="Times New Roman" w:cs="Times New Roman"/>
          <w:sz w:val="24"/>
          <w:szCs w:val="24"/>
        </w:rPr>
        <w:t xml:space="preserve">lo cierto es que se vuelve preciso indagar de qué modo esto está articulado en </w:t>
      </w:r>
      <w:r w:rsidR="000D21D0">
        <w:rPr>
          <w:rFonts w:ascii="Times New Roman" w:hAnsi="Times New Roman" w:cs="Times New Roman"/>
          <w:sz w:val="24"/>
          <w:szCs w:val="24"/>
        </w:rPr>
        <w:t>cada sociedad socio-históricamente situada.</w:t>
      </w:r>
      <w:r w:rsidR="0090657C">
        <w:rPr>
          <w:rFonts w:ascii="Times New Roman" w:hAnsi="Times New Roman" w:cs="Times New Roman"/>
          <w:sz w:val="24"/>
          <w:szCs w:val="24"/>
        </w:rPr>
        <w:t xml:space="preserve"> </w:t>
      </w:r>
      <w:r w:rsidR="00151BB4">
        <w:rPr>
          <w:rFonts w:ascii="Times New Roman" w:hAnsi="Times New Roman" w:cs="Times New Roman"/>
          <w:sz w:val="24"/>
          <w:szCs w:val="24"/>
        </w:rPr>
        <w:t>En concreto</w:t>
      </w:r>
      <w:r w:rsidR="0090657C">
        <w:rPr>
          <w:rFonts w:ascii="Times New Roman" w:hAnsi="Times New Roman" w:cs="Times New Roman"/>
          <w:sz w:val="24"/>
          <w:szCs w:val="24"/>
        </w:rPr>
        <w:t xml:space="preserve">, ¿qué </w:t>
      </w:r>
      <w:r w:rsidR="00151BB4">
        <w:rPr>
          <w:rFonts w:ascii="Times New Roman" w:hAnsi="Times New Roman" w:cs="Times New Roman"/>
          <w:sz w:val="24"/>
          <w:szCs w:val="24"/>
        </w:rPr>
        <w:t>especificidades tiene es</w:t>
      </w:r>
      <w:r w:rsidR="0090657C">
        <w:rPr>
          <w:rFonts w:ascii="Times New Roman" w:hAnsi="Times New Roman" w:cs="Times New Roman"/>
          <w:sz w:val="24"/>
          <w:szCs w:val="24"/>
        </w:rPr>
        <w:t>e caso singular que se excluye</w:t>
      </w:r>
      <w:r w:rsidR="0005057A">
        <w:rPr>
          <w:rFonts w:ascii="Times New Roman" w:hAnsi="Times New Roman" w:cs="Times New Roman"/>
          <w:sz w:val="24"/>
          <w:szCs w:val="24"/>
        </w:rPr>
        <w:t xml:space="preserve">, y constituye, </w:t>
      </w:r>
      <w:r w:rsidR="0090657C">
        <w:rPr>
          <w:rFonts w:ascii="Times New Roman" w:hAnsi="Times New Roman" w:cs="Times New Roman"/>
          <w:sz w:val="24"/>
          <w:szCs w:val="24"/>
        </w:rPr>
        <w:t xml:space="preserve">la norma general? </w:t>
      </w:r>
    </w:p>
    <w:p w14:paraId="0A67E653" w14:textId="708F1DA6" w:rsidR="00C25163" w:rsidRDefault="00F3093F" w:rsidP="00F3093F">
      <w:pPr>
        <w:spacing w:line="360" w:lineRule="auto"/>
        <w:jc w:val="both"/>
        <w:rPr>
          <w:rFonts w:ascii="Times New Roman" w:hAnsi="Times New Roman"/>
          <w:bCs/>
          <w:iCs/>
          <w:color w:val="000000"/>
          <w:sz w:val="24"/>
          <w:szCs w:val="24"/>
        </w:rPr>
      </w:pPr>
      <w:r>
        <w:rPr>
          <w:rFonts w:ascii="Times New Roman" w:hAnsi="Times New Roman" w:cs="Times New Roman"/>
          <w:sz w:val="24"/>
          <w:szCs w:val="24"/>
        </w:rPr>
        <w:t>Según e</w:t>
      </w:r>
      <w:r>
        <w:rPr>
          <w:rFonts w:ascii="Times New Roman" w:hAnsi="Times New Roman"/>
          <w:bCs/>
          <w:iCs/>
          <w:color w:val="000000"/>
          <w:sz w:val="24"/>
          <w:szCs w:val="24"/>
        </w:rPr>
        <w:t>l Código Penal Argentino, u</w:t>
      </w:r>
      <w:r w:rsidRPr="0007296B">
        <w:rPr>
          <w:rFonts w:ascii="Times New Roman" w:hAnsi="Times New Roman"/>
          <w:bCs/>
          <w:iCs/>
          <w:color w:val="000000"/>
          <w:sz w:val="24"/>
          <w:szCs w:val="24"/>
        </w:rPr>
        <w:t xml:space="preserve">na acción </w:t>
      </w:r>
      <w:r>
        <w:rPr>
          <w:rFonts w:ascii="Times New Roman" w:hAnsi="Times New Roman"/>
          <w:bCs/>
          <w:iCs/>
          <w:color w:val="000000"/>
          <w:sz w:val="24"/>
          <w:szCs w:val="24"/>
        </w:rPr>
        <w:t>en</w:t>
      </w:r>
      <w:r w:rsidRPr="0007296B">
        <w:rPr>
          <w:rFonts w:ascii="Times New Roman" w:hAnsi="Times New Roman"/>
          <w:bCs/>
          <w:iCs/>
          <w:color w:val="000000"/>
          <w:sz w:val="24"/>
          <w:szCs w:val="24"/>
        </w:rPr>
        <w:t xml:space="preserve"> legítima defensa </w:t>
      </w:r>
      <w:r>
        <w:rPr>
          <w:rFonts w:ascii="Times New Roman" w:hAnsi="Times New Roman"/>
          <w:bCs/>
          <w:iCs/>
          <w:color w:val="000000"/>
          <w:sz w:val="24"/>
          <w:szCs w:val="24"/>
        </w:rPr>
        <w:t>es aquella</w:t>
      </w:r>
      <w:r w:rsidRPr="0007296B">
        <w:rPr>
          <w:rFonts w:ascii="Times New Roman" w:hAnsi="Times New Roman"/>
          <w:bCs/>
          <w:iCs/>
          <w:color w:val="000000"/>
          <w:sz w:val="24"/>
          <w:szCs w:val="24"/>
        </w:rPr>
        <w:t xml:space="preserve"> </w:t>
      </w:r>
      <w:r>
        <w:rPr>
          <w:rFonts w:ascii="Times New Roman" w:hAnsi="Times New Roman"/>
          <w:bCs/>
          <w:iCs/>
          <w:color w:val="000000"/>
          <w:sz w:val="24"/>
          <w:szCs w:val="24"/>
        </w:rPr>
        <w:t>que es realizada por</w:t>
      </w:r>
      <w:r w:rsidRPr="0007296B">
        <w:rPr>
          <w:rFonts w:ascii="Times New Roman" w:hAnsi="Times New Roman"/>
          <w:bCs/>
          <w:iCs/>
          <w:color w:val="000000"/>
          <w:sz w:val="24"/>
          <w:szCs w:val="24"/>
        </w:rPr>
        <w:t xml:space="preserve"> </w:t>
      </w:r>
      <w:r>
        <w:rPr>
          <w:rFonts w:ascii="Times New Roman" w:hAnsi="Times New Roman"/>
          <w:bCs/>
          <w:iCs/>
          <w:color w:val="000000"/>
          <w:sz w:val="24"/>
          <w:szCs w:val="24"/>
        </w:rPr>
        <w:t>alguien que se defiende a</w:t>
      </w:r>
      <w:r w:rsidRPr="0007296B">
        <w:rPr>
          <w:rFonts w:ascii="Times New Roman" w:hAnsi="Times New Roman"/>
          <w:bCs/>
          <w:iCs/>
          <w:color w:val="000000"/>
          <w:sz w:val="24"/>
          <w:szCs w:val="24"/>
        </w:rPr>
        <w:t xml:space="preserve"> sí mismo o </w:t>
      </w:r>
      <w:r>
        <w:rPr>
          <w:rFonts w:ascii="Times New Roman" w:hAnsi="Times New Roman"/>
          <w:bCs/>
          <w:iCs/>
          <w:color w:val="000000"/>
          <w:sz w:val="24"/>
          <w:szCs w:val="24"/>
        </w:rPr>
        <w:t>a</w:t>
      </w:r>
      <w:r w:rsidRPr="0007296B">
        <w:rPr>
          <w:rFonts w:ascii="Times New Roman" w:hAnsi="Times New Roman"/>
          <w:bCs/>
          <w:iCs/>
          <w:color w:val="000000"/>
          <w:sz w:val="24"/>
          <w:szCs w:val="24"/>
        </w:rPr>
        <w:t xml:space="preserve"> sus derechos, siempre que haya habido una agresión ilegítima, que exista necesidad racional del medio empleado para imped</w:t>
      </w:r>
      <w:r>
        <w:rPr>
          <w:rFonts w:ascii="Times New Roman" w:hAnsi="Times New Roman"/>
          <w:bCs/>
          <w:iCs/>
          <w:color w:val="000000"/>
          <w:sz w:val="24"/>
          <w:szCs w:val="24"/>
        </w:rPr>
        <w:t>ir o repeler esta agresión</w:t>
      </w:r>
      <w:r w:rsidRPr="0007296B">
        <w:rPr>
          <w:rFonts w:ascii="Times New Roman" w:hAnsi="Times New Roman"/>
          <w:bCs/>
          <w:iCs/>
          <w:color w:val="000000"/>
          <w:sz w:val="24"/>
          <w:szCs w:val="24"/>
        </w:rPr>
        <w:t>, y que no haya habido una provocación suficiente por parte de quien se defiende</w:t>
      </w:r>
      <w:r>
        <w:rPr>
          <w:rFonts w:ascii="Times New Roman" w:hAnsi="Times New Roman"/>
          <w:bCs/>
          <w:iCs/>
          <w:color w:val="000000"/>
          <w:sz w:val="24"/>
          <w:szCs w:val="24"/>
        </w:rPr>
        <w:t xml:space="preserve"> (en el artículo 34, inciso 6)</w:t>
      </w:r>
      <w:r w:rsidRPr="0007296B">
        <w:rPr>
          <w:rFonts w:ascii="Times New Roman" w:hAnsi="Times New Roman"/>
          <w:bCs/>
          <w:iCs/>
          <w:color w:val="000000"/>
          <w:sz w:val="24"/>
          <w:szCs w:val="24"/>
        </w:rPr>
        <w:t xml:space="preserve">. </w:t>
      </w:r>
      <w:r>
        <w:rPr>
          <w:rFonts w:ascii="Times New Roman" w:hAnsi="Times New Roman"/>
          <w:bCs/>
          <w:iCs/>
          <w:color w:val="000000"/>
          <w:sz w:val="24"/>
          <w:szCs w:val="24"/>
        </w:rPr>
        <w:t xml:space="preserve">Tales son las tres circunstancias que deben cumplirse para que dicha acción pueda ser considerada como una acción en legítima defensa, </w:t>
      </w:r>
      <w:r w:rsidR="00DD0258">
        <w:rPr>
          <w:rFonts w:ascii="Times New Roman" w:hAnsi="Times New Roman"/>
          <w:bCs/>
          <w:iCs/>
          <w:color w:val="000000"/>
          <w:sz w:val="24"/>
          <w:szCs w:val="24"/>
        </w:rPr>
        <w:t>acción que</w:t>
      </w:r>
      <w:r>
        <w:rPr>
          <w:rFonts w:ascii="Times New Roman" w:hAnsi="Times New Roman"/>
          <w:bCs/>
          <w:iCs/>
          <w:color w:val="000000"/>
          <w:sz w:val="24"/>
          <w:szCs w:val="24"/>
        </w:rPr>
        <w:t xml:space="preserve"> es, para el sistema penal, inimputable. Evidentemente, la acción en legítima defensa podría terminar con la muerte del agresor (como de hecho ocurre)</w:t>
      </w:r>
      <w:r w:rsidR="00B30805">
        <w:rPr>
          <w:rFonts w:ascii="Times New Roman" w:hAnsi="Times New Roman"/>
          <w:bCs/>
          <w:iCs/>
          <w:color w:val="000000"/>
          <w:sz w:val="24"/>
          <w:szCs w:val="24"/>
        </w:rPr>
        <w:t>. Y</w:t>
      </w:r>
      <w:r>
        <w:rPr>
          <w:rFonts w:ascii="Times New Roman" w:hAnsi="Times New Roman"/>
          <w:bCs/>
          <w:iCs/>
          <w:color w:val="000000"/>
          <w:sz w:val="24"/>
          <w:szCs w:val="24"/>
        </w:rPr>
        <w:t xml:space="preserve"> esta muerte podría producirse tanto en defensa de la integridad física, como en defensa de un derecho propio </w:t>
      </w:r>
      <w:r>
        <w:rPr>
          <w:rFonts w:ascii="Times New Roman" w:hAnsi="Times New Roman"/>
          <w:sz w:val="24"/>
          <w:szCs w:val="24"/>
        </w:rPr>
        <w:t>—</w:t>
      </w:r>
      <w:r>
        <w:rPr>
          <w:rFonts w:ascii="Times New Roman" w:hAnsi="Times New Roman"/>
          <w:bCs/>
          <w:iCs/>
          <w:color w:val="000000"/>
          <w:sz w:val="24"/>
          <w:szCs w:val="24"/>
        </w:rPr>
        <w:t xml:space="preserve">como el derecho de propiedad privada. Como sostienen los </w:t>
      </w:r>
      <w:r w:rsidR="00357C8D">
        <w:rPr>
          <w:rFonts w:ascii="Times New Roman" w:hAnsi="Times New Roman"/>
          <w:bCs/>
          <w:iCs/>
          <w:color w:val="000000"/>
          <w:sz w:val="24"/>
          <w:szCs w:val="24"/>
        </w:rPr>
        <w:t xml:space="preserve">mismos </w:t>
      </w:r>
      <w:r>
        <w:rPr>
          <w:rFonts w:ascii="Times New Roman" w:hAnsi="Times New Roman"/>
          <w:bCs/>
          <w:iCs/>
          <w:color w:val="000000"/>
          <w:sz w:val="24"/>
          <w:szCs w:val="24"/>
        </w:rPr>
        <w:t xml:space="preserve">operadores judiciales, el código pone un límite a este ejercicio de la propia defensa a través de esa tercera circunstancia que mencionábamos más arriba: la necesidad racional del medio empleado. No obstante, como muestran las prácticas de castigo mismas, se trata de una condición ambigua pues, ¿qué ocurre si la única forma de defender mi derecho es terminando con la vida de la otra persona? ¿Cuál de las tres circunstancias que introduce el código tiene más relevancia para los jueces? </w:t>
      </w:r>
    </w:p>
    <w:p w14:paraId="63E636CC" w14:textId="1FBB2DC7" w:rsidR="005329CA" w:rsidRDefault="00171762" w:rsidP="00C06BD1">
      <w:pPr>
        <w:spacing w:line="360" w:lineRule="auto"/>
        <w:jc w:val="both"/>
        <w:rPr>
          <w:rFonts w:ascii="Times New Roman" w:hAnsi="Times New Roman"/>
          <w:bCs/>
          <w:iCs/>
          <w:color w:val="000000"/>
          <w:sz w:val="24"/>
          <w:szCs w:val="24"/>
        </w:rPr>
      </w:pPr>
      <w:r>
        <w:rPr>
          <w:rFonts w:ascii="Times New Roman" w:hAnsi="Times New Roman"/>
          <w:bCs/>
          <w:iCs/>
          <w:color w:val="000000"/>
          <w:sz w:val="24"/>
          <w:szCs w:val="24"/>
        </w:rPr>
        <w:t>M</w:t>
      </w:r>
      <w:r w:rsidR="00586C6C">
        <w:rPr>
          <w:rFonts w:ascii="Times New Roman" w:hAnsi="Times New Roman"/>
          <w:bCs/>
          <w:iCs/>
          <w:color w:val="000000"/>
          <w:sz w:val="24"/>
          <w:szCs w:val="24"/>
        </w:rPr>
        <w:t xml:space="preserve">ás allá de esta ambigüedad no menor, y que solo </w:t>
      </w:r>
      <w:r w:rsidR="00447DF1">
        <w:rPr>
          <w:rFonts w:ascii="Times New Roman" w:hAnsi="Times New Roman"/>
          <w:bCs/>
          <w:iCs/>
          <w:color w:val="000000"/>
          <w:sz w:val="24"/>
          <w:szCs w:val="24"/>
        </w:rPr>
        <w:t xml:space="preserve">se </w:t>
      </w:r>
      <w:r w:rsidR="00BA4D54">
        <w:rPr>
          <w:rFonts w:ascii="Times New Roman" w:hAnsi="Times New Roman"/>
          <w:bCs/>
          <w:iCs/>
          <w:color w:val="000000"/>
          <w:sz w:val="24"/>
          <w:szCs w:val="24"/>
        </w:rPr>
        <w:t>defin</w:t>
      </w:r>
      <w:r w:rsidR="00447DF1">
        <w:rPr>
          <w:rFonts w:ascii="Times New Roman" w:hAnsi="Times New Roman"/>
          <w:bCs/>
          <w:iCs/>
          <w:color w:val="000000"/>
          <w:sz w:val="24"/>
          <w:szCs w:val="24"/>
        </w:rPr>
        <w:t>e (cada vez)</w:t>
      </w:r>
      <w:r w:rsidR="00BA4D54">
        <w:rPr>
          <w:rFonts w:ascii="Times New Roman" w:hAnsi="Times New Roman"/>
          <w:bCs/>
          <w:iCs/>
          <w:color w:val="000000"/>
          <w:sz w:val="24"/>
          <w:szCs w:val="24"/>
        </w:rPr>
        <w:t xml:space="preserve"> en el marco de las prácticas penales efectivas, lo cierto es que </w:t>
      </w:r>
      <w:r w:rsidR="00164C42">
        <w:rPr>
          <w:rFonts w:ascii="Times New Roman" w:hAnsi="Times New Roman"/>
          <w:bCs/>
          <w:iCs/>
          <w:color w:val="000000"/>
          <w:sz w:val="24"/>
          <w:szCs w:val="24"/>
        </w:rPr>
        <w:t xml:space="preserve">esta figura introduce la posibilidad de dar muerte a otra persona </w:t>
      </w:r>
      <w:r w:rsidR="00D841E9">
        <w:rPr>
          <w:rFonts w:ascii="Times New Roman" w:hAnsi="Times New Roman"/>
          <w:bCs/>
          <w:iCs/>
          <w:color w:val="000000"/>
          <w:sz w:val="24"/>
          <w:szCs w:val="24"/>
        </w:rPr>
        <w:t>sin que esa acción sea considerada un homici</w:t>
      </w:r>
      <w:r w:rsidR="00AC349F">
        <w:rPr>
          <w:rFonts w:ascii="Times New Roman" w:hAnsi="Times New Roman"/>
          <w:bCs/>
          <w:iCs/>
          <w:color w:val="000000"/>
          <w:sz w:val="24"/>
          <w:szCs w:val="24"/>
        </w:rPr>
        <w:t>dio</w:t>
      </w:r>
      <w:r w:rsidR="002946D5">
        <w:rPr>
          <w:rFonts w:ascii="Times New Roman" w:hAnsi="Times New Roman"/>
          <w:bCs/>
          <w:iCs/>
          <w:color w:val="000000"/>
          <w:sz w:val="24"/>
          <w:szCs w:val="24"/>
        </w:rPr>
        <w:t>.</w:t>
      </w:r>
      <w:r w:rsidR="00275DA2">
        <w:rPr>
          <w:rFonts w:ascii="Times New Roman" w:hAnsi="Times New Roman"/>
          <w:bCs/>
          <w:iCs/>
          <w:color w:val="000000"/>
          <w:sz w:val="24"/>
          <w:szCs w:val="24"/>
        </w:rPr>
        <w:t xml:space="preserve"> Quien se sienta agredido en su integridad o en un derecho propio</w:t>
      </w:r>
      <w:r w:rsidR="00333F1A">
        <w:rPr>
          <w:rFonts w:ascii="Times New Roman" w:hAnsi="Times New Roman"/>
          <w:bCs/>
          <w:iCs/>
          <w:color w:val="000000"/>
          <w:sz w:val="24"/>
          <w:szCs w:val="24"/>
        </w:rPr>
        <w:t xml:space="preserve"> puede,</w:t>
      </w:r>
      <w:r w:rsidR="00275DA2">
        <w:rPr>
          <w:rFonts w:ascii="Times New Roman" w:hAnsi="Times New Roman"/>
          <w:bCs/>
          <w:iCs/>
          <w:color w:val="000000"/>
          <w:sz w:val="24"/>
          <w:szCs w:val="24"/>
        </w:rPr>
        <w:t xml:space="preserve"> al defenderse</w:t>
      </w:r>
      <w:r w:rsidR="00333F1A">
        <w:rPr>
          <w:rFonts w:ascii="Times New Roman" w:hAnsi="Times New Roman"/>
          <w:bCs/>
          <w:iCs/>
          <w:color w:val="000000"/>
          <w:sz w:val="24"/>
          <w:szCs w:val="24"/>
        </w:rPr>
        <w:t>,</w:t>
      </w:r>
      <w:r w:rsidR="00275DA2">
        <w:rPr>
          <w:rFonts w:ascii="Times New Roman" w:hAnsi="Times New Roman"/>
          <w:bCs/>
          <w:iCs/>
          <w:color w:val="000000"/>
          <w:sz w:val="24"/>
          <w:szCs w:val="24"/>
        </w:rPr>
        <w:t xml:space="preserve"> disponer libremente de la vida de su agresor, sin recibir castigo</w:t>
      </w:r>
      <w:r w:rsidR="00117EFC">
        <w:rPr>
          <w:rFonts w:ascii="Times New Roman" w:hAnsi="Times New Roman"/>
          <w:bCs/>
          <w:iCs/>
          <w:color w:val="000000"/>
          <w:sz w:val="24"/>
          <w:szCs w:val="24"/>
        </w:rPr>
        <w:t xml:space="preserve"> alguno</w:t>
      </w:r>
      <w:r w:rsidR="00B52F75">
        <w:rPr>
          <w:rFonts w:ascii="Times New Roman" w:hAnsi="Times New Roman"/>
          <w:bCs/>
          <w:iCs/>
          <w:color w:val="000000"/>
          <w:sz w:val="24"/>
          <w:szCs w:val="24"/>
        </w:rPr>
        <w:t>.</w:t>
      </w:r>
      <w:r w:rsidR="00275DA2">
        <w:rPr>
          <w:rFonts w:ascii="Times New Roman" w:hAnsi="Times New Roman"/>
          <w:bCs/>
          <w:iCs/>
          <w:color w:val="000000"/>
          <w:sz w:val="24"/>
          <w:szCs w:val="24"/>
        </w:rPr>
        <w:t xml:space="preserve"> </w:t>
      </w:r>
      <w:r w:rsidR="00F9006C">
        <w:rPr>
          <w:rFonts w:ascii="Times New Roman" w:hAnsi="Times New Roman"/>
          <w:bCs/>
          <w:iCs/>
          <w:color w:val="000000"/>
          <w:sz w:val="24"/>
          <w:szCs w:val="24"/>
        </w:rPr>
        <w:t>O, dicho de otro modo,</w:t>
      </w:r>
      <w:r w:rsidR="00473A43">
        <w:rPr>
          <w:rFonts w:ascii="Times New Roman" w:hAnsi="Times New Roman"/>
          <w:bCs/>
          <w:iCs/>
          <w:color w:val="000000"/>
          <w:sz w:val="24"/>
          <w:szCs w:val="24"/>
        </w:rPr>
        <w:t xml:space="preserve"> la vida del </w:t>
      </w:r>
      <w:r w:rsidR="00F9006C">
        <w:rPr>
          <w:rFonts w:ascii="Times New Roman" w:hAnsi="Times New Roman"/>
          <w:bCs/>
          <w:iCs/>
          <w:color w:val="000000"/>
          <w:sz w:val="24"/>
          <w:szCs w:val="24"/>
        </w:rPr>
        <w:t xml:space="preserve">quien ataca la integridad o </w:t>
      </w:r>
      <w:r w:rsidR="004B5705">
        <w:rPr>
          <w:rFonts w:ascii="Times New Roman" w:hAnsi="Times New Roman"/>
          <w:bCs/>
          <w:iCs/>
          <w:color w:val="000000"/>
          <w:sz w:val="24"/>
          <w:szCs w:val="24"/>
        </w:rPr>
        <w:t>un</w:t>
      </w:r>
      <w:r w:rsidR="00F9006C">
        <w:rPr>
          <w:rFonts w:ascii="Times New Roman" w:hAnsi="Times New Roman"/>
          <w:bCs/>
          <w:iCs/>
          <w:color w:val="000000"/>
          <w:sz w:val="24"/>
          <w:szCs w:val="24"/>
        </w:rPr>
        <w:t xml:space="preserve"> derecho de otra persona</w:t>
      </w:r>
      <w:r w:rsidR="00473A43">
        <w:rPr>
          <w:rFonts w:ascii="Times New Roman" w:hAnsi="Times New Roman"/>
          <w:bCs/>
          <w:iCs/>
          <w:color w:val="000000"/>
          <w:sz w:val="24"/>
          <w:szCs w:val="24"/>
        </w:rPr>
        <w:t xml:space="preserve"> </w:t>
      </w:r>
      <w:r w:rsidR="00F9006C">
        <w:rPr>
          <w:rFonts w:ascii="Times New Roman" w:hAnsi="Times New Roman"/>
          <w:bCs/>
          <w:iCs/>
          <w:color w:val="000000"/>
          <w:sz w:val="24"/>
          <w:szCs w:val="24"/>
        </w:rPr>
        <w:t>se transforma en</w:t>
      </w:r>
      <w:r w:rsidR="00473A43">
        <w:rPr>
          <w:rFonts w:ascii="Times New Roman" w:hAnsi="Times New Roman"/>
          <w:bCs/>
          <w:iCs/>
          <w:color w:val="000000"/>
          <w:sz w:val="24"/>
          <w:szCs w:val="24"/>
        </w:rPr>
        <w:t xml:space="preserve"> una vida </w:t>
      </w:r>
      <w:r w:rsidR="00151AF3">
        <w:rPr>
          <w:rFonts w:ascii="Times New Roman" w:hAnsi="Times New Roman"/>
          <w:bCs/>
          <w:iCs/>
          <w:color w:val="000000"/>
          <w:sz w:val="24"/>
          <w:szCs w:val="24"/>
        </w:rPr>
        <w:t>sacralizada, pero no</w:t>
      </w:r>
      <w:r w:rsidR="00A35F73">
        <w:rPr>
          <w:rFonts w:ascii="Times New Roman" w:hAnsi="Times New Roman"/>
          <w:bCs/>
          <w:iCs/>
          <w:color w:val="000000"/>
          <w:sz w:val="24"/>
          <w:szCs w:val="24"/>
        </w:rPr>
        <w:t>, claro está,</w:t>
      </w:r>
      <w:r w:rsidR="00151AF3">
        <w:rPr>
          <w:rFonts w:ascii="Times New Roman" w:hAnsi="Times New Roman"/>
          <w:bCs/>
          <w:iCs/>
          <w:color w:val="000000"/>
          <w:sz w:val="24"/>
          <w:szCs w:val="24"/>
        </w:rPr>
        <w:t xml:space="preserve"> en el sentido en que lo entenderían las ideologías jurídicas de la modernidad.</w:t>
      </w:r>
      <w:r w:rsidR="004B5705">
        <w:rPr>
          <w:rFonts w:ascii="Times New Roman" w:hAnsi="Times New Roman"/>
          <w:bCs/>
          <w:iCs/>
          <w:color w:val="000000"/>
          <w:sz w:val="24"/>
          <w:szCs w:val="24"/>
        </w:rPr>
        <w:t xml:space="preserve"> </w:t>
      </w:r>
      <w:r w:rsidR="000B4726">
        <w:rPr>
          <w:rFonts w:ascii="Times New Roman" w:hAnsi="Times New Roman"/>
          <w:bCs/>
          <w:iCs/>
          <w:color w:val="000000"/>
          <w:sz w:val="24"/>
          <w:szCs w:val="24"/>
        </w:rPr>
        <w:t xml:space="preserve">Tal vez no sea llamativo que, dado que </w:t>
      </w:r>
      <w:r w:rsidR="007361D7">
        <w:rPr>
          <w:rFonts w:ascii="Times New Roman" w:hAnsi="Times New Roman"/>
          <w:bCs/>
          <w:iCs/>
          <w:color w:val="000000"/>
          <w:sz w:val="24"/>
          <w:szCs w:val="24"/>
        </w:rPr>
        <w:t xml:space="preserve">para el sistema penal </w:t>
      </w:r>
      <w:r w:rsidR="000B4726">
        <w:rPr>
          <w:rFonts w:ascii="Times New Roman" w:hAnsi="Times New Roman"/>
          <w:bCs/>
          <w:iCs/>
          <w:color w:val="000000"/>
          <w:sz w:val="24"/>
          <w:szCs w:val="24"/>
        </w:rPr>
        <w:t xml:space="preserve">la vida </w:t>
      </w:r>
      <w:r w:rsidR="007361D7">
        <w:rPr>
          <w:rFonts w:ascii="Times New Roman" w:hAnsi="Times New Roman"/>
          <w:bCs/>
          <w:iCs/>
          <w:color w:val="000000"/>
          <w:sz w:val="24"/>
          <w:szCs w:val="24"/>
        </w:rPr>
        <w:t>sería</w:t>
      </w:r>
      <w:r w:rsidR="000B4726">
        <w:rPr>
          <w:rFonts w:ascii="Times New Roman" w:hAnsi="Times New Roman"/>
          <w:bCs/>
          <w:iCs/>
          <w:color w:val="000000"/>
          <w:sz w:val="24"/>
          <w:szCs w:val="24"/>
        </w:rPr>
        <w:t xml:space="preserve"> un valor </w:t>
      </w:r>
      <w:r w:rsidR="007361D7">
        <w:rPr>
          <w:rFonts w:ascii="Times New Roman" w:hAnsi="Times New Roman"/>
          <w:bCs/>
          <w:iCs/>
          <w:color w:val="000000"/>
          <w:sz w:val="24"/>
          <w:szCs w:val="24"/>
        </w:rPr>
        <w:t>altamente jerarquizado</w:t>
      </w:r>
      <w:r w:rsidR="004A0B01">
        <w:rPr>
          <w:rFonts w:ascii="Times New Roman" w:hAnsi="Times New Roman"/>
          <w:bCs/>
          <w:iCs/>
          <w:color w:val="000000"/>
          <w:sz w:val="24"/>
          <w:szCs w:val="24"/>
        </w:rPr>
        <w:t xml:space="preserve"> (ya hemos mencionado la severidad de los castigos pautados para el delito de homicidio doloso)</w:t>
      </w:r>
      <w:r w:rsidR="000B4726">
        <w:rPr>
          <w:rFonts w:ascii="Times New Roman" w:hAnsi="Times New Roman"/>
          <w:bCs/>
          <w:iCs/>
          <w:color w:val="000000"/>
          <w:sz w:val="24"/>
          <w:szCs w:val="24"/>
        </w:rPr>
        <w:t xml:space="preserve">, se pueda </w:t>
      </w:r>
      <w:r w:rsidR="000B4726">
        <w:rPr>
          <w:rFonts w:ascii="Times New Roman" w:hAnsi="Times New Roman"/>
          <w:bCs/>
          <w:i/>
          <w:color w:val="000000"/>
          <w:sz w:val="24"/>
          <w:szCs w:val="24"/>
        </w:rPr>
        <w:t>disponer libremente</w:t>
      </w:r>
      <w:r w:rsidR="000B4726">
        <w:rPr>
          <w:rFonts w:ascii="Times New Roman" w:hAnsi="Times New Roman"/>
          <w:bCs/>
          <w:iCs/>
          <w:color w:val="000000"/>
          <w:sz w:val="24"/>
          <w:szCs w:val="24"/>
        </w:rPr>
        <w:t xml:space="preserve"> de otra vida si este valor se ve atacado</w:t>
      </w:r>
      <w:r w:rsidR="007F051B">
        <w:rPr>
          <w:rFonts w:ascii="Times New Roman" w:hAnsi="Times New Roman"/>
          <w:bCs/>
          <w:iCs/>
          <w:color w:val="000000"/>
          <w:sz w:val="24"/>
          <w:szCs w:val="24"/>
        </w:rPr>
        <w:t xml:space="preserve"> y en peligro</w:t>
      </w:r>
      <w:r w:rsidR="000B4726">
        <w:rPr>
          <w:rFonts w:ascii="Times New Roman" w:hAnsi="Times New Roman"/>
          <w:bCs/>
          <w:iCs/>
          <w:color w:val="000000"/>
          <w:sz w:val="24"/>
          <w:szCs w:val="24"/>
        </w:rPr>
        <w:t>.</w:t>
      </w:r>
      <w:r w:rsidR="007361D7">
        <w:rPr>
          <w:rFonts w:ascii="Times New Roman" w:hAnsi="Times New Roman"/>
          <w:bCs/>
          <w:iCs/>
          <w:color w:val="000000"/>
          <w:sz w:val="24"/>
          <w:szCs w:val="24"/>
        </w:rPr>
        <w:t xml:space="preserve"> Esa muerte intencional no sería un homicidio pues es el resultado de la defensa de un valor primordial que se vio vulnerado primero. </w:t>
      </w:r>
      <w:r w:rsidR="000B4726">
        <w:rPr>
          <w:rFonts w:ascii="Times New Roman" w:hAnsi="Times New Roman"/>
          <w:bCs/>
          <w:iCs/>
          <w:color w:val="000000"/>
          <w:sz w:val="24"/>
          <w:szCs w:val="24"/>
        </w:rPr>
        <w:t xml:space="preserve">Ahora bien, ¿cómo explicar que esto sea también posible al tratarse del </w:t>
      </w:r>
      <w:r w:rsidR="000B4726">
        <w:rPr>
          <w:rFonts w:ascii="Times New Roman" w:hAnsi="Times New Roman"/>
          <w:bCs/>
          <w:iCs/>
          <w:color w:val="000000"/>
          <w:sz w:val="24"/>
          <w:szCs w:val="24"/>
        </w:rPr>
        <w:lastRenderedPageBreak/>
        <w:t xml:space="preserve">derecho de propiedad? </w:t>
      </w:r>
      <w:r w:rsidR="00756B65">
        <w:rPr>
          <w:rFonts w:ascii="Times New Roman" w:hAnsi="Times New Roman"/>
          <w:bCs/>
          <w:iCs/>
          <w:color w:val="000000"/>
          <w:sz w:val="24"/>
          <w:szCs w:val="24"/>
        </w:rPr>
        <w:t>¿</w:t>
      </w:r>
      <w:r w:rsidR="002F6489">
        <w:rPr>
          <w:rFonts w:ascii="Times New Roman" w:hAnsi="Times New Roman"/>
          <w:bCs/>
          <w:iCs/>
          <w:color w:val="000000"/>
          <w:sz w:val="24"/>
          <w:szCs w:val="24"/>
        </w:rPr>
        <w:t>Qué lugar ocupa entonces la propiedad privada en la escala valorativa del sistema penal</w:t>
      </w:r>
      <w:r w:rsidR="00756B65">
        <w:rPr>
          <w:rFonts w:ascii="Times New Roman" w:hAnsi="Times New Roman"/>
          <w:bCs/>
          <w:iCs/>
          <w:color w:val="000000"/>
          <w:sz w:val="24"/>
          <w:szCs w:val="24"/>
        </w:rPr>
        <w:t>?</w:t>
      </w:r>
      <w:r w:rsidR="00143EF6">
        <w:rPr>
          <w:rFonts w:ascii="Times New Roman" w:hAnsi="Times New Roman"/>
          <w:bCs/>
          <w:iCs/>
          <w:color w:val="000000"/>
          <w:sz w:val="24"/>
          <w:szCs w:val="24"/>
        </w:rPr>
        <w:t xml:space="preserve"> </w:t>
      </w:r>
    </w:p>
    <w:p w14:paraId="7392FCD0" w14:textId="4B173413" w:rsidR="009702CC" w:rsidRDefault="00746B19" w:rsidP="00C06BD1">
      <w:pPr>
        <w:spacing w:line="360" w:lineRule="auto"/>
        <w:jc w:val="both"/>
        <w:rPr>
          <w:rFonts w:ascii="Times New Roman" w:hAnsi="Times New Roman"/>
          <w:bCs/>
          <w:iCs/>
          <w:color w:val="000000"/>
          <w:sz w:val="24"/>
          <w:szCs w:val="24"/>
        </w:rPr>
      </w:pPr>
      <w:r>
        <w:rPr>
          <w:rFonts w:ascii="Times New Roman" w:hAnsi="Times New Roman"/>
          <w:bCs/>
          <w:iCs/>
          <w:color w:val="000000"/>
          <w:sz w:val="24"/>
          <w:szCs w:val="24"/>
        </w:rPr>
        <w:t>La excepción sobre la que habita (y constituye como tal) la prohibición fundamental del homicidio muestra como un</w:t>
      </w:r>
      <w:r w:rsidR="009B65F3">
        <w:rPr>
          <w:rFonts w:ascii="Times New Roman" w:hAnsi="Times New Roman"/>
          <w:bCs/>
          <w:iCs/>
          <w:color w:val="000000"/>
          <w:sz w:val="24"/>
          <w:szCs w:val="24"/>
        </w:rPr>
        <w:t>o</w:t>
      </w:r>
      <w:r>
        <w:rPr>
          <w:rFonts w:ascii="Times New Roman" w:hAnsi="Times New Roman"/>
          <w:bCs/>
          <w:iCs/>
          <w:color w:val="000000"/>
          <w:sz w:val="24"/>
          <w:szCs w:val="24"/>
        </w:rPr>
        <w:t xml:space="preserve"> de sus </w:t>
      </w:r>
      <w:r w:rsidR="009B65F3">
        <w:rPr>
          <w:rFonts w:ascii="Times New Roman" w:hAnsi="Times New Roman"/>
          <w:bCs/>
          <w:iCs/>
          <w:color w:val="000000"/>
          <w:sz w:val="24"/>
          <w:szCs w:val="24"/>
        </w:rPr>
        <w:t>aspectos</w:t>
      </w:r>
      <w:r>
        <w:rPr>
          <w:rFonts w:ascii="Times New Roman" w:hAnsi="Times New Roman"/>
          <w:bCs/>
          <w:iCs/>
          <w:color w:val="000000"/>
          <w:sz w:val="24"/>
          <w:szCs w:val="24"/>
        </w:rPr>
        <w:t xml:space="preserve"> más importantes el hecho de que una vida devenga </w:t>
      </w:r>
      <w:proofErr w:type="spellStart"/>
      <w:r>
        <w:rPr>
          <w:rFonts w:ascii="Times New Roman" w:hAnsi="Times New Roman"/>
          <w:bCs/>
          <w:i/>
          <w:color w:val="000000"/>
          <w:sz w:val="24"/>
          <w:szCs w:val="24"/>
        </w:rPr>
        <w:t>matable</w:t>
      </w:r>
      <w:proofErr w:type="spellEnd"/>
      <w:r>
        <w:rPr>
          <w:rFonts w:ascii="Times New Roman" w:hAnsi="Times New Roman"/>
          <w:bCs/>
          <w:iCs/>
          <w:color w:val="000000"/>
          <w:sz w:val="24"/>
          <w:szCs w:val="24"/>
        </w:rPr>
        <w:t xml:space="preserve"> si</w:t>
      </w:r>
      <w:r w:rsidR="009F5706">
        <w:rPr>
          <w:rFonts w:ascii="Times New Roman" w:hAnsi="Times New Roman"/>
          <w:bCs/>
          <w:iCs/>
          <w:color w:val="000000"/>
          <w:sz w:val="24"/>
          <w:szCs w:val="24"/>
        </w:rPr>
        <w:t xml:space="preserve"> se</w:t>
      </w:r>
      <w:r>
        <w:rPr>
          <w:rFonts w:ascii="Times New Roman" w:hAnsi="Times New Roman"/>
          <w:bCs/>
          <w:iCs/>
          <w:color w:val="000000"/>
          <w:sz w:val="24"/>
          <w:szCs w:val="24"/>
        </w:rPr>
        <w:t xml:space="preserve"> intenta violar el derecho de propiedad. </w:t>
      </w:r>
      <w:r w:rsidR="00D86BDE">
        <w:rPr>
          <w:rFonts w:ascii="Times New Roman" w:hAnsi="Times New Roman"/>
          <w:bCs/>
          <w:iCs/>
          <w:color w:val="000000"/>
          <w:sz w:val="24"/>
          <w:szCs w:val="24"/>
        </w:rPr>
        <w:t xml:space="preserve">Y evidentemente esto conjuga una relación muy </w:t>
      </w:r>
      <w:r w:rsidR="00992460">
        <w:rPr>
          <w:rFonts w:ascii="Times New Roman" w:hAnsi="Times New Roman"/>
          <w:bCs/>
          <w:iCs/>
          <w:color w:val="000000"/>
          <w:sz w:val="24"/>
          <w:szCs w:val="24"/>
        </w:rPr>
        <w:t>particular</w:t>
      </w:r>
      <w:r w:rsidR="00D86BDE">
        <w:rPr>
          <w:rFonts w:ascii="Times New Roman" w:hAnsi="Times New Roman"/>
          <w:bCs/>
          <w:iCs/>
          <w:color w:val="000000"/>
          <w:sz w:val="24"/>
          <w:szCs w:val="24"/>
        </w:rPr>
        <w:t xml:space="preserve"> entre vida y propiedad, relación en la que la primacía de la primera por sobre la segunda deja de ser verse con tanta claridad.</w:t>
      </w:r>
      <w:r w:rsidR="00075762">
        <w:rPr>
          <w:rFonts w:ascii="Times New Roman" w:hAnsi="Times New Roman"/>
          <w:bCs/>
          <w:iCs/>
          <w:color w:val="000000"/>
          <w:sz w:val="24"/>
          <w:szCs w:val="24"/>
        </w:rPr>
        <w:t xml:space="preserve"> Si bien es cierto que una mirada </w:t>
      </w:r>
      <w:r w:rsidR="002B044B">
        <w:rPr>
          <w:rFonts w:ascii="Times New Roman" w:hAnsi="Times New Roman"/>
          <w:bCs/>
          <w:iCs/>
          <w:color w:val="000000"/>
          <w:sz w:val="24"/>
          <w:szCs w:val="24"/>
        </w:rPr>
        <w:t>atenta al</w:t>
      </w:r>
      <w:r w:rsidR="00075762">
        <w:rPr>
          <w:rFonts w:ascii="Times New Roman" w:hAnsi="Times New Roman"/>
          <w:bCs/>
          <w:iCs/>
          <w:color w:val="000000"/>
          <w:sz w:val="24"/>
          <w:szCs w:val="24"/>
        </w:rPr>
        <w:t xml:space="preserve"> código jurídico ya permite cuestionar lo que a primera vista parecería indiscutible</w:t>
      </w:r>
      <w:r w:rsidR="00A9129B" w:rsidRPr="00A9129B">
        <w:rPr>
          <w:rFonts w:ascii="Times New Roman" w:hAnsi="Times New Roman"/>
          <w:bCs/>
          <w:iCs/>
          <w:color w:val="000000"/>
          <w:sz w:val="24"/>
          <w:szCs w:val="24"/>
        </w:rPr>
        <w:t xml:space="preserve"> </w:t>
      </w:r>
      <w:r w:rsidR="00A9129B">
        <w:rPr>
          <w:rFonts w:ascii="Times New Roman" w:hAnsi="Times New Roman"/>
          <w:bCs/>
          <w:iCs/>
          <w:color w:val="000000"/>
          <w:sz w:val="24"/>
          <w:szCs w:val="24"/>
        </w:rPr>
        <w:t>—</w:t>
      </w:r>
      <w:r w:rsidR="00A9129B">
        <w:rPr>
          <w:rFonts w:ascii="Times New Roman" w:hAnsi="Times New Roman"/>
          <w:bCs/>
          <w:iCs/>
          <w:color w:val="000000"/>
          <w:sz w:val="24"/>
          <w:szCs w:val="24"/>
        </w:rPr>
        <w:t>que el delito de homicidio es el más altamente castigado, y de que la vida es el valor supremo</w:t>
      </w:r>
      <w:r w:rsidR="00A9129B">
        <w:rPr>
          <w:rFonts w:ascii="Times New Roman" w:hAnsi="Times New Roman"/>
          <w:bCs/>
          <w:iCs/>
          <w:color w:val="000000"/>
          <w:sz w:val="24"/>
          <w:szCs w:val="24"/>
        </w:rPr>
        <w:t>—</w:t>
      </w:r>
      <w:r w:rsidR="009B65F3">
        <w:rPr>
          <w:rFonts w:ascii="Times New Roman" w:hAnsi="Times New Roman"/>
          <w:bCs/>
          <w:iCs/>
          <w:color w:val="000000"/>
          <w:sz w:val="24"/>
          <w:szCs w:val="24"/>
        </w:rPr>
        <w:t xml:space="preserve">, </w:t>
      </w:r>
      <w:r w:rsidR="00075762">
        <w:rPr>
          <w:rFonts w:ascii="Times New Roman" w:hAnsi="Times New Roman"/>
          <w:bCs/>
          <w:iCs/>
          <w:color w:val="000000"/>
          <w:sz w:val="24"/>
          <w:szCs w:val="24"/>
        </w:rPr>
        <w:t>lo cierto es que solo en la figura</w:t>
      </w:r>
      <w:r w:rsidR="009B65F3">
        <w:rPr>
          <w:rFonts w:ascii="Times New Roman" w:hAnsi="Times New Roman"/>
          <w:bCs/>
          <w:iCs/>
          <w:color w:val="000000"/>
          <w:sz w:val="24"/>
          <w:szCs w:val="24"/>
        </w:rPr>
        <w:t>,</w:t>
      </w:r>
      <w:r w:rsidR="00075762">
        <w:rPr>
          <w:rFonts w:ascii="Times New Roman" w:hAnsi="Times New Roman"/>
          <w:bCs/>
          <w:iCs/>
          <w:color w:val="000000"/>
          <w:sz w:val="24"/>
          <w:szCs w:val="24"/>
        </w:rPr>
        <w:t xml:space="preserve"> </w:t>
      </w:r>
      <w:r w:rsidR="009B65F3">
        <w:rPr>
          <w:rFonts w:ascii="Times New Roman" w:hAnsi="Times New Roman"/>
          <w:bCs/>
          <w:iCs/>
          <w:color w:val="000000"/>
          <w:sz w:val="24"/>
          <w:szCs w:val="24"/>
        </w:rPr>
        <w:t xml:space="preserve">tan </w:t>
      </w:r>
      <w:r w:rsidR="00075762">
        <w:rPr>
          <w:rFonts w:ascii="Times New Roman" w:hAnsi="Times New Roman"/>
          <w:bCs/>
          <w:iCs/>
          <w:color w:val="000000"/>
          <w:sz w:val="24"/>
          <w:szCs w:val="24"/>
        </w:rPr>
        <w:t>extrema</w:t>
      </w:r>
      <w:r w:rsidR="009B65F3">
        <w:rPr>
          <w:rFonts w:ascii="Times New Roman" w:hAnsi="Times New Roman"/>
          <w:bCs/>
          <w:iCs/>
          <w:color w:val="000000"/>
          <w:sz w:val="24"/>
          <w:szCs w:val="24"/>
        </w:rPr>
        <w:t xml:space="preserve"> como</w:t>
      </w:r>
      <w:r w:rsidR="00075762">
        <w:rPr>
          <w:rFonts w:ascii="Times New Roman" w:hAnsi="Times New Roman"/>
          <w:bCs/>
          <w:iCs/>
          <w:color w:val="000000"/>
          <w:sz w:val="24"/>
          <w:szCs w:val="24"/>
        </w:rPr>
        <w:t xml:space="preserve"> </w:t>
      </w:r>
      <w:r w:rsidR="009B65F3">
        <w:rPr>
          <w:rFonts w:ascii="Times New Roman" w:hAnsi="Times New Roman"/>
          <w:bCs/>
          <w:iCs/>
          <w:color w:val="000000"/>
          <w:sz w:val="24"/>
          <w:szCs w:val="24"/>
        </w:rPr>
        <w:t xml:space="preserve">crucial, de la excepción es donde </w:t>
      </w:r>
      <w:r w:rsidR="00571915">
        <w:rPr>
          <w:rFonts w:ascii="Times New Roman" w:hAnsi="Times New Roman"/>
          <w:bCs/>
          <w:iCs/>
          <w:color w:val="000000"/>
          <w:sz w:val="24"/>
          <w:szCs w:val="24"/>
        </w:rPr>
        <w:t xml:space="preserve">esta </w:t>
      </w:r>
      <w:r w:rsidR="009B65F3">
        <w:rPr>
          <w:rFonts w:ascii="Times New Roman" w:hAnsi="Times New Roman"/>
          <w:bCs/>
          <w:iCs/>
          <w:color w:val="000000"/>
          <w:sz w:val="24"/>
          <w:szCs w:val="24"/>
        </w:rPr>
        <w:t xml:space="preserve">aserción generalizada </w:t>
      </w:r>
      <w:r w:rsidR="003C751B">
        <w:rPr>
          <w:rFonts w:ascii="Times New Roman" w:hAnsi="Times New Roman"/>
          <w:bCs/>
          <w:iCs/>
          <w:color w:val="000000"/>
          <w:sz w:val="24"/>
          <w:szCs w:val="24"/>
        </w:rPr>
        <w:t>puede ser verdaderamente cuestionada</w:t>
      </w:r>
      <w:r w:rsidR="00B14600">
        <w:rPr>
          <w:rFonts w:ascii="Times New Roman" w:hAnsi="Times New Roman"/>
          <w:bCs/>
          <w:iCs/>
          <w:color w:val="000000"/>
          <w:sz w:val="24"/>
          <w:szCs w:val="24"/>
        </w:rPr>
        <w:t>.</w:t>
      </w:r>
      <w:r w:rsidR="001240B6">
        <w:rPr>
          <w:rFonts w:ascii="Times New Roman" w:hAnsi="Times New Roman"/>
          <w:bCs/>
          <w:iCs/>
          <w:color w:val="000000"/>
          <w:sz w:val="24"/>
          <w:szCs w:val="24"/>
        </w:rPr>
        <w:t xml:space="preserve"> </w:t>
      </w:r>
    </w:p>
    <w:p w14:paraId="1D0BEE74" w14:textId="4748420C" w:rsidR="003E3E67" w:rsidRDefault="00B91F55" w:rsidP="00C06BD1">
      <w:pPr>
        <w:spacing w:line="360" w:lineRule="auto"/>
        <w:jc w:val="both"/>
        <w:rPr>
          <w:rFonts w:ascii="Times New Roman" w:hAnsi="Times New Roman"/>
          <w:bCs/>
          <w:iCs/>
          <w:color w:val="000000"/>
          <w:sz w:val="24"/>
          <w:szCs w:val="24"/>
        </w:rPr>
      </w:pPr>
      <w:r>
        <w:rPr>
          <w:rFonts w:ascii="Times New Roman" w:hAnsi="Times New Roman"/>
          <w:bCs/>
          <w:iCs/>
          <w:color w:val="000000"/>
          <w:sz w:val="24"/>
          <w:szCs w:val="24"/>
        </w:rPr>
        <w:t>Así, a</w:t>
      </w:r>
      <w:r w:rsidR="00876967">
        <w:rPr>
          <w:rFonts w:ascii="Times New Roman" w:hAnsi="Times New Roman"/>
          <w:bCs/>
          <w:iCs/>
          <w:color w:val="000000"/>
          <w:sz w:val="24"/>
          <w:szCs w:val="24"/>
        </w:rPr>
        <w:t xml:space="preserve"> través de la estructura de la norma que prohíbe el homicidio puede leerse el lugar central que tiene la propiedad como valor fundamental </w:t>
      </w:r>
      <w:r w:rsidR="00527CDA">
        <w:rPr>
          <w:rFonts w:ascii="Times New Roman" w:hAnsi="Times New Roman"/>
          <w:bCs/>
          <w:iCs/>
          <w:color w:val="000000"/>
          <w:sz w:val="24"/>
          <w:szCs w:val="24"/>
        </w:rPr>
        <w:t>para el sistema penal</w:t>
      </w:r>
      <w:r w:rsidR="00876967">
        <w:rPr>
          <w:rFonts w:ascii="Times New Roman" w:hAnsi="Times New Roman"/>
          <w:bCs/>
          <w:iCs/>
          <w:color w:val="000000"/>
          <w:sz w:val="24"/>
          <w:szCs w:val="24"/>
        </w:rPr>
        <w:t xml:space="preserve"> contemporáne</w:t>
      </w:r>
      <w:r w:rsidR="00527CDA">
        <w:rPr>
          <w:rFonts w:ascii="Times New Roman" w:hAnsi="Times New Roman"/>
          <w:bCs/>
          <w:iCs/>
          <w:color w:val="000000"/>
          <w:sz w:val="24"/>
          <w:szCs w:val="24"/>
        </w:rPr>
        <w:t>o</w:t>
      </w:r>
      <w:r w:rsidR="00876967">
        <w:rPr>
          <w:rFonts w:ascii="Times New Roman" w:hAnsi="Times New Roman"/>
          <w:bCs/>
          <w:iCs/>
          <w:color w:val="000000"/>
          <w:sz w:val="24"/>
          <w:szCs w:val="24"/>
        </w:rPr>
        <w:t>.</w:t>
      </w:r>
      <w:r w:rsidR="003023E2">
        <w:rPr>
          <w:rFonts w:ascii="Times New Roman" w:hAnsi="Times New Roman"/>
          <w:bCs/>
          <w:iCs/>
          <w:color w:val="000000"/>
          <w:sz w:val="24"/>
          <w:szCs w:val="24"/>
        </w:rPr>
        <w:t xml:space="preserve"> No obstante, creemos que lo anterior no nos </w:t>
      </w:r>
      <w:r w:rsidR="00CF1689">
        <w:rPr>
          <w:rFonts w:ascii="Times New Roman" w:hAnsi="Times New Roman"/>
          <w:bCs/>
          <w:iCs/>
          <w:color w:val="000000"/>
          <w:sz w:val="24"/>
          <w:szCs w:val="24"/>
        </w:rPr>
        <w:t xml:space="preserve">debería </w:t>
      </w:r>
      <w:r w:rsidR="003023E2">
        <w:rPr>
          <w:rFonts w:ascii="Times New Roman" w:hAnsi="Times New Roman"/>
          <w:bCs/>
          <w:iCs/>
          <w:color w:val="000000"/>
          <w:sz w:val="24"/>
          <w:szCs w:val="24"/>
        </w:rPr>
        <w:t>conduc</w:t>
      </w:r>
      <w:r w:rsidR="00CF1689">
        <w:rPr>
          <w:rFonts w:ascii="Times New Roman" w:hAnsi="Times New Roman"/>
          <w:bCs/>
          <w:iCs/>
          <w:color w:val="000000"/>
          <w:sz w:val="24"/>
          <w:szCs w:val="24"/>
        </w:rPr>
        <w:t>ir, al menos hasta aquí,</w:t>
      </w:r>
      <w:r w:rsidR="003023E2">
        <w:rPr>
          <w:rFonts w:ascii="Times New Roman" w:hAnsi="Times New Roman"/>
          <w:bCs/>
          <w:iCs/>
          <w:color w:val="000000"/>
          <w:sz w:val="24"/>
          <w:szCs w:val="24"/>
        </w:rPr>
        <w:t xml:space="preserve"> a afirmar</w:t>
      </w:r>
      <w:r w:rsidR="0035744C">
        <w:rPr>
          <w:rFonts w:ascii="Times New Roman" w:hAnsi="Times New Roman"/>
          <w:bCs/>
          <w:iCs/>
          <w:color w:val="000000"/>
          <w:sz w:val="24"/>
          <w:szCs w:val="24"/>
        </w:rPr>
        <w:t xml:space="preserve"> de forma general y acabada</w:t>
      </w:r>
      <w:r w:rsidR="003023E2">
        <w:rPr>
          <w:rFonts w:ascii="Times New Roman" w:hAnsi="Times New Roman"/>
          <w:bCs/>
          <w:iCs/>
          <w:color w:val="000000"/>
          <w:sz w:val="24"/>
          <w:szCs w:val="24"/>
        </w:rPr>
        <w:t xml:space="preserve"> que se trata de un valor</w:t>
      </w:r>
      <w:r w:rsidR="00CE2201">
        <w:rPr>
          <w:rFonts w:ascii="Times New Roman" w:hAnsi="Times New Roman"/>
          <w:bCs/>
          <w:iCs/>
          <w:color w:val="000000"/>
          <w:sz w:val="24"/>
          <w:szCs w:val="24"/>
        </w:rPr>
        <w:t xml:space="preserve"> de mayor jerarquía que la vida individual</w:t>
      </w:r>
      <w:r w:rsidR="003023E2">
        <w:rPr>
          <w:rFonts w:ascii="Times New Roman" w:hAnsi="Times New Roman"/>
          <w:bCs/>
          <w:iCs/>
          <w:color w:val="000000"/>
          <w:sz w:val="24"/>
          <w:szCs w:val="24"/>
        </w:rPr>
        <w:t xml:space="preserve">. </w:t>
      </w:r>
      <w:r w:rsidR="003E3E67">
        <w:rPr>
          <w:rFonts w:ascii="Times New Roman" w:hAnsi="Times New Roman"/>
          <w:bCs/>
          <w:iCs/>
          <w:color w:val="000000"/>
          <w:sz w:val="24"/>
          <w:szCs w:val="24"/>
        </w:rPr>
        <w:t xml:space="preserve">No olvidemos que hemos visto que la excepcionalidad también </w:t>
      </w:r>
      <w:r w:rsidR="00DE2A95">
        <w:rPr>
          <w:rFonts w:ascii="Times New Roman" w:hAnsi="Times New Roman"/>
          <w:bCs/>
          <w:iCs/>
          <w:color w:val="000000"/>
          <w:sz w:val="24"/>
          <w:szCs w:val="24"/>
        </w:rPr>
        <w:t>“</w:t>
      </w:r>
      <w:r w:rsidR="003E3E67">
        <w:rPr>
          <w:rFonts w:ascii="Times New Roman" w:hAnsi="Times New Roman"/>
          <w:bCs/>
          <w:iCs/>
          <w:color w:val="000000"/>
          <w:sz w:val="24"/>
          <w:szCs w:val="24"/>
        </w:rPr>
        <w:t>se activa</w:t>
      </w:r>
      <w:r w:rsidR="00DE2A95">
        <w:rPr>
          <w:rFonts w:ascii="Times New Roman" w:hAnsi="Times New Roman"/>
          <w:bCs/>
          <w:iCs/>
          <w:color w:val="000000"/>
          <w:sz w:val="24"/>
          <w:szCs w:val="24"/>
        </w:rPr>
        <w:t>”</w:t>
      </w:r>
      <w:r w:rsidR="003E3E67">
        <w:rPr>
          <w:rFonts w:ascii="Times New Roman" w:hAnsi="Times New Roman"/>
          <w:bCs/>
          <w:iCs/>
          <w:color w:val="000000"/>
          <w:sz w:val="24"/>
          <w:szCs w:val="24"/>
        </w:rPr>
        <w:t xml:space="preserve"> cuando una vida es atacada</w:t>
      </w:r>
      <w:r w:rsidR="0045417C">
        <w:rPr>
          <w:rFonts w:ascii="Times New Roman" w:hAnsi="Times New Roman"/>
          <w:bCs/>
          <w:iCs/>
          <w:color w:val="000000"/>
          <w:sz w:val="24"/>
          <w:szCs w:val="24"/>
        </w:rPr>
        <w:t>.</w:t>
      </w:r>
      <w:r w:rsidR="00CF1689">
        <w:rPr>
          <w:rFonts w:ascii="Times New Roman" w:hAnsi="Times New Roman"/>
          <w:bCs/>
          <w:iCs/>
          <w:color w:val="000000"/>
          <w:sz w:val="24"/>
          <w:szCs w:val="24"/>
        </w:rPr>
        <w:t xml:space="preserve"> Tampoco podemos olvidar que para la mayoría de los atentados a la propiedad el código prescribe penas </w:t>
      </w:r>
      <w:r w:rsidR="00DF76F2">
        <w:rPr>
          <w:rFonts w:ascii="Times New Roman" w:hAnsi="Times New Roman"/>
          <w:bCs/>
          <w:iCs/>
          <w:color w:val="000000"/>
          <w:sz w:val="24"/>
          <w:szCs w:val="24"/>
        </w:rPr>
        <w:t>notablemente</w:t>
      </w:r>
      <w:r w:rsidR="00CF1689">
        <w:rPr>
          <w:rFonts w:ascii="Times New Roman" w:hAnsi="Times New Roman"/>
          <w:bCs/>
          <w:iCs/>
          <w:color w:val="000000"/>
          <w:sz w:val="24"/>
          <w:szCs w:val="24"/>
        </w:rPr>
        <w:t xml:space="preserve"> menores que para los homicidios. </w:t>
      </w:r>
      <w:r w:rsidR="0045417C">
        <w:rPr>
          <w:rFonts w:ascii="Times New Roman" w:hAnsi="Times New Roman"/>
          <w:bCs/>
          <w:iCs/>
          <w:color w:val="000000"/>
          <w:sz w:val="24"/>
          <w:szCs w:val="24"/>
        </w:rPr>
        <w:t>L</w:t>
      </w:r>
      <w:r w:rsidR="003E3E67">
        <w:rPr>
          <w:rFonts w:ascii="Times New Roman" w:hAnsi="Times New Roman"/>
          <w:bCs/>
          <w:iCs/>
          <w:color w:val="000000"/>
          <w:sz w:val="24"/>
          <w:szCs w:val="24"/>
        </w:rPr>
        <w:t xml:space="preserve">a relación vida-propiedad </w:t>
      </w:r>
      <w:r w:rsidR="000D30A3">
        <w:rPr>
          <w:rFonts w:ascii="Times New Roman" w:hAnsi="Times New Roman"/>
          <w:bCs/>
          <w:iCs/>
          <w:color w:val="000000"/>
          <w:sz w:val="24"/>
          <w:szCs w:val="24"/>
        </w:rPr>
        <w:t xml:space="preserve">presenta indudablemente </w:t>
      </w:r>
      <w:r w:rsidR="00320F30">
        <w:rPr>
          <w:rFonts w:ascii="Times New Roman" w:hAnsi="Times New Roman"/>
          <w:bCs/>
          <w:iCs/>
          <w:color w:val="000000"/>
          <w:sz w:val="24"/>
          <w:szCs w:val="24"/>
        </w:rPr>
        <w:t>una gran</w:t>
      </w:r>
      <w:r w:rsidR="000D30A3">
        <w:rPr>
          <w:rFonts w:ascii="Times New Roman" w:hAnsi="Times New Roman"/>
          <w:bCs/>
          <w:iCs/>
          <w:color w:val="000000"/>
          <w:sz w:val="24"/>
          <w:szCs w:val="24"/>
        </w:rPr>
        <w:t xml:space="preserve"> complejidad que no </w:t>
      </w:r>
      <w:r w:rsidR="00B941D7">
        <w:rPr>
          <w:rFonts w:ascii="Times New Roman" w:hAnsi="Times New Roman"/>
          <w:bCs/>
          <w:iCs/>
          <w:color w:val="000000"/>
          <w:sz w:val="24"/>
          <w:szCs w:val="24"/>
        </w:rPr>
        <w:t xml:space="preserve">nos </w:t>
      </w:r>
      <w:r w:rsidR="000D30A3">
        <w:rPr>
          <w:rFonts w:ascii="Times New Roman" w:hAnsi="Times New Roman"/>
          <w:bCs/>
          <w:iCs/>
          <w:color w:val="000000"/>
          <w:sz w:val="24"/>
          <w:szCs w:val="24"/>
        </w:rPr>
        <w:t xml:space="preserve">permite simplemente ubicar un valor por sobre otro. </w:t>
      </w:r>
      <w:r w:rsidR="00812127">
        <w:rPr>
          <w:rFonts w:ascii="Times New Roman" w:hAnsi="Times New Roman"/>
          <w:bCs/>
          <w:iCs/>
          <w:color w:val="000000"/>
          <w:sz w:val="24"/>
          <w:szCs w:val="24"/>
        </w:rPr>
        <w:t>No obstante, lo que estas primeras aproximaciones a la figura de la legítima defensa han mostrado</w:t>
      </w:r>
      <w:r w:rsidR="00DD627D">
        <w:rPr>
          <w:rFonts w:ascii="Times New Roman" w:hAnsi="Times New Roman"/>
          <w:bCs/>
          <w:iCs/>
          <w:color w:val="000000"/>
          <w:sz w:val="24"/>
          <w:szCs w:val="24"/>
        </w:rPr>
        <w:t xml:space="preserve"> es </w:t>
      </w:r>
      <w:r w:rsidR="00D90708">
        <w:rPr>
          <w:rFonts w:ascii="Times New Roman" w:hAnsi="Times New Roman"/>
          <w:bCs/>
          <w:iCs/>
          <w:color w:val="000000"/>
          <w:sz w:val="24"/>
          <w:szCs w:val="24"/>
        </w:rPr>
        <w:t>tanto</w:t>
      </w:r>
      <w:r w:rsidR="00C30E17">
        <w:rPr>
          <w:rFonts w:ascii="Times New Roman" w:hAnsi="Times New Roman"/>
          <w:bCs/>
          <w:iCs/>
          <w:color w:val="000000"/>
          <w:sz w:val="24"/>
          <w:szCs w:val="24"/>
        </w:rPr>
        <w:t xml:space="preserve"> </w:t>
      </w:r>
      <w:r w:rsidR="00861034">
        <w:rPr>
          <w:rFonts w:ascii="Times New Roman" w:hAnsi="Times New Roman"/>
          <w:bCs/>
          <w:iCs/>
          <w:color w:val="000000"/>
          <w:sz w:val="24"/>
          <w:szCs w:val="24"/>
        </w:rPr>
        <w:t xml:space="preserve">el lugar privilegiado </w:t>
      </w:r>
      <w:r w:rsidR="002A0A02">
        <w:rPr>
          <w:rFonts w:ascii="Times New Roman" w:hAnsi="Times New Roman"/>
          <w:bCs/>
          <w:iCs/>
          <w:color w:val="000000"/>
          <w:sz w:val="24"/>
          <w:szCs w:val="24"/>
        </w:rPr>
        <w:t>que la propiedad ocupa</w:t>
      </w:r>
      <w:r w:rsidR="00C30E17">
        <w:rPr>
          <w:rFonts w:ascii="Times New Roman" w:hAnsi="Times New Roman"/>
          <w:bCs/>
          <w:iCs/>
          <w:color w:val="000000"/>
          <w:sz w:val="24"/>
          <w:szCs w:val="24"/>
        </w:rPr>
        <w:t xml:space="preserve"> para el sistema penal, </w:t>
      </w:r>
      <w:r w:rsidR="00D90708">
        <w:rPr>
          <w:rFonts w:ascii="Times New Roman" w:hAnsi="Times New Roman"/>
          <w:bCs/>
          <w:iCs/>
          <w:color w:val="000000"/>
          <w:sz w:val="24"/>
          <w:szCs w:val="24"/>
        </w:rPr>
        <w:t>como</w:t>
      </w:r>
      <w:r w:rsidR="00C30E17">
        <w:rPr>
          <w:rFonts w:ascii="Times New Roman" w:hAnsi="Times New Roman"/>
          <w:bCs/>
          <w:iCs/>
          <w:color w:val="000000"/>
          <w:sz w:val="24"/>
          <w:szCs w:val="24"/>
        </w:rPr>
        <w:t xml:space="preserve"> la forma </w:t>
      </w:r>
      <w:r w:rsidR="00B431AC">
        <w:rPr>
          <w:rFonts w:ascii="Times New Roman" w:hAnsi="Times New Roman"/>
          <w:bCs/>
          <w:iCs/>
          <w:color w:val="000000"/>
          <w:sz w:val="24"/>
          <w:szCs w:val="24"/>
        </w:rPr>
        <w:t>en que</w:t>
      </w:r>
      <w:r w:rsidR="00D90708">
        <w:rPr>
          <w:rFonts w:ascii="Times New Roman" w:hAnsi="Times New Roman"/>
          <w:bCs/>
          <w:iCs/>
          <w:color w:val="000000"/>
          <w:sz w:val="24"/>
          <w:szCs w:val="24"/>
        </w:rPr>
        <w:t xml:space="preserve"> puede incluso tener primacía por sobre la vida.</w:t>
      </w:r>
    </w:p>
    <w:p w14:paraId="4B743260" w14:textId="6C46600E" w:rsidR="003759A7" w:rsidRDefault="003E3E67" w:rsidP="00C06BD1">
      <w:pPr>
        <w:spacing w:line="360" w:lineRule="auto"/>
        <w:jc w:val="both"/>
        <w:rPr>
          <w:rFonts w:ascii="Times New Roman" w:hAnsi="Times New Roman"/>
          <w:bCs/>
          <w:iCs/>
          <w:color w:val="000000"/>
          <w:sz w:val="24"/>
          <w:szCs w:val="24"/>
        </w:rPr>
      </w:pPr>
      <w:r>
        <w:rPr>
          <w:rFonts w:ascii="Times New Roman" w:hAnsi="Times New Roman"/>
          <w:bCs/>
          <w:iCs/>
          <w:color w:val="000000"/>
          <w:sz w:val="24"/>
          <w:szCs w:val="24"/>
        </w:rPr>
        <w:t>La</w:t>
      </w:r>
      <w:r w:rsidR="003023E2">
        <w:rPr>
          <w:rFonts w:ascii="Times New Roman" w:hAnsi="Times New Roman"/>
          <w:bCs/>
          <w:iCs/>
          <w:color w:val="000000"/>
          <w:sz w:val="24"/>
          <w:szCs w:val="24"/>
        </w:rPr>
        <w:t xml:space="preserve"> estructura de la </w:t>
      </w:r>
      <w:r w:rsidR="00C25705">
        <w:rPr>
          <w:rFonts w:ascii="Times New Roman" w:hAnsi="Times New Roman"/>
          <w:bCs/>
          <w:iCs/>
          <w:color w:val="000000"/>
          <w:sz w:val="24"/>
          <w:szCs w:val="24"/>
        </w:rPr>
        <w:t>prohibición</w:t>
      </w:r>
      <w:r w:rsidR="003023E2">
        <w:rPr>
          <w:rFonts w:ascii="Times New Roman" w:hAnsi="Times New Roman"/>
          <w:bCs/>
          <w:iCs/>
          <w:color w:val="000000"/>
          <w:sz w:val="24"/>
          <w:szCs w:val="24"/>
        </w:rPr>
        <w:t xml:space="preserve"> de matar </w:t>
      </w:r>
      <w:r w:rsidR="00CE2201">
        <w:rPr>
          <w:rFonts w:ascii="Times New Roman" w:hAnsi="Times New Roman"/>
          <w:bCs/>
          <w:iCs/>
          <w:color w:val="000000"/>
          <w:sz w:val="24"/>
          <w:szCs w:val="24"/>
        </w:rPr>
        <w:t>muestra</w:t>
      </w:r>
      <w:r w:rsidR="00B23587">
        <w:rPr>
          <w:rFonts w:ascii="Times New Roman" w:hAnsi="Times New Roman"/>
          <w:bCs/>
          <w:iCs/>
          <w:color w:val="000000"/>
          <w:sz w:val="24"/>
          <w:szCs w:val="24"/>
        </w:rPr>
        <w:t xml:space="preserve"> entonces</w:t>
      </w:r>
      <w:r w:rsidR="00CE2201">
        <w:rPr>
          <w:rFonts w:ascii="Times New Roman" w:hAnsi="Times New Roman"/>
          <w:bCs/>
          <w:iCs/>
          <w:color w:val="000000"/>
          <w:sz w:val="24"/>
          <w:szCs w:val="24"/>
        </w:rPr>
        <w:t xml:space="preserve"> que la vida se encuentra altamente protegida por el sistema penal,</w:t>
      </w:r>
      <w:r w:rsidR="00FE01FE">
        <w:rPr>
          <w:rFonts w:ascii="Times New Roman" w:hAnsi="Times New Roman"/>
          <w:bCs/>
          <w:iCs/>
          <w:color w:val="000000"/>
          <w:sz w:val="24"/>
          <w:szCs w:val="24"/>
        </w:rPr>
        <w:t xml:space="preserve"> pero </w:t>
      </w:r>
      <w:r w:rsidR="00C25705">
        <w:rPr>
          <w:rFonts w:ascii="Times New Roman" w:hAnsi="Times New Roman"/>
          <w:bCs/>
          <w:iCs/>
          <w:color w:val="000000"/>
          <w:sz w:val="24"/>
          <w:szCs w:val="24"/>
        </w:rPr>
        <w:t>que esa “salvaguarda” implica asimismo su desprotección o abandono absoluto</w:t>
      </w:r>
      <w:r w:rsidR="000A6139">
        <w:rPr>
          <w:rFonts w:ascii="Times New Roman" w:hAnsi="Times New Roman"/>
          <w:bCs/>
          <w:iCs/>
          <w:color w:val="000000"/>
          <w:sz w:val="24"/>
          <w:szCs w:val="24"/>
        </w:rPr>
        <w:t xml:space="preserve"> (en el marco de la excepción)</w:t>
      </w:r>
      <w:r w:rsidR="00C25705">
        <w:rPr>
          <w:rFonts w:ascii="Times New Roman" w:hAnsi="Times New Roman"/>
          <w:bCs/>
          <w:iCs/>
          <w:color w:val="000000"/>
          <w:sz w:val="24"/>
          <w:szCs w:val="24"/>
        </w:rPr>
        <w:t>.</w:t>
      </w:r>
      <w:r w:rsidR="00E322F0">
        <w:rPr>
          <w:rFonts w:ascii="Times New Roman" w:hAnsi="Times New Roman"/>
          <w:bCs/>
          <w:iCs/>
          <w:color w:val="000000"/>
          <w:sz w:val="24"/>
          <w:szCs w:val="24"/>
        </w:rPr>
        <w:t xml:space="preserve"> </w:t>
      </w:r>
      <w:r w:rsidR="00044DD7">
        <w:rPr>
          <w:rFonts w:ascii="Times New Roman" w:hAnsi="Times New Roman"/>
          <w:bCs/>
          <w:iCs/>
          <w:color w:val="000000"/>
          <w:sz w:val="24"/>
          <w:szCs w:val="24"/>
        </w:rPr>
        <w:t>A través de las prácticas de castigo, e</w:t>
      </w:r>
      <w:r w:rsidR="00073A4C">
        <w:rPr>
          <w:rFonts w:ascii="Times New Roman" w:hAnsi="Times New Roman"/>
          <w:bCs/>
          <w:iCs/>
          <w:color w:val="000000"/>
          <w:sz w:val="24"/>
          <w:szCs w:val="24"/>
        </w:rPr>
        <w:t>l</w:t>
      </w:r>
      <w:r w:rsidR="002727C0">
        <w:rPr>
          <w:rFonts w:ascii="Times New Roman" w:hAnsi="Times New Roman"/>
          <w:bCs/>
          <w:iCs/>
          <w:color w:val="000000"/>
          <w:sz w:val="24"/>
          <w:szCs w:val="24"/>
        </w:rPr>
        <w:t xml:space="preserve"> aparato de administración de justicia criminal </w:t>
      </w:r>
      <w:r w:rsidR="00073A4C">
        <w:rPr>
          <w:rFonts w:ascii="Times New Roman" w:hAnsi="Times New Roman"/>
          <w:bCs/>
          <w:iCs/>
          <w:color w:val="000000"/>
          <w:sz w:val="24"/>
          <w:szCs w:val="24"/>
        </w:rPr>
        <w:t xml:space="preserve">opera así una continua calificación </w:t>
      </w:r>
      <w:r w:rsidR="00044DD7">
        <w:rPr>
          <w:rFonts w:ascii="Times New Roman" w:hAnsi="Times New Roman"/>
          <w:bCs/>
          <w:iCs/>
          <w:color w:val="000000"/>
          <w:sz w:val="24"/>
          <w:szCs w:val="24"/>
        </w:rPr>
        <w:t>diferencial</w:t>
      </w:r>
      <w:r w:rsidR="00073A4C">
        <w:rPr>
          <w:rFonts w:ascii="Times New Roman" w:hAnsi="Times New Roman"/>
          <w:bCs/>
          <w:iCs/>
          <w:color w:val="000000"/>
          <w:sz w:val="24"/>
          <w:szCs w:val="24"/>
        </w:rPr>
        <w:t xml:space="preserve"> de las vidas</w:t>
      </w:r>
      <w:r w:rsidR="00885512">
        <w:rPr>
          <w:rFonts w:ascii="Times New Roman" w:hAnsi="Times New Roman"/>
          <w:bCs/>
          <w:iCs/>
          <w:color w:val="000000"/>
          <w:sz w:val="24"/>
          <w:szCs w:val="24"/>
        </w:rPr>
        <w:t xml:space="preserve">, valorando algunas de ellas y </w:t>
      </w:r>
      <w:proofErr w:type="spellStart"/>
      <w:r w:rsidR="00885512">
        <w:rPr>
          <w:rFonts w:ascii="Times New Roman" w:hAnsi="Times New Roman"/>
          <w:bCs/>
          <w:iCs/>
          <w:color w:val="000000"/>
          <w:sz w:val="24"/>
          <w:szCs w:val="24"/>
        </w:rPr>
        <w:t>dis-valorando</w:t>
      </w:r>
      <w:proofErr w:type="spellEnd"/>
      <w:r w:rsidR="00885512">
        <w:rPr>
          <w:rFonts w:ascii="Times New Roman" w:hAnsi="Times New Roman"/>
          <w:bCs/>
          <w:iCs/>
          <w:color w:val="000000"/>
          <w:sz w:val="24"/>
          <w:szCs w:val="24"/>
        </w:rPr>
        <w:t xml:space="preserve"> otras</w:t>
      </w:r>
      <w:r w:rsidR="00901EFE" w:rsidRPr="00901EFE">
        <w:rPr>
          <w:rFonts w:ascii="Times New Roman" w:hAnsi="Times New Roman"/>
          <w:bCs/>
          <w:iCs/>
          <w:color w:val="000000"/>
          <w:sz w:val="24"/>
          <w:szCs w:val="24"/>
        </w:rPr>
        <w:t xml:space="preserve"> </w:t>
      </w:r>
      <w:r w:rsidR="00901EFE">
        <w:rPr>
          <w:rFonts w:ascii="Times New Roman" w:hAnsi="Times New Roman"/>
          <w:bCs/>
          <w:iCs/>
          <w:color w:val="000000"/>
          <w:sz w:val="24"/>
          <w:szCs w:val="24"/>
        </w:rPr>
        <w:t>completamente</w:t>
      </w:r>
      <w:r w:rsidR="00885512">
        <w:rPr>
          <w:rFonts w:ascii="Times New Roman" w:hAnsi="Times New Roman"/>
          <w:bCs/>
          <w:iCs/>
          <w:color w:val="000000"/>
          <w:sz w:val="24"/>
          <w:szCs w:val="24"/>
        </w:rPr>
        <w:t xml:space="preserve">. </w:t>
      </w:r>
      <w:r w:rsidR="00771CF0">
        <w:rPr>
          <w:rFonts w:ascii="Times New Roman" w:hAnsi="Times New Roman"/>
          <w:bCs/>
          <w:iCs/>
          <w:color w:val="000000"/>
          <w:sz w:val="24"/>
          <w:szCs w:val="24"/>
        </w:rPr>
        <w:t>La</w:t>
      </w:r>
      <w:r w:rsidR="002D256C">
        <w:rPr>
          <w:rFonts w:ascii="Times New Roman" w:hAnsi="Times New Roman"/>
          <w:bCs/>
          <w:iCs/>
          <w:color w:val="000000"/>
          <w:sz w:val="24"/>
          <w:szCs w:val="24"/>
        </w:rPr>
        <w:t xml:space="preserve"> construcción de un caso como un caso de legítima defensa es una de las formas</w:t>
      </w:r>
      <w:r w:rsidR="004258B5">
        <w:rPr>
          <w:rFonts w:ascii="Times New Roman" w:hAnsi="Times New Roman"/>
          <w:bCs/>
          <w:iCs/>
          <w:color w:val="000000"/>
          <w:sz w:val="24"/>
          <w:szCs w:val="24"/>
        </w:rPr>
        <w:t xml:space="preserve"> </w:t>
      </w:r>
      <w:r w:rsidR="00771CF0">
        <w:rPr>
          <w:rFonts w:ascii="Times New Roman" w:hAnsi="Times New Roman"/>
          <w:bCs/>
          <w:iCs/>
          <w:color w:val="000000"/>
          <w:sz w:val="24"/>
          <w:szCs w:val="24"/>
        </w:rPr>
        <w:t xml:space="preserve">en que </w:t>
      </w:r>
      <w:r w:rsidR="00FA3701">
        <w:rPr>
          <w:rFonts w:ascii="Times New Roman" w:hAnsi="Times New Roman"/>
          <w:bCs/>
          <w:iCs/>
          <w:color w:val="000000"/>
          <w:sz w:val="24"/>
          <w:szCs w:val="24"/>
        </w:rPr>
        <w:t>esta valoración diferencial se produce.</w:t>
      </w:r>
      <w:r w:rsidR="00B646E9">
        <w:rPr>
          <w:rFonts w:ascii="Times New Roman" w:hAnsi="Times New Roman"/>
          <w:bCs/>
          <w:iCs/>
          <w:color w:val="000000"/>
          <w:sz w:val="24"/>
          <w:szCs w:val="24"/>
        </w:rPr>
        <w:t xml:space="preserve"> </w:t>
      </w:r>
      <w:r w:rsidR="002D256C">
        <w:rPr>
          <w:rFonts w:ascii="Times New Roman" w:hAnsi="Times New Roman"/>
          <w:bCs/>
          <w:iCs/>
          <w:color w:val="000000"/>
          <w:sz w:val="24"/>
          <w:szCs w:val="24"/>
        </w:rPr>
        <w:t>Y</w:t>
      </w:r>
      <w:r w:rsidR="00FA3701">
        <w:rPr>
          <w:rFonts w:ascii="Times New Roman" w:hAnsi="Times New Roman"/>
          <w:bCs/>
          <w:iCs/>
          <w:color w:val="000000"/>
          <w:sz w:val="24"/>
          <w:szCs w:val="24"/>
        </w:rPr>
        <w:t>,</w:t>
      </w:r>
      <w:r w:rsidR="002D256C">
        <w:rPr>
          <w:rFonts w:ascii="Times New Roman" w:hAnsi="Times New Roman"/>
          <w:bCs/>
          <w:iCs/>
          <w:color w:val="000000"/>
          <w:sz w:val="24"/>
          <w:szCs w:val="24"/>
        </w:rPr>
        <w:t xml:space="preserve"> s</w:t>
      </w:r>
      <w:r w:rsidR="003A7E8E">
        <w:rPr>
          <w:rFonts w:ascii="Times New Roman" w:hAnsi="Times New Roman"/>
          <w:bCs/>
          <w:iCs/>
          <w:color w:val="000000"/>
          <w:sz w:val="24"/>
          <w:szCs w:val="24"/>
        </w:rPr>
        <w:t>i aceptamos que soberano es quien decide sobre el estado de excepción (</w:t>
      </w:r>
      <w:r w:rsidR="00771CF0">
        <w:rPr>
          <w:rFonts w:ascii="Times New Roman" w:hAnsi="Times New Roman"/>
          <w:bCs/>
          <w:iCs/>
          <w:color w:val="000000"/>
          <w:sz w:val="24"/>
          <w:szCs w:val="24"/>
        </w:rPr>
        <w:t>Schmitt</w:t>
      </w:r>
      <w:r w:rsidR="003A7E8E">
        <w:rPr>
          <w:rFonts w:ascii="Times New Roman" w:hAnsi="Times New Roman"/>
          <w:bCs/>
          <w:iCs/>
          <w:color w:val="000000"/>
          <w:sz w:val="24"/>
          <w:szCs w:val="24"/>
        </w:rPr>
        <w:t xml:space="preserve">, </w:t>
      </w:r>
      <w:r w:rsidR="00621874">
        <w:rPr>
          <w:rFonts w:ascii="Times New Roman" w:hAnsi="Times New Roman"/>
          <w:bCs/>
          <w:iCs/>
          <w:color w:val="000000"/>
          <w:sz w:val="24"/>
          <w:szCs w:val="24"/>
        </w:rPr>
        <w:t>2009</w:t>
      </w:r>
      <w:r w:rsidR="003A7E8E">
        <w:rPr>
          <w:rFonts w:ascii="Times New Roman" w:hAnsi="Times New Roman"/>
          <w:bCs/>
          <w:iCs/>
          <w:color w:val="000000"/>
          <w:sz w:val="24"/>
          <w:szCs w:val="24"/>
        </w:rPr>
        <w:t xml:space="preserve">), sobre la suspensión de la norma, hemos de afirmar </w:t>
      </w:r>
      <w:r w:rsidR="004258B5">
        <w:rPr>
          <w:rFonts w:ascii="Times New Roman" w:hAnsi="Times New Roman"/>
          <w:bCs/>
          <w:iCs/>
          <w:color w:val="000000"/>
          <w:sz w:val="24"/>
          <w:szCs w:val="24"/>
        </w:rPr>
        <w:t xml:space="preserve">entonces </w:t>
      </w:r>
      <w:r w:rsidR="003A7E8E">
        <w:rPr>
          <w:rFonts w:ascii="Times New Roman" w:hAnsi="Times New Roman"/>
          <w:bCs/>
          <w:iCs/>
          <w:color w:val="000000"/>
          <w:sz w:val="24"/>
          <w:szCs w:val="24"/>
        </w:rPr>
        <w:t xml:space="preserve">que </w:t>
      </w:r>
      <w:r w:rsidR="002D256C">
        <w:rPr>
          <w:rFonts w:ascii="Times New Roman" w:hAnsi="Times New Roman"/>
          <w:bCs/>
          <w:iCs/>
          <w:color w:val="000000"/>
          <w:sz w:val="24"/>
          <w:szCs w:val="24"/>
        </w:rPr>
        <w:t>esta</w:t>
      </w:r>
      <w:r w:rsidR="00B646E9">
        <w:rPr>
          <w:rFonts w:ascii="Times New Roman" w:hAnsi="Times New Roman"/>
          <w:bCs/>
          <w:iCs/>
          <w:color w:val="000000"/>
          <w:sz w:val="24"/>
          <w:szCs w:val="24"/>
        </w:rPr>
        <w:t xml:space="preserve"> decisión sobre la legítima defensa es una decisión soberana.</w:t>
      </w:r>
      <w:r w:rsidR="002B5C82">
        <w:rPr>
          <w:rFonts w:ascii="Times New Roman" w:hAnsi="Times New Roman"/>
          <w:bCs/>
          <w:iCs/>
          <w:color w:val="000000"/>
          <w:sz w:val="24"/>
          <w:szCs w:val="24"/>
        </w:rPr>
        <w:t xml:space="preserve"> </w:t>
      </w:r>
    </w:p>
    <w:p w14:paraId="77A98EE9" w14:textId="5E6F07E4" w:rsidR="00DD6171" w:rsidRDefault="002B5C82" w:rsidP="004917AA">
      <w:pPr>
        <w:spacing w:line="360" w:lineRule="auto"/>
        <w:jc w:val="both"/>
        <w:rPr>
          <w:rFonts w:ascii="Times New Roman" w:hAnsi="Times New Roman"/>
          <w:bCs/>
          <w:iCs/>
          <w:color w:val="000000"/>
          <w:sz w:val="24"/>
          <w:szCs w:val="24"/>
        </w:rPr>
      </w:pPr>
      <w:r>
        <w:rPr>
          <w:rFonts w:ascii="Times New Roman" w:hAnsi="Times New Roman"/>
          <w:bCs/>
          <w:iCs/>
          <w:color w:val="000000"/>
          <w:sz w:val="24"/>
          <w:szCs w:val="24"/>
        </w:rPr>
        <w:lastRenderedPageBreak/>
        <w:t>Ahora bien, lo cierto es que hasta aquí hemos solo abordado la estructura formal de la norma, y no su efectiva aplicación.</w:t>
      </w:r>
      <w:r w:rsidR="00945F1D">
        <w:rPr>
          <w:rFonts w:ascii="Times New Roman" w:hAnsi="Times New Roman"/>
          <w:bCs/>
          <w:iCs/>
          <w:color w:val="000000"/>
          <w:sz w:val="24"/>
          <w:szCs w:val="24"/>
        </w:rPr>
        <w:t xml:space="preserve"> </w:t>
      </w:r>
      <w:r w:rsidR="00C82CE5">
        <w:rPr>
          <w:rFonts w:ascii="Times New Roman" w:hAnsi="Times New Roman"/>
          <w:bCs/>
          <w:iCs/>
          <w:color w:val="000000"/>
          <w:sz w:val="24"/>
          <w:szCs w:val="24"/>
        </w:rPr>
        <w:t xml:space="preserve">Y esto por cuanto hemos buscado realizar una primera aproximación a la estructura específica de la </w:t>
      </w:r>
      <w:r w:rsidR="00CB5CE8">
        <w:rPr>
          <w:rFonts w:ascii="Times New Roman" w:hAnsi="Times New Roman"/>
          <w:bCs/>
          <w:iCs/>
          <w:color w:val="000000"/>
          <w:sz w:val="24"/>
          <w:szCs w:val="24"/>
        </w:rPr>
        <w:t>prohibición</w:t>
      </w:r>
      <w:r w:rsidR="00C82CE5">
        <w:rPr>
          <w:rFonts w:ascii="Times New Roman" w:hAnsi="Times New Roman"/>
          <w:bCs/>
          <w:iCs/>
          <w:color w:val="000000"/>
          <w:sz w:val="24"/>
          <w:szCs w:val="24"/>
        </w:rPr>
        <w:t xml:space="preserve">. </w:t>
      </w:r>
      <w:r w:rsidR="00945F1D">
        <w:rPr>
          <w:rFonts w:ascii="Times New Roman" w:hAnsi="Times New Roman"/>
          <w:bCs/>
          <w:iCs/>
          <w:color w:val="000000"/>
          <w:sz w:val="24"/>
          <w:szCs w:val="24"/>
        </w:rPr>
        <w:t xml:space="preserve">Si bien no podremos hacerlo aquí, esto último resulta fundamental pues la norma (y la excepción) </w:t>
      </w:r>
      <w:r w:rsidR="00070DA6">
        <w:rPr>
          <w:rFonts w:ascii="Times New Roman" w:hAnsi="Times New Roman"/>
          <w:bCs/>
          <w:iCs/>
          <w:color w:val="000000"/>
          <w:sz w:val="24"/>
          <w:szCs w:val="24"/>
        </w:rPr>
        <w:t>se actualizan en la</w:t>
      </w:r>
      <w:r w:rsidR="00944934">
        <w:rPr>
          <w:rFonts w:ascii="Times New Roman" w:hAnsi="Times New Roman"/>
          <w:bCs/>
          <w:iCs/>
          <w:color w:val="000000"/>
          <w:sz w:val="24"/>
          <w:szCs w:val="24"/>
        </w:rPr>
        <w:t>s</w:t>
      </w:r>
      <w:r w:rsidR="00070DA6">
        <w:rPr>
          <w:rFonts w:ascii="Times New Roman" w:hAnsi="Times New Roman"/>
          <w:bCs/>
          <w:iCs/>
          <w:color w:val="000000"/>
          <w:sz w:val="24"/>
          <w:szCs w:val="24"/>
        </w:rPr>
        <w:t xml:space="preserve"> prácticas </w:t>
      </w:r>
      <w:r w:rsidR="00142788">
        <w:rPr>
          <w:rFonts w:ascii="Times New Roman" w:hAnsi="Times New Roman"/>
          <w:bCs/>
          <w:iCs/>
          <w:color w:val="000000"/>
          <w:sz w:val="24"/>
          <w:szCs w:val="24"/>
        </w:rPr>
        <w:t>vigentes</w:t>
      </w:r>
      <w:r w:rsidR="00070DA6">
        <w:rPr>
          <w:rFonts w:ascii="Times New Roman" w:hAnsi="Times New Roman"/>
          <w:bCs/>
          <w:iCs/>
          <w:color w:val="000000"/>
          <w:sz w:val="24"/>
          <w:szCs w:val="24"/>
        </w:rPr>
        <w:t xml:space="preserve"> </w:t>
      </w:r>
      <w:r w:rsidR="00B5602B">
        <w:rPr>
          <w:rFonts w:ascii="Times New Roman" w:hAnsi="Times New Roman"/>
          <w:bCs/>
          <w:iCs/>
          <w:color w:val="000000"/>
          <w:sz w:val="24"/>
          <w:szCs w:val="24"/>
        </w:rPr>
        <w:t>de los agentes judiciales.</w:t>
      </w:r>
      <w:r w:rsidR="00944934">
        <w:rPr>
          <w:rFonts w:ascii="Times New Roman" w:hAnsi="Times New Roman"/>
          <w:bCs/>
          <w:iCs/>
          <w:color w:val="000000"/>
          <w:sz w:val="24"/>
          <w:szCs w:val="24"/>
        </w:rPr>
        <w:t xml:space="preserve"> Así, además del nivel vinculado a la codificación (punto de partida quizás), es preciso abordar </w:t>
      </w:r>
      <w:r w:rsidR="00CB5CE8">
        <w:rPr>
          <w:rFonts w:ascii="Times New Roman" w:hAnsi="Times New Roman"/>
          <w:bCs/>
          <w:iCs/>
          <w:color w:val="000000"/>
          <w:sz w:val="24"/>
          <w:szCs w:val="24"/>
        </w:rPr>
        <w:t xml:space="preserve">también </w:t>
      </w:r>
      <w:r w:rsidR="00944934">
        <w:rPr>
          <w:rFonts w:ascii="Times New Roman" w:hAnsi="Times New Roman"/>
          <w:bCs/>
          <w:iCs/>
          <w:color w:val="000000"/>
          <w:sz w:val="24"/>
          <w:szCs w:val="24"/>
        </w:rPr>
        <w:t>el “derecho en movimiento” (Sutherland</w:t>
      </w:r>
      <w:r w:rsidR="00655A1F">
        <w:rPr>
          <w:rFonts w:ascii="Times New Roman" w:hAnsi="Times New Roman"/>
          <w:bCs/>
          <w:iCs/>
          <w:color w:val="000000"/>
          <w:sz w:val="24"/>
          <w:szCs w:val="24"/>
        </w:rPr>
        <w:t xml:space="preserve">, 1947) pues es allí donde se podrá observar quiénes efectivamente forman ese grupo de hombres </w:t>
      </w:r>
      <w:r w:rsidR="00655A1F">
        <w:rPr>
          <w:rFonts w:ascii="Times New Roman" w:hAnsi="Times New Roman"/>
          <w:bCs/>
          <w:i/>
          <w:color w:val="000000"/>
          <w:sz w:val="24"/>
          <w:szCs w:val="24"/>
        </w:rPr>
        <w:t>sacros</w:t>
      </w:r>
      <w:r w:rsidR="00655A1F">
        <w:rPr>
          <w:rFonts w:ascii="Times New Roman" w:hAnsi="Times New Roman"/>
          <w:bCs/>
          <w:iCs/>
          <w:color w:val="000000"/>
          <w:sz w:val="24"/>
          <w:szCs w:val="24"/>
        </w:rPr>
        <w:t xml:space="preserve"> (en el sentido </w:t>
      </w:r>
      <w:proofErr w:type="spellStart"/>
      <w:r w:rsidR="00655A1F">
        <w:rPr>
          <w:rFonts w:ascii="Times New Roman" w:hAnsi="Times New Roman"/>
          <w:bCs/>
          <w:iCs/>
          <w:color w:val="000000"/>
          <w:sz w:val="24"/>
          <w:szCs w:val="24"/>
        </w:rPr>
        <w:t>agambeniano</w:t>
      </w:r>
      <w:proofErr w:type="spellEnd"/>
      <w:r w:rsidR="00655A1F">
        <w:rPr>
          <w:rFonts w:ascii="Times New Roman" w:hAnsi="Times New Roman"/>
          <w:bCs/>
          <w:iCs/>
          <w:color w:val="000000"/>
          <w:sz w:val="24"/>
          <w:szCs w:val="24"/>
        </w:rPr>
        <w:t>)</w:t>
      </w:r>
      <w:r w:rsidR="00AD7A22">
        <w:rPr>
          <w:rFonts w:ascii="Times New Roman" w:hAnsi="Times New Roman"/>
          <w:bCs/>
          <w:iCs/>
          <w:color w:val="000000"/>
          <w:sz w:val="24"/>
          <w:szCs w:val="24"/>
        </w:rPr>
        <w:t xml:space="preserve"> cuyas vidas aparecen como libremente dispuestas, o </w:t>
      </w:r>
      <w:proofErr w:type="spellStart"/>
      <w:r w:rsidR="00AD7A22" w:rsidRPr="00AD7A22">
        <w:rPr>
          <w:rFonts w:ascii="Times New Roman" w:hAnsi="Times New Roman"/>
          <w:bCs/>
          <w:i/>
          <w:color w:val="000000"/>
          <w:sz w:val="24"/>
          <w:szCs w:val="24"/>
        </w:rPr>
        <w:t>matables</w:t>
      </w:r>
      <w:proofErr w:type="spellEnd"/>
      <w:r w:rsidR="00AD7A22">
        <w:rPr>
          <w:rFonts w:ascii="Times New Roman" w:hAnsi="Times New Roman"/>
          <w:bCs/>
          <w:iCs/>
          <w:color w:val="000000"/>
          <w:sz w:val="24"/>
          <w:szCs w:val="24"/>
        </w:rPr>
        <w:t>.</w:t>
      </w:r>
      <w:r w:rsidR="00DD6171">
        <w:rPr>
          <w:rFonts w:ascii="Times New Roman" w:hAnsi="Times New Roman"/>
          <w:bCs/>
          <w:iCs/>
          <w:color w:val="000000"/>
          <w:sz w:val="24"/>
          <w:szCs w:val="24"/>
        </w:rPr>
        <w:t xml:space="preserve"> Esto último permitirá un análisis más compr</w:t>
      </w:r>
      <w:r w:rsidR="000F4E2B">
        <w:rPr>
          <w:rFonts w:ascii="Times New Roman" w:hAnsi="Times New Roman"/>
          <w:bCs/>
          <w:iCs/>
          <w:color w:val="000000"/>
          <w:sz w:val="24"/>
          <w:szCs w:val="24"/>
        </w:rPr>
        <w:t>eh</w:t>
      </w:r>
      <w:r w:rsidR="00DD6171">
        <w:rPr>
          <w:rFonts w:ascii="Times New Roman" w:hAnsi="Times New Roman"/>
          <w:bCs/>
          <w:iCs/>
          <w:color w:val="000000"/>
          <w:sz w:val="24"/>
          <w:szCs w:val="24"/>
        </w:rPr>
        <w:t>ensivo de la relación entre la prohibición de matar y la excepción que la constituye.</w:t>
      </w:r>
    </w:p>
    <w:p w14:paraId="5D653093" w14:textId="77777777" w:rsidR="004D1BB9" w:rsidRDefault="004D1BB9">
      <w:pPr>
        <w:rPr>
          <w:rFonts w:ascii="Times New Roman" w:hAnsi="Times New Roman"/>
          <w:b/>
          <w:bCs/>
          <w:iCs/>
          <w:color w:val="000000"/>
          <w:sz w:val="24"/>
          <w:szCs w:val="24"/>
        </w:rPr>
      </w:pPr>
      <w:r>
        <w:rPr>
          <w:rFonts w:ascii="Times New Roman" w:hAnsi="Times New Roman"/>
          <w:b/>
          <w:bCs/>
          <w:iCs/>
          <w:color w:val="000000"/>
          <w:sz w:val="24"/>
          <w:szCs w:val="24"/>
        </w:rPr>
        <w:br w:type="page"/>
      </w:r>
    </w:p>
    <w:p w14:paraId="2BB9D2EF" w14:textId="404976F3" w:rsidR="004917AA" w:rsidRPr="008B126B" w:rsidRDefault="004917AA" w:rsidP="004917AA">
      <w:pPr>
        <w:spacing w:line="360" w:lineRule="auto"/>
        <w:jc w:val="both"/>
        <w:rPr>
          <w:rFonts w:ascii="Times New Roman" w:hAnsi="Times New Roman"/>
          <w:b/>
          <w:bCs/>
          <w:iCs/>
          <w:color w:val="000000"/>
          <w:sz w:val="24"/>
          <w:szCs w:val="24"/>
        </w:rPr>
      </w:pPr>
      <w:r w:rsidRPr="008B126B">
        <w:rPr>
          <w:rFonts w:ascii="Times New Roman" w:hAnsi="Times New Roman"/>
          <w:b/>
          <w:bCs/>
          <w:iCs/>
          <w:color w:val="000000"/>
          <w:sz w:val="24"/>
          <w:szCs w:val="24"/>
        </w:rPr>
        <w:lastRenderedPageBreak/>
        <w:t>Referencias</w:t>
      </w:r>
    </w:p>
    <w:p w14:paraId="1E4DC9E1" w14:textId="77777777" w:rsidR="002A2908" w:rsidRDefault="002A2908" w:rsidP="004917AA">
      <w:pPr>
        <w:spacing w:line="360" w:lineRule="auto"/>
        <w:jc w:val="both"/>
        <w:rPr>
          <w:rFonts w:ascii="Times New Roman" w:hAnsi="Times New Roman"/>
          <w:bCs/>
          <w:iCs/>
          <w:color w:val="000000"/>
          <w:sz w:val="24"/>
          <w:szCs w:val="24"/>
        </w:rPr>
      </w:pPr>
    </w:p>
    <w:p w14:paraId="12DDF664" w14:textId="42E31FF5" w:rsidR="004917AA" w:rsidRDefault="004917AA" w:rsidP="004917AA">
      <w:pPr>
        <w:spacing w:line="360" w:lineRule="auto"/>
        <w:jc w:val="both"/>
        <w:rPr>
          <w:rFonts w:ascii="Times New Roman" w:hAnsi="Times New Roman"/>
          <w:bCs/>
          <w:iCs/>
          <w:color w:val="000000"/>
          <w:sz w:val="24"/>
          <w:szCs w:val="24"/>
        </w:rPr>
      </w:pPr>
      <w:bookmarkStart w:id="0" w:name="_GoBack"/>
      <w:bookmarkEnd w:id="0"/>
      <w:r>
        <w:rPr>
          <w:rFonts w:ascii="Times New Roman" w:hAnsi="Times New Roman"/>
          <w:bCs/>
          <w:iCs/>
          <w:color w:val="000000"/>
          <w:sz w:val="24"/>
          <w:szCs w:val="24"/>
        </w:rPr>
        <w:t xml:space="preserve">Agamben, G. (2017). </w:t>
      </w:r>
      <w:r w:rsidRPr="005C76A5">
        <w:rPr>
          <w:rFonts w:ascii="Times New Roman" w:hAnsi="Times New Roman"/>
          <w:bCs/>
          <w:i/>
          <w:iCs/>
          <w:color w:val="000000"/>
          <w:sz w:val="24"/>
          <w:szCs w:val="24"/>
        </w:rPr>
        <w:t>Homo sacer. El poder soberano y la vida desnuda</w:t>
      </w:r>
      <w:r>
        <w:rPr>
          <w:rFonts w:ascii="Times New Roman" w:hAnsi="Times New Roman"/>
          <w:bCs/>
          <w:iCs/>
          <w:color w:val="000000"/>
          <w:sz w:val="24"/>
          <w:szCs w:val="24"/>
        </w:rPr>
        <w:t>. Buenos Aires: Adriana Hidalgo Editora.</w:t>
      </w:r>
    </w:p>
    <w:p w14:paraId="68420C74" w14:textId="020AB4DF" w:rsidR="004917AA" w:rsidRDefault="004917AA" w:rsidP="004917AA">
      <w:pPr>
        <w:spacing w:line="360" w:lineRule="auto"/>
        <w:jc w:val="both"/>
        <w:rPr>
          <w:rFonts w:ascii="Times New Roman" w:hAnsi="Times New Roman"/>
          <w:bCs/>
          <w:iCs/>
          <w:color w:val="000000"/>
          <w:sz w:val="24"/>
          <w:szCs w:val="24"/>
        </w:rPr>
      </w:pPr>
      <w:r w:rsidRPr="008071EA">
        <w:rPr>
          <w:rFonts w:ascii="Times New Roman" w:hAnsi="Times New Roman"/>
          <w:bCs/>
          <w:iCs/>
          <w:color w:val="000000"/>
          <w:sz w:val="24"/>
          <w:szCs w:val="24"/>
        </w:rPr>
        <w:t xml:space="preserve">Agamben, G. (2014). </w:t>
      </w:r>
      <w:r w:rsidRPr="005C76A5">
        <w:rPr>
          <w:rFonts w:ascii="Times New Roman" w:hAnsi="Times New Roman"/>
          <w:bCs/>
          <w:i/>
          <w:iCs/>
          <w:color w:val="000000"/>
          <w:sz w:val="24"/>
          <w:szCs w:val="24"/>
        </w:rPr>
        <w:t>Estado de excepción</w:t>
      </w:r>
      <w:r w:rsidRPr="008071EA">
        <w:rPr>
          <w:rFonts w:ascii="Times New Roman" w:hAnsi="Times New Roman"/>
          <w:bCs/>
          <w:iCs/>
          <w:color w:val="000000"/>
          <w:sz w:val="24"/>
          <w:szCs w:val="24"/>
        </w:rPr>
        <w:t>. Buenos Aires: Adriana Hidalgo Editora.</w:t>
      </w:r>
    </w:p>
    <w:p w14:paraId="6FC971C7" w14:textId="50B628C5" w:rsidR="00D05480" w:rsidRPr="00D05480" w:rsidRDefault="00D05480" w:rsidP="004917AA">
      <w:pPr>
        <w:spacing w:line="360" w:lineRule="auto"/>
        <w:jc w:val="both"/>
        <w:rPr>
          <w:rFonts w:ascii="Times New Roman" w:hAnsi="Times New Roman"/>
          <w:bCs/>
          <w:iCs/>
          <w:color w:val="000000"/>
          <w:sz w:val="24"/>
          <w:szCs w:val="24"/>
        </w:rPr>
      </w:pPr>
      <w:proofErr w:type="spellStart"/>
      <w:r>
        <w:rPr>
          <w:rFonts w:ascii="Times New Roman" w:hAnsi="Times New Roman"/>
          <w:bCs/>
          <w:iCs/>
          <w:color w:val="000000"/>
          <w:sz w:val="24"/>
          <w:szCs w:val="24"/>
        </w:rPr>
        <w:t>Bataille</w:t>
      </w:r>
      <w:proofErr w:type="spellEnd"/>
      <w:r>
        <w:rPr>
          <w:rFonts w:ascii="Times New Roman" w:hAnsi="Times New Roman"/>
          <w:bCs/>
          <w:iCs/>
          <w:color w:val="000000"/>
          <w:sz w:val="24"/>
          <w:szCs w:val="24"/>
        </w:rPr>
        <w:t xml:space="preserve">, G. (2015). </w:t>
      </w:r>
      <w:r>
        <w:rPr>
          <w:rFonts w:ascii="Times New Roman" w:hAnsi="Times New Roman"/>
          <w:bCs/>
          <w:i/>
          <w:color w:val="000000"/>
          <w:sz w:val="24"/>
          <w:szCs w:val="24"/>
        </w:rPr>
        <w:t>El erotismo</w:t>
      </w:r>
      <w:r>
        <w:rPr>
          <w:rFonts w:ascii="Times New Roman" w:hAnsi="Times New Roman"/>
          <w:bCs/>
          <w:iCs/>
          <w:color w:val="000000"/>
          <w:sz w:val="24"/>
          <w:szCs w:val="24"/>
        </w:rPr>
        <w:t>. Buenos Aires: Tusquets.</w:t>
      </w:r>
    </w:p>
    <w:p w14:paraId="07A10796" w14:textId="77777777" w:rsidR="004917AA" w:rsidRDefault="004917AA" w:rsidP="004917AA">
      <w:pPr>
        <w:spacing w:line="36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Foucault, M. (2015). </w:t>
      </w:r>
      <w:r w:rsidRPr="005C76A5">
        <w:rPr>
          <w:rFonts w:ascii="Times New Roman" w:hAnsi="Times New Roman"/>
          <w:bCs/>
          <w:i/>
          <w:iCs/>
          <w:color w:val="000000"/>
          <w:sz w:val="24"/>
          <w:szCs w:val="24"/>
        </w:rPr>
        <w:t>La historia de la sexualidad, Tomo I: La voluntad del saber</w:t>
      </w:r>
      <w:r>
        <w:rPr>
          <w:rFonts w:ascii="Times New Roman" w:hAnsi="Times New Roman"/>
          <w:bCs/>
          <w:iCs/>
          <w:color w:val="000000"/>
          <w:sz w:val="24"/>
          <w:szCs w:val="24"/>
        </w:rPr>
        <w:t>. Buenos Aires: Siglo XXI Editores.</w:t>
      </w:r>
    </w:p>
    <w:p w14:paraId="47ACCCF9" w14:textId="77777777" w:rsidR="004917AA" w:rsidRDefault="004917AA" w:rsidP="004917AA">
      <w:pPr>
        <w:spacing w:line="360" w:lineRule="auto"/>
        <w:jc w:val="both"/>
        <w:rPr>
          <w:rFonts w:ascii="Times New Roman" w:hAnsi="Times New Roman"/>
          <w:bCs/>
          <w:iCs/>
          <w:color w:val="000000"/>
          <w:sz w:val="24"/>
          <w:szCs w:val="24"/>
        </w:rPr>
      </w:pPr>
      <w:r w:rsidRPr="00734E07">
        <w:rPr>
          <w:rFonts w:ascii="Times New Roman" w:hAnsi="Times New Roman"/>
          <w:bCs/>
          <w:iCs/>
          <w:color w:val="000000"/>
          <w:sz w:val="24"/>
          <w:szCs w:val="24"/>
        </w:rPr>
        <w:t>Freud, S. (2007)</w:t>
      </w:r>
      <w:r>
        <w:rPr>
          <w:rFonts w:ascii="Times New Roman" w:hAnsi="Times New Roman"/>
          <w:bCs/>
          <w:iCs/>
          <w:color w:val="000000"/>
          <w:sz w:val="24"/>
          <w:szCs w:val="24"/>
        </w:rPr>
        <w:t>.</w:t>
      </w:r>
      <w:r w:rsidRPr="00734E07">
        <w:rPr>
          <w:rFonts w:ascii="Times New Roman" w:hAnsi="Times New Roman"/>
          <w:bCs/>
          <w:iCs/>
          <w:color w:val="000000"/>
          <w:sz w:val="24"/>
          <w:szCs w:val="24"/>
        </w:rPr>
        <w:t xml:space="preserve"> </w:t>
      </w:r>
      <w:r w:rsidRPr="005C76A5">
        <w:rPr>
          <w:rFonts w:ascii="Times New Roman" w:hAnsi="Times New Roman"/>
          <w:bCs/>
          <w:i/>
          <w:iCs/>
          <w:color w:val="000000"/>
          <w:sz w:val="24"/>
          <w:szCs w:val="24"/>
        </w:rPr>
        <w:t>Obras completas: Tótem y Tabú y otras obras (1913-1914)</w:t>
      </w:r>
      <w:r>
        <w:rPr>
          <w:rFonts w:ascii="Times New Roman" w:hAnsi="Times New Roman"/>
          <w:bCs/>
          <w:iCs/>
          <w:color w:val="000000"/>
          <w:sz w:val="24"/>
          <w:szCs w:val="24"/>
        </w:rPr>
        <w:t>.</w:t>
      </w:r>
      <w:r w:rsidRPr="00734E07">
        <w:rPr>
          <w:rFonts w:ascii="Times New Roman" w:hAnsi="Times New Roman"/>
          <w:bCs/>
          <w:iCs/>
          <w:color w:val="000000"/>
          <w:sz w:val="24"/>
          <w:szCs w:val="24"/>
        </w:rPr>
        <w:t xml:space="preserve"> Buenos Aires:</w:t>
      </w:r>
      <w:r>
        <w:rPr>
          <w:rFonts w:ascii="Times New Roman" w:hAnsi="Times New Roman"/>
          <w:bCs/>
          <w:iCs/>
          <w:color w:val="000000"/>
          <w:sz w:val="24"/>
          <w:szCs w:val="24"/>
        </w:rPr>
        <w:t xml:space="preserve"> </w:t>
      </w:r>
      <w:r w:rsidRPr="00734E07">
        <w:rPr>
          <w:rFonts w:ascii="Times New Roman" w:hAnsi="Times New Roman"/>
          <w:bCs/>
          <w:iCs/>
          <w:color w:val="000000"/>
          <w:sz w:val="24"/>
          <w:szCs w:val="24"/>
        </w:rPr>
        <w:t>Amorrortu.</w:t>
      </w:r>
    </w:p>
    <w:p w14:paraId="3A94D0FA" w14:textId="561205E5" w:rsidR="005C1021" w:rsidRPr="005C1021" w:rsidRDefault="004917AA" w:rsidP="005C1021">
      <w:pPr>
        <w:spacing w:line="360" w:lineRule="auto"/>
        <w:jc w:val="both"/>
        <w:rPr>
          <w:rFonts w:ascii="Times New Roman" w:hAnsi="Times New Roman"/>
          <w:bCs/>
          <w:iCs/>
          <w:color w:val="000000"/>
          <w:sz w:val="24"/>
          <w:szCs w:val="24"/>
        </w:rPr>
      </w:pPr>
      <w:proofErr w:type="spellStart"/>
      <w:r w:rsidRPr="005C1021">
        <w:rPr>
          <w:rFonts w:ascii="Times New Roman" w:hAnsi="Times New Roman"/>
          <w:bCs/>
          <w:iCs/>
          <w:color w:val="000000"/>
          <w:sz w:val="24"/>
          <w:szCs w:val="24"/>
        </w:rPr>
        <w:t>Raffin</w:t>
      </w:r>
      <w:proofErr w:type="spellEnd"/>
      <w:r w:rsidRPr="005C1021">
        <w:rPr>
          <w:rFonts w:ascii="Times New Roman" w:hAnsi="Times New Roman"/>
          <w:bCs/>
          <w:iCs/>
          <w:color w:val="000000"/>
          <w:sz w:val="24"/>
          <w:szCs w:val="24"/>
        </w:rPr>
        <w:t>, M. (2018). “</w:t>
      </w:r>
      <w:hyperlink r:id="rId9" w:tgtFrame="_blank" w:history="1">
        <w:r w:rsidRPr="005C1021">
          <w:rPr>
            <w:rFonts w:ascii="Times New Roman" w:hAnsi="Times New Roman"/>
            <w:bCs/>
            <w:iCs/>
            <w:color w:val="000000"/>
            <w:sz w:val="24"/>
            <w:szCs w:val="24"/>
          </w:rPr>
          <w:t>La imbricación vida-poder en el pensamiento de Michel Foucault y Giorgio Agamben</w:t>
        </w:r>
      </w:hyperlink>
      <w:r w:rsidRPr="005C1021">
        <w:rPr>
          <w:rFonts w:ascii="Times New Roman" w:hAnsi="Times New Roman"/>
          <w:bCs/>
          <w:iCs/>
          <w:color w:val="000000"/>
          <w:sz w:val="24"/>
          <w:szCs w:val="24"/>
        </w:rPr>
        <w:t>”. En Cuestiones de Filosofía, 22 (4), pp. 117-137.</w:t>
      </w:r>
    </w:p>
    <w:p w14:paraId="388542BF" w14:textId="654841E2" w:rsidR="00746B19" w:rsidRDefault="005C1021" w:rsidP="00C06BD1">
      <w:pPr>
        <w:spacing w:line="36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Schmitt, C. (2009). </w:t>
      </w:r>
      <w:r>
        <w:rPr>
          <w:rFonts w:ascii="Times New Roman" w:hAnsi="Times New Roman"/>
          <w:bCs/>
          <w:i/>
          <w:color w:val="000000"/>
          <w:sz w:val="24"/>
          <w:szCs w:val="24"/>
        </w:rPr>
        <w:t>Teología política</w:t>
      </w:r>
      <w:r>
        <w:rPr>
          <w:rFonts w:ascii="Times New Roman" w:hAnsi="Times New Roman"/>
          <w:bCs/>
          <w:iCs/>
          <w:color w:val="000000"/>
          <w:sz w:val="24"/>
          <w:szCs w:val="24"/>
        </w:rPr>
        <w:t>. Madrid: Editorial Trotta.</w:t>
      </w:r>
    </w:p>
    <w:p w14:paraId="117B5C41" w14:textId="373A933C" w:rsidR="005D05B3" w:rsidRPr="005D05B3" w:rsidRDefault="005D05B3" w:rsidP="005D05B3">
      <w:pPr>
        <w:pStyle w:val="Sinespaciado"/>
        <w:spacing w:line="360" w:lineRule="auto"/>
        <w:jc w:val="both"/>
        <w:rPr>
          <w:rFonts w:ascii="Times New Roman" w:hAnsi="Times New Roman"/>
          <w:sz w:val="24"/>
          <w:szCs w:val="24"/>
          <w:lang w:val="en-GB"/>
        </w:rPr>
      </w:pPr>
      <w:r w:rsidRPr="005D05B3">
        <w:rPr>
          <w:rFonts w:ascii="Times New Roman" w:hAnsi="Times New Roman"/>
          <w:sz w:val="24"/>
          <w:szCs w:val="24"/>
          <w:lang w:val="en-GB"/>
        </w:rPr>
        <w:t xml:space="preserve">Sutherland, E. (1947). </w:t>
      </w:r>
      <w:r w:rsidRPr="005D05B3">
        <w:rPr>
          <w:rFonts w:ascii="Times New Roman" w:hAnsi="Times New Roman"/>
          <w:i/>
          <w:sz w:val="24"/>
          <w:szCs w:val="24"/>
          <w:lang w:val="en-GB"/>
        </w:rPr>
        <w:t>Principles of criminology</w:t>
      </w:r>
      <w:r w:rsidRPr="005D05B3">
        <w:rPr>
          <w:rFonts w:ascii="Times New Roman" w:hAnsi="Times New Roman"/>
          <w:sz w:val="24"/>
          <w:szCs w:val="24"/>
          <w:lang w:val="en-GB"/>
        </w:rPr>
        <w:t>. Chicago: J.B. Lippincott Co.</w:t>
      </w:r>
    </w:p>
    <w:p w14:paraId="1E31B9F2" w14:textId="77777777" w:rsidR="00143EF6" w:rsidRPr="005D05B3" w:rsidRDefault="00143EF6" w:rsidP="00C06BD1">
      <w:pPr>
        <w:spacing w:line="360" w:lineRule="auto"/>
        <w:jc w:val="both"/>
        <w:rPr>
          <w:rFonts w:ascii="Times New Roman" w:hAnsi="Times New Roman"/>
          <w:bCs/>
          <w:iCs/>
          <w:color w:val="000000"/>
          <w:sz w:val="24"/>
          <w:szCs w:val="24"/>
          <w:lang w:val="en-GB"/>
        </w:rPr>
      </w:pPr>
    </w:p>
    <w:p w14:paraId="367DAB49" w14:textId="581E8BC5" w:rsidR="00E44359" w:rsidRPr="005D05B3" w:rsidRDefault="00E44359" w:rsidP="00C06BD1">
      <w:pPr>
        <w:spacing w:line="360" w:lineRule="auto"/>
        <w:jc w:val="both"/>
        <w:rPr>
          <w:rFonts w:ascii="Times New Roman" w:hAnsi="Times New Roman"/>
          <w:bCs/>
          <w:iCs/>
          <w:color w:val="000000"/>
          <w:sz w:val="24"/>
          <w:szCs w:val="24"/>
          <w:lang w:val="en-GB"/>
        </w:rPr>
      </w:pPr>
    </w:p>
    <w:sectPr w:rsidR="00E44359" w:rsidRPr="005D05B3" w:rsidSect="00144F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97A5F" w14:textId="77777777" w:rsidR="00AA1AFC" w:rsidRDefault="00AA1AFC" w:rsidP="009B67D3">
      <w:pPr>
        <w:spacing w:after="0" w:line="240" w:lineRule="auto"/>
      </w:pPr>
      <w:r>
        <w:separator/>
      </w:r>
    </w:p>
  </w:endnote>
  <w:endnote w:type="continuationSeparator" w:id="0">
    <w:p w14:paraId="5964FA6E" w14:textId="77777777" w:rsidR="00AA1AFC" w:rsidRDefault="00AA1AFC" w:rsidP="009B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5F5A" w14:textId="77777777" w:rsidR="00AA1AFC" w:rsidRDefault="00AA1AFC" w:rsidP="009B67D3">
      <w:pPr>
        <w:spacing w:after="0" w:line="240" w:lineRule="auto"/>
      </w:pPr>
      <w:r>
        <w:separator/>
      </w:r>
    </w:p>
  </w:footnote>
  <w:footnote w:type="continuationSeparator" w:id="0">
    <w:p w14:paraId="22FDC9EB" w14:textId="77777777" w:rsidR="00AA1AFC" w:rsidRDefault="00AA1AFC" w:rsidP="009B67D3">
      <w:pPr>
        <w:spacing w:after="0" w:line="240" w:lineRule="auto"/>
      </w:pPr>
      <w:r>
        <w:continuationSeparator/>
      </w:r>
    </w:p>
  </w:footnote>
  <w:footnote w:id="1">
    <w:p w14:paraId="68B98E3C" w14:textId="71E11395" w:rsidR="009B67D3" w:rsidRPr="009B67D3" w:rsidRDefault="009B67D3" w:rsidP="009B67D3">
      <w:pPr>
        <w:pStyle w:val="Textonotapie"/>
        <w:jc w:val="both"/>
        <w:rPr>
          <w:rFonts w:ascii="Times New Roman" w:hAnsi="Times New Roman" w:cs="Times New Roman"/>
        </w:rPr>
      </w:pPr>
      <w:r w:rsidRPr="009B67D3">
        <w:rPr>
          <w:rStyle w:val="Refdenotaalpie"/>
          <w:rFonts w:ascii="Times New Roman" w:hAnsi="Times New Roman" w:cs="Times New Roman"/>
        </w:rPr>
        <w:footnoteRef/>
      </w:r>
      <w:r w:rsidRPr="009B67D3">
        <w:rPr>
          <w:rFonts w:ascii="Times New Roman" w:hAnsi="Times New Roman" w:cs="Times New Roman"/>
        </w:rPr>
        <w:t xml:space="preserve"> En Argentina, los castigos perpetuos implican que el condenado pued</w:t>
      </w:r>
      <w:r w:rsidR="00D66590">
        <w:rPr>
          <w:rFonts w:ascii="Times New Roman" w:hAnsi="Times New Roman" w:cs="Times New Roman"/>
        </w:rPr>
        <w:t>e</w:t>
      </w:r>
      <w:r w:rsidRPr="009B67D3">
        <w:rPr>
          <w:rFonts w:ascii="Times New Roman" w:hAnsi="Times New Roman" w:cs="Times New Roman"/>
        </w:rPr>
        <w:t xml:space="preserve"> pedir la libertad condicional </w:t>
      </w:r>
      <w:r w:rsidR="004A2762">
        <w:rPr>
          <w:rFonts w:ascii="Times New Roman" w:hAnsi="Times New Roman" w:cs="Times New Roman"/>
        </w:rPr>
        <w:t>luego de</w:t>
      </w:r>
      <w:r w:rsidRPr="009B67D3">
        <w:rPr>
          <w:rFonts w:ascii="Times New Roman" w:hAnsi="Times New Roman" w:cs="Times New Roman"/>
        </w:rPr>
        <w:t xml:space="preserve"> haber cumplido los 35 años de prisión efectiva</w:t>
      </w:r>
      <w:r w:rsidR="004A2762">
        <w:rPr>
          <w:rFonts w:ascii="Times New Roman" w:hAnsi="Times New Roman" w:cs="Times New Roman"/>
        </w:rPr>
        <w:t>, y no los dos tercios de la pena como</w:t>
      </w:r>
      <w:r w:rsidR="001F0CBF">
        <w:rPr>
          <w:rFonts w:ascii="Times New Roman" w:hAnsi="Times New Roman" w:cs="Times New Roman"/>
        </w:rPr>
        <w:t xml:space="preserve"> ocurre</w:t>
      </w:r>
      <w:r w:rsidR="004A2762">
        <w:rPr>
          <w:rFonts w:ascii="Times New Roman" w:hAnsi="Times New Roman" w:cs="Times New Roman"/>
        </w:rPr>
        <w:t xml:space="preserve"> </w:t>
      </w:r>
      <w:r w:rsidR="0090630E">
        <w:rPr>
          <w:rFonts w:ascii="Times New Roman" w:hAnsi="Times New Roman" w:cs="Times New Roman"/>
        </w:rPr>
        <w:t>para el</w:t>
      </w:r>
      <w:r w:rsidR="004A2762">
        <w:rPr>
          <w:rFonts w:ascii="Times New Roman" w:hAnsi="Times New Roman" w:cs="Times New Roman"/>
        </w:rPr>
        <w:t xml:space="preserve"> resto de las condenas</w:t>
      </w:r>
      <w:r w:rsidR="0090630E">
        <w:rPr>
          <w:rFonts w:ascii="Times New Roman" w:hAnsi="Times New Roman" w:cs="Times New Roman"/>
        </w:rPr>
        <w:t xml:space="preserve"> no perpetuas. Entre los condenados por homicidio en el país, un </w:t>
      </w:r>
      <w:r w:rsidR="00850251">
        <w:rPr>
          <w:rFonts w:ascii="Times New Roman" w:hAnsi="Times New Roman" w:cs="Times New Roman"/>
        </w:rPr>
        <w:t>18.5% han sido castigados con condenas perpetuas</w:t>
      </w:r>
      <w:r w:rsidR="00620715">
        <w:rPr>
          <w:rFonts w:ascii="Times New Roman" w:hAnsi="Times New Roman" w:cs="Times New Roman"/>
        </w:rPr>
        <w:t xml:space="preserve"> (</w:t>
      </w:r>
      <w:r w:rsidR="00D859E6">
        <w:rPr>
          <w:rFonts w:ascii="Times New Roman" w:hAnsi="Times New Roman" w:cs="Times New Roman"/>
        </w:rPr>
        <w:t>Datos del</w:t>
      </w:r>
      <w:r w:rsidR="00620715">
        <w:rPr>
          <w:rFonts w:ascii="Times New Roman" w:hAnsi="Times New Roman" w:cs="Times New Roman"/>
        </w:rPr>
        <w:t xml:space="preserve"> Sistema Nacional de Estadística sobre Ejecución de la Pena – SNEEP).</w:t>
      </w:r>
    </w:p>
  </w:footnote>
  <w:footnote w:id="2">
    <w:p w14:paraId="4A5C0ABE" w14:textId="4698BB02" w:rsidR="009C362F" w:rsidRPr="00DE49ED" w:rsidRDefault="009C362F" w:rsidP="00DE49ED">
      <w:pPr>
        <w:pStyle w:val="Textonotapie"/>
        <w:jc w:val="both"/>
        <w:rPr>
          <w:rFonts w:ascii="Times New Roman" w:hAnsi="Times New Roman" w:cs="Times New Roman"/>
        </w:rPr>
      </w:pPr>
      <w:r w:rsidRPr="00DE49ED">
        <w:rPr>
          <w:rStyle w:val="Refdenotaalpie"/>
          <w:rFonts w:ascii="Times New Roman" w:hAnsi="Times New Roman" w:cs="Times New Roman"/>
        </w:rPr>
        <w:footnoteRef/>
      </w:r>
      <w:r w:rsidRPr="00DE49ED">
        <w:rPr>
          <w:rFonts w:ascii="Times New Roman" w:hAnsi="Times New Roman" w:cs="Times New Roman"/>
        </w:rPr>
        <w:t xml:space="preserve"> </w:t>
      </w:r>
      <w:r w:rsidR="00B61E67" w:rsidRPr="00DE49ED">
        <w:rPr>
          <w:rFonts w:ascii="Times New Roman" w:hAnsi="Times New Roman" w:cs="Times New Roman"/>
        </w:rPr>
        <w:t>Por ejemplo, e</w:t>
      </w:r>
      <w:r w:rsidRPr="00DE49ED">
        <w:rPr>
          <w:rFonts w:ascii="Times New Roman" w:hAnsi="Times New Roman" w:cs="Times New Roman"/>
        </w:rPr>
        <w:t>n la provincia de Buenos Aires</w:t>
      </w:r>
      <w:r w:rsidR="00B61E67" w:rsidRPr="00DE49ED">
        <w:rPr>
          <w:rFonts w:ascii="Times New Roman" w:hAnsi="Times New Roman" w:cs="Times New Roman"/>
        </w:rPr>
        <w:t>, un 2,65% de las muertes producidas intencionalmente en el año 2017 corresponden a casos de legítima defensa.</w:t>
      </w:r>
      <w:r w:rsidR="00E25EA7" w:rsidRPr="00DE49ED">
        <w:rPr>
          <w:rFonts w:ascii="Times New Roman" w:hAnsi="Times New Roman" w:cs="Times New Roman"/>
        </w:rPr>
        <w:t xml:space="preserve"> En la Ciudad de Buenos Aires, este porcentaje es del 5%.</w:t>
      </w:r>
    </w:p>
    <w:p w14:paraId="6C4B267F" w14:textId="7C19FE6C" w:rsidR="00DE49ED" w:rsidRPr="00DE49ED" w:rsidRDefault="00DE49ED" w:rsidP="00DE49ED">
      <w:pPr>
        <w:pStyle w:val="Textonotapie"/>
        <w:jc w:val="both"/>
        <w:rPr>
          <w:rFonts w:ascii="Times New Roman" w:hAnsi="Times New Roman" w:cs="Times New Roman"/>
        </w:rPr>
      </w:pPr>
      <w:r w:rsidRPr="00DE49ED">
        <w:rPr>
          <w:rFonts w:ascii="Times New Roman" w:hAnsi="Times New Roman" w:cs="Times New Roman"/>
        </w:rPr>
        <w:t xml:space="preserve">Esto se verifica, también, en las entrevistas llevadas a cabo a jueces y defensores </w:t>
      </w:r>
      <w:r>
        <w:rPr>
          <w:rFonts w:ascii="Times New Roman" w:hAnsi="Times New Roman" w:cs="Times New Roman"/>
        </w:rPr>
        <w:t xml:space="preserve">públicos </w:t>
      </w:r>
      <w:r w:rsidRPr="00DE49ED">
        <w:rPr>
          <w:rFonts w:ascii="Times New Roman" w:hAnsi="Times New Roman" w:cs="Times New Roman"/>
        </w:rPr>
        <w:t xml:space="preserve">de la Ciudad </w:t>
      </w:r>
      <w:r w:rsidR="00611E05">
        <w:rPr>
          <w:rFonts w:ascii="Times New Roman" w:hAnsi="Times New Roman" w:cs="Times New Roman"/>
        </w:rPr>
        <w:t xml:space="preserve">Autónoma </w:t>
      </w:r>
      <w:r w:rsidRPr="00DE49ED">
        <w:rPr>
          <w:rFonts w:ascii="Times New Roman" w:hAnsi="Times New Roman" w:cs="Times New Roman"/>
        </w:rPr>
        <w:t xml:space="preserve">de Buenos y del Gran Buenos Aires, donde ellos mismos </w:t>
      </w:r>
      <w:r>
        <w:rPr>
          <w:rFonts w:ascii="Times New Roman" w:hAnsi="Times New Roman" w:cs="Times New Roman"/>
        </w:rPr>
        <w:t>remarcan que los casos de legítima defensa son poco frecuentes.</w:t>
      </w:r>
      <w:r w:rsidRPr="00DE49ED">
        <w:rPr>
          <w:rFonts w:ascii="Times New Roman" w:hAnsi="Times New Roman" w:cs="Times New Roman"/>
        </w:rPr>
        <w:t xml:space="preserve"> </w:t>
      </w:r>
    </w:p>
  </w:footnote>
  <w:footnote w:id="3">
    <w:p w14:paraId="1EA396E7" w14:textId="77777777" w:rsidR="001654A4" w:rsidRDefault="001654A4" w:rsidP="001654A4">
      <w:pPr>
        <w:pStyle w:val="Textonotapie"/>
        <w:rPr>
          <w:rFonts w:ascii="Times New Roman" w:hAnsi="Times New Roman"/>
          <w:sz w:val="18"/>
          <w:szCs w:val="18"/>
        </w:rPr>
      </w:pPr>
      <w:r>
        <w:rPr>
          <w:rStyle w:val="Refdenotaalpie"/>
          <w:rFonts w:ascii="Times New Roman" w:hAnsi="Times New Roman"/>
          <w:sz w:val="18"/>
          <w:szCs w:val="18"/>
        </w:rPr>
        <w:footnoteRef/>
      </w:r>
      <w:r>
        <w:rPr>
          <w:rFonts w:ascii="Times New Roman" w:hAnsi="Times New Roman"/>
          <w:sz w:val="18"/>
          <w:szCs w:val="18"/>
        </w:rPr>
        <w:t xml:space="preserve"> Ver Agamben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24C3"/>
    <w:multiLevelType w:val="multilevel"/>
    <w:tmpl w:val="26D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39"/>
    <w:rsid w:val="00001613"/>
    <w:rsid w:val="000039E2"/>
    <w:rsid w:val="00016969"/>
    <w:rsid w:val="00030857"/>
    <w:rsid w:val="0003246B"/>
    <w:rsid w:val="00036593"/>
    <w:rsid w:val="00044DD7"/>
    <w:rsid w:val="0005057A"/>
    <w:rsid w:val="0005602A"/>
    <w:rsid w:val="00056CFB"/>
    <w:rsid w:val="00061418"/>
    <w:rsid w:val="000672E2"/>
    <w:rsid w:val="00070DA6"/>
    <w:rsid w:val="00071012"/>
    <w:rsid w:val="00073A4C"/>
    <w:rsid w:val="00075762"/>
    <w:rsid w:val="00083582"/>
    <w:rsid w:val="00090634"/>
    <w:rsid w:val="00090ABB"/>
    <w:rsid w:val="00094EC0"/>
    <w:rsid w:val="000A1A8C"/>
    <w:rsid w:val="000A6139"/>
    <w:rsid w:val="000B44EE"/>
    <w:rsid w:val="000B4726"/>
    <w:rsid w:val="000D21D0"/>
    <w:rsid w:val="000D30A3"/>
    <w:rsid w:val="000D5E2D"/>
    <w:rsid w:val="000D5F19"/>
    <w:rsid w:val="000D7512"/>
    <w:rsid w:val="000D7E8C"/>
    <w:rsid w:val="000E4D52"/>
    <w:rsid w:val="000F4E2B"/>
    <w:rsid w:val="000F70DC"/>
    <w:rsid w:val="00110F01"/>
    <w:rsid w:val="00117EFC"/>
    <w:rsid w:val="001240B6"/>
    <w:rsid w:val="001272B4"/>
    <w:rsid w:val="00142788"/>
    <w:rsid w:val="00143EF6"/>
    <w:rsid w:val="00144F56"/>
    <w:rsid w:val="00147884"/>
    <w:rsid w:val="00151AF3"/>
    <w:rsid w:val="00151BB4"/>
    <w:rsid w:val="001566C9"/>
    <w:rsid w:val="001611B9"/>
    <w:rsid w:val="00161EEA"/>
    <w:rsid w:val="00162237"/>
    <w:rsid w:val="00164C42"/>
    <w:rsid w:val="00165280"/>
    <w:rsid w:val="001654A4"/>
    <w:rsid w:val="00165EDD"/>
    <w:rsid w:val="00171762"/>
    <w:rsid w:val="00176818"/>
    <w:rsid w:val="00181114"/>
    <w:rsid w:val="00186CE2"/>
    <w:rsid w:val="00191FBB"/>
    <w:rsid w:val="001A31AC"/>
    <w:rsid w:val="001A3211"/>
    <w:rsid w:val="001A503B"/>
    <w:rsid w:val="001A6755"/>
    <w:rsid w:val="001B14D4"/>
    <w:rsid w:val="001C20BE"/>
    <w:rsid w:val="001C391A"/>
    <w:rsid w:val="001E004D"/>
    <w:rsid w:val="001E0912"/>
    <w:rsid w:val="001F0CBF"/>
    <w:rsid w:val="001F7330"/>
    <w:rsid w:val="00205E34"/>
    <w:rsid w:val="00216A17"/>
    <w:rsid w:val="00217787"/>
    <w:rsid w:val="00220A18"/>
    <w:rsid w:val="002213CB"/>
    <w:rsid w:val="00224F77"/>
    <w:rsid w:val="00240EE2"/>
    <w:rsid w:val="002442D7"/>
    <w:rsid w:val="00254E60"/>
    <w:rsid w:val="00256332"/>
    <w:rsid w:val="0026111A"/>
    <w:rsid w:val="00264C4B"/>
    <w:rsid w:val="002727C0"/>
    <w:rsid w:val="00275DA2"/>
    <w:rsid w:val="00277F9E"/>
    <w:rsid w:val="00284479"/>
    <w:rsid w:val="002946D5"/>
    <w:rsid w:val="0029525B"/>
    <w:rsid w:val="002A0A02"/>
    <w:rsid w:val="002A2908"/>
    <w:rsid w:val="002B044B"/>
    <w:rsid w:val="002B1B63"/>
    <w:rsid w:val="002B5C82"/>
    <w:rsid w:val="002D256C"/>
    <w:rsid w:val="002E29D3"/>
    <w:rsid w:val="002E6822"/>
    <w:rsid w:val="002F5206"/>
    <w:rsid w:val="002F6489"/>
    <w:rsid w:val="002F7D88"/>
    <w:rsid w:val="00300B65"/>
    <w:rsid w:val="003023E2"/>
    <w:rsid w:val="0031493B"/>
    <w:rsid w:val="0031535A"/>
    <w:rsid w:val="00320F30"/>
    <w:rsid w:val="00321800"/>
    <w:rsid w:val="00333F1A"/>
    <w:rsid w:val="0035744C"/>
    <w:rsid w:val="00357C8D"/>
    <w:rsid w:val="003606CC"/>
    <w:rsid w:val="00360A22"/>
    <w:rsid w:val="003646C3"/>
    <w:rsid w:val="003759A7"/>
    <w:rsid w:val="00387CAE"/>
    <w:rsid w:val="00391FCA"/>
    <w:rsid w:val="00393BE1"/>
    <w:rsid w:val="00396349"/>
    <w:rsid w:val="003A1048"/>
    <w:rsid w:val="003A10FB"/>
    <w:rsid w:val="003A150C"/>
    <w:rsid w:val="003A529F"/>
    <w:rsid w:val="003A5A05"/>
    <w:rsid w:val="003A7E8E"/>
    <w:rsid w:val="003C0CE8"/>
    <w:rsid w:val="003C228F"/>
    <w:rsid w:val="003C751B"/>
    <w:rsid w:val="003D3619"/>
    <w:rsid w:val="003E3E67"/>
    <w:rsid w:val="00401167"/>
    <w:rsid w:val="00406867"/>
    <w:rsid w:val="00412616"/>
    <w:rsid w:val="00414424"/>
    <w:rsid w:val="00424144"/>
    <w:rsid w:val="004258B5"/>
    <w:rsid w:val="004318FE"/>
    <w:rsid w:val="00440A96"/>
    <w:rsid w:val="00447DF1"/>
    <w:rsid w:val="00453392"/>
    <w:rsid w:val="0045417C"/>
    <w:rsid w:val="00464778"/>
    <w:rsid w:val="00465EBB"/>
    <w:rsid w:val="00466C2A"/>
    <w:rsid w:val="00466CC8"/>
    <w:rsid w:val="00471B06"/>
    <w:rsid w:val="00471B4B"/>
    <w:rsid w:val="00473A43"/>
    <w:rsid w:val="00475713"/>
    <w:rsid w:val="004848CB"/>
    <w:rsid w:val="004917AA"/>
    <w:rsid w:val="00495397"/>
    <w:rsid w:val="00497B82"/>
    <w:rsid w:val="004A0B01"/>
    <w:rsid w:val="004A2762"/>
    <w:rsid w:val="004A2A97"/>
    <w:rsid w:val="004B16FA"/>
    <w:rsid w:val="004B4D3D"/>
    <w:rsid w:val="004B5705"/>
    <w:rsid w:val="004B7BFF"/>
    <w:rsid w:val="004B7E43"/>
    <w:rsid w:val="004C31A5"/>
    <w:rsid w:val="004D0C17"/>
    <w:rsid w:val="004D1BB9"/>
    <w:rsid w:val="004D3306"/>
    <w:rsid w:val="004E3A1A"/>
    <w:rsid w:val="004E66C6"/>
    <w:rsid w:val="00503C85"/>
    <w:rsid w:val="00505DD7"/>
    <w:rsid w:val="005108DE"/>
    <w:rsid w:val="00514DB6"/>
    <w:rsid w:val="00514FA6"/>
    <w:rsid w:val="00515A44"/>
    <w:rsid w:val="005207BC"/>
    <w:rsid w:val="00525592"/>
    <w:rsid w:val="00525D1F"/>
    <w:rsid w:val="00527CDA"/>
    <w:rsid w:val="005329CA"/>
    <w:rsid w:val="0053481E"/>
    <w:rsid w:val="00540D1F"/>
    <w:rsid w:val="00543C2D"/>
    <w:rsid w:val="0055385F"/>
    <w:rsid w:val="00554D20"/>
    <w:rsid w:val="005608CB"/>
    <w:rsid w:val="00571915"/>
    <w:rsid w:val="00575014"/>
    <w:rsid w:val="0058069C"/>
    <w:rsid w:val="005852E1"/>
    <w:rsid w:val="00586C6C"/>
    <w:rsid w:val="005B6C74"/>
    <w:rsid w:val="005C1021"/>
    <w:rsid w:val="005C1873"/>
    <w:rsid w:val="005C3631"/>
    <w:rsid w:val="005C5A4A"/>
    <w:rsid w:val="005D05B3"/>
    <w:rsid w:val="005E1694"/>
    <w:rsid w:val="005E7749"/>
    <w:rsid w:val="005F6FFD"/>
    <w:rsid w:val="00611E05"/>
    <w:rsid w:val="00617015"/>
    <w:rsid w:val="00620715"/>
    <w:rsid w:val="00621874"/>
    <w:rsid w:val="00641B7F"/>
    <w:rsid w:val="006479A2"/>
    <w:rsid w:val="00652E7D"/>
    <w:rsid w:val="00655A1F"/>
    <w:rsid w:val="00663D72"/>
    <w:rsid w:val="00667F96"/>
    <w:rsid w:val="00682B3A"/>
    <w:rsid w:val="006870C9"/>
    <w:rsid w:val="00693565"/>
    <w:rsid w:val="006B4FE5"/>
    <w:rsid w:val="006C30B7"/>
    <w:rsid w:val="006D1776"/>
    <w:rsid w:val="006E4EF8"/>
    <w:rsid w:val="006E5137"/>
    <w:rsid w:val="006E601E"/>
    <w:rsid w:val="006F146B"/>
    <w:rsid w:val="006F2CF8"/>
    <w:rsid w:val="007059D5"/>
    <w:rsid w:val="007216D9"/>
    <w:rsid w:val="007361D7"/>
    <w:rsid w:val="00737787"/>
    <w:rsid w:val="00742C03"/>
    <w:rsid w:val="00746B19"/>
    <w:rsid w:val="00756B65"/>
    <w:rsid w:val="0076469C"/>
    <w:rsid w:val="00765A46"/>
    <w:rsid w:val="007704FD"/>
    <w:rsid w:val="007713C7"/>
    <w:rsid w:val="00771CF0"/>
    <w:rsid w:val="00773DE0"/>
    <w:rsid w:val="007842F8"/>
    <w:rsid w:val="007A2791"/>
    <w:rsid w:val="007A7EC9"/>
    <w:rsid w:val="007B26BB"/>
    <w:rsid w:val="007D2283"/>
    <w:rsid w:val="007E3347"/>
    <w:rsid w:val="007E5BA4"/>
    <w:rsid w:val="007F051B"/>
    <w:rsid w:val="007F5B5F"/>
    <w:rsid w:val="00803A41"/>
    <w:rsid w:val="00812127"/>
    <w:rsid w:val="00813346"/>
    <w:rsid w:val="008202CF"/>
    <w:rsid w:val="00826992"/>
    <w:rsid w:val="008314B1"/>
    <w:rsid w:val="008343B6"/>
    <w:rsid w:val="00835711"/>
    <w:rsid w:val="00843014"/>
    <w:rsid w:val="00850251"/>
    <w:rsid w:val="00861034"/>
    <w:rsid w:val="00874A05"/>
    <w:rsid w:val="00876967"/>
    <w:rsid w:val="00876CD6"/>
    <w:rsid w:val="00885512"/>
    <w:rsid w:val="008A1985"/>
    <w:rsid w:val="008B166A"/>
    <w:rsid w:val="008C406B"/>
    <w:rsid w:val="008C6749"/>
    <w:rsid w:val="008C6BDB"/>
    <w:rsid w:val="008D211F"/>
    <w:rsid w:val="008E22B6"/>
    <w:rsid w:val="008E7B3D"/>
    <w:rsid w:val="00901EFE"/>
    <w:rsid w:val="009058AC"/>
    <w:rsid w:val="00905D9C"/>
    <w:rsid w:val="0090630E"/>
    <w:rsid w:val="0090657C"/>
    <w:rsid w:val="00906677"/>
    <w:rsid w:val="00933FD4"/>
    <w:rsid w:val="00944934"/>
    <w:rsid w:val="00945F1D"/>
    <w:rsid w:val="00963253"/>
    <w:rsid w:val="009702CC"/>
    <w:rsid w:val="0097199B"/>
    <w:rsid w:val="00981818"/>
    <w:rsid w:val="00992460"/>
    <w:rsid w:val="009959D4"/>
    <w:rsid w:val="009A73CF"/>
    <w:rsid w:val="009B0D7D"/>
    <w:rsid w:val="009B65F3"/>
    <w:rsid w:val="009B67D3"/>
    <w:rsid w:val="009C362F"/>
    <w:rsid w:val="009D19AB"/>
    <w:rsid w:val="009E42FF"/>
    <w:rsid w:val="009F5706"/>
    <w:rsid w:val="009F63B5"/>
    <w:rsid w:val="00A023E8"/>
    <w:rsid w:val="00A02FC3"/>
    <w:rsid w:val="00A1447F"/>
    <w:rsid w:val="00A15B48"/>
    <w:rsid w:val="00A250EF"/>
    <w:rsid w:val="00A2619E"/>
    <w:rsid w:val="00A35F73"/>
    <w:rsid w:val="00A43953"/>
    <w:rsid w:val="00A5371F"/>
    <w:rsid w:val="00A54C70"/>
    <w:rsid w:val="00A56FBE"/>
    <w:rsid w:val="00A74E06"/>
    <w:rsid w:val="00A845E3"/>
    <w:rsid w:val="00A85854"/>
    <w:rsid w:val="00A8613B"/>
    <w:rsid w:val="00A9129B"/>
    <w:rsid w:val="00AA0268"/>
    <w:rsid w:val="00AA1AFC"/>
    <w:rsid w:val="00AB5186"/>
    <w:rsid w:val="00AC349F"/>
    <w:rsid w:val="00AD02B8"/>
    <w:rsid w:val="00AD3EAA"/>
    <w:rsid w:val="00AD720E"/>
    <w:rsid w:val="00AD7A22"/>
    <w:rsid w:val="00AE669B"/>
    <w:rsid w:val="00AE7D53"/>
    <w:rsid w:val="00AF0E85"/>
    <w:rsid w:val="00B03F16"/>
    <w:rsid w:val="00B07553"/>
    <w:rsid w:val="00B137AF"/>
    <w:rsid w:val="00B14600"/>
    <w:rsid w:val="00B17EB1"/>
    <w:rsid w:val="00B22FB9"/>
    <w:rsid w:val="00B23587"/>
    <w:rsid w:val="00B30805"/>
    <w:rsid w:val="00B33939"/>
    <w:rsid w:val="00B33BC0"/>
    <w:rsid w:val="00B34815"/>
    <w:rsid w:val="00B431AC"/>
    <w:rsid w:val="00B45581"/>
    <w:rsid w:val="00B52F75"/>
    <w:rsid w:val="00B5602B"/>
    <w:rsid w:val="00B61E67"/>
    <w:rsid w:val="00B646E9"/>
    <w:rsid w:val="00B66268"/>
    <w:rsid w:val="00B673E4"/>
    <w:rsid w:val="00B7435C"/>
    <w:rsid w:val="00B86476"/>
    <w:rsid w:val="00B866A3"/>
    <w:rsid w:val="00B91F55"/>
    <w:rsid w:val="00B93311"/>
    <w:rsid w:val="00B941D7"/>
    <w:rsid w:val="00B97860"/>
    <w:rsid w:val="00BA4D54"/>
    <w:rsid w:val="00BB4816"/>
    <w:rsid w:val="00BB63F9"/>
    <w:rsid w:val="00BE6592"/>
    <w:rsid w:val="00C0698D"/>
    <w:rsid w:val="00C06BD1"/>
    <w:rsid w:val="00C10656"/>
    <w:rsid w:val="00C22F9E"/>
    <w:rsid w:val="00C25163"/>
    <w:rsid w:val="00C25705"/>
    <w:rsid w:val="00C30E17"/>
    <w:rsid w:val="00C522AE"/>
    <w:rsid w:val="00C55247"/>
    <w:rsid w:val="00C6242B"/>
    <w:rsid w:val="00C73829"/>
    <w:rsid w:val="00C8289C"/>
    <w:rsid w:val="00C82CE5"/>
    <w:rsid w:val="00C84454"/>
    <w:rsid w:val="00CA0005"/>
    <w:rsid w:val="00CA493B"/>
    <w:rsid w:val="00CA5EE9"/>
    <w:rsid w:val="00CB0D4B"/>
    <w:rsid w:val="00CB5CE8"/>
    <w:rsid w:val="00CD23C5"/>
    <w:rsid w:val="00CD4A93"/>
    <w:rsid w:val="00CE1AFD"/>
    <w:rsid w:val="00CE2201"/>
    <w:rsid w:val="00CE62DE"/>
    <w:rsid w:val="00CE7852"/>
    <w:rsid w:val="00CF1689"/>
    <w:rsid w:val="00CF3E01"/>
    <w:rsid w:val="00D031F2"/>
    <w:rsid w:val="00D05480"/>
    <w:rsid w:val="00D07EF8"/>
    <w:rsid w:val="00D13D79"/>
    <w:rsid w:val="00D1663F"/>
    <w:rsid w:val="00D36D79"/>
    <w:rsid w:val="00D42D71"/>
    <w:rsid w:val="00D442ED"/>
    <w:rsid w:val="00D465A5"/>
    <w:rsid w:val="00D5150F"/>
    <w:rsid w:val="00D525B1"/>
    <w:rsid w:val="00D63C89"/>
    <w:rsid w:val="00D66590"/>
    <w:rsid w:val="00D73D39"/>
    <w:rsid w:val="00D7673E"/>
    <w:rsid w:val="00D841E9"/>
    <w:rsid w:val="00D859E6"/>
    <w:rsid w:val="00D86BDE"/>
    <w:rsid w:val="00D90708"/>
    <w:rsid w:val="00DA296E"/>
    <w:rsid w:val="00DA489E"/>
    <w:rsid w:val="00DA48A0"/>
    <w:rsid w:val="00DA58CA"/>
    <w:rsid w:val="00DA7414"/>
    <w:rsid w:val="00DC37BA"/>
    <w:rsid w:val="00DD0258"/>
    <w:rsid w:val="00DD0581"/>
    <w:rsid w:val="00DD22B4"/>
    <w:rsid w:val="00DD6171"/>
    <w:rsid w:val="00DD627D"/>
    <w:rsid w:val="00DE2A95"/>
    <w:rsid w:val="00DE49ED"/>
    <w:rsid w:val="00DF11C3"/>
    <w:rsid w:val="00DF524F"/>
    <w:rsid w:val="00DF76F2"/>
    <w:rsid w:val="00E0405E"/>
    <w:rsid w:val="00E04AEA"/>
    <w:rsid w:val="00E06BA2"/>
    <w:rsid w:val="00E1335D"/>
    <w:rsid w:val="00E21CA4"/>
    <w:rsid w:val="00E25EA7"/>
    <w:rsid w:val="00E322F0"/>
    <w:rsid w:val="00E323B1"/>
    <w:rsid w:val="00E35E88"/>
    <w:rsid w:val="00E35F0A"/>
    <w:rsid w:val="00E36754"/>
    <w:rsid w:val="00E44359"/>
    <w:rsid w:val="00E54B54"/>
    <w:rsid w:val="00E55326"/>
    <w:rsid w:val="00E642DF"/>
    <w:rsid w:val="00E85529"/>
    <w:rsid w:val="00EA3A2B"/>
    <w:rsid w:val="00EC0E39"/>
    <w:rsid w:val="00ED1DDA"/>
    <w:rsid w:val="00F026FB"/>
    <w:rsid w:val="00F049DB"/>
    <w:rsid w:val="00F10726"/>
    <w:rsid w:val="00F137A9"/>
    <w:rsid w:val="00F15DC7"/>
    <w:rsid w:val="00F232B0"/>
    <w:rsid w:val="00F3093F"/>
    <w:rsid w:val="00F365E7"/>
    <w:rsid w:val="00F408CB"/>
    <w:rsid w:val="00F52C4E"/>
    <w:rsid w:val="00F54236"/>
    <w:rsid w:val="00F55ECD"/>
    <w:rsid w:val="00F64363"/>
    <w:rsid w:val="00F649A8"/>
    <w:rsid w:val="00F66000"/>
    <w:rsid w:val="00F7785E"/>
    <w:rsid w:val="00F77F84"/>
    <w:rsid w:val="00F9006C"/>
    <w:rsid w:val="00F915AA"/>
    <w:rsid w:val="00F93B49"/>
    <w:rsid w:val="00FA0854"/>
    <w:rsid w:val="00FA3701"/>
    <w:rsid w:val="00FA7B31"/>
    <w:rsid w:val="00FB1760"/>
    <w:rsid w:val="00FB636A"/>
    <w:rsid w:val="00FC1574"/>
    <w:rsid w:val="00FC2BD6"/>
    <w:rsid w:val="00FC2DE2"/>
    <w:rsid w:val="00FD4BEB"/>
    <w:rsid w:val="00FD5183"/>
    <w:rsid w:val="00FE01FE"/>
    <w:rsid w:val="00FE3EAA"/>
    <w:rsid w:val="00FE7D68"/>
    <w:rsid w:val="00FF073B"/>
    <w:rsid w:val="00FF55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1CDB"/>
  <w15:chartTrackingRefBased/>
  <w15:docId w15:val="{EBE014DF-D559-4306-8998-DA6026BE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917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393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33939"/>
    <w:rPr>
      <w:b/>
      <w:bCs/>
    </w:rPr>
  </w:style>
  <w:style w:type="character" w:styleId="Hipervnculo">
    <w:name w:val="Hyperlink"/>
    <w:basedOn w:val="Fuentedeprrafopredeter"/>
    <w:uiPriority w:val="99"/>
    <w:unhideWhenUsed/>
    <w:rsid w:val="00B33939"/>
    <w:rPr>
      <w:color w:val="0563C1" w:themeColor="hyperlink"/>
      <w:u w:val="single"/>
    </w:rPr>
  </w:style>
  <w:style w:type="character" w:styleId="Mencinsinresolver">
    <w:name w:val="Unresolved Mention"/>
    <w:basedOn w:val="Fuentedeprrafopredeter"/>
    <w:uiPriority w:val="99"/>
    <w:semiHidden/>
    <w:unhideWhenUsed/>
    <w:rsid w:val="00B33939"/>
    <w:rPr>
      <w:color w:val="605E5C"/>
      <w:shd w:val="clear" w:color="auto" w:fill="E1DFDD"/>
    </w:rPr>
  </w:style>
  <w:style w:type="paragraph" w:styleId="Textonotapie">
    <w:name w:val="footnote text"/>
    <w:basedOn w:val="Normal"/>
    <w:link w:val="TextonotapieCar"/>
    <w:uiPriority w:val="99"/>
    <w:semiHidden/>
    <w:unhideWhenUsed/>
    <w:rsid w:val="009B6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67D3"/>
    <w:rPr>
      <w:sz w:val="20"/>
      <w:szCs w:val="20"/>
    </w:rPr>
  </w:style>
  <w:style w:type="character" w:styleId="Refdenotaalpie">
    <w:name w:val="footnote reference"/>
    <w:basedOn w:val="Fuentedeprrafopredeter"/>
    <w:uiPriority w:val="99"/>
    <w:semiHidden/>
    <w:unhideWhenUsed/>
    <w:rsid w:val="009B67D3"/>
    <w:rPr>
      <w:vertAlign w:val="superscript"/>
    </w:rPr>
  </w:style>
  <w:style w:type="character" w:customStyle="1" w:styleId="Ttulo1Car">
    <w:name w:val="Título 1 Car"/>
    <w:basedOn w:val="Fuentedeprrafopredeter"/>
    <w:link w:val="Ttulo1"/>
    <w:uiPriority w:val="9"/>
    <w:rsid w:val="004917AA"/>
    <w:rPr>
      <w:rFonts w:ascii="Times New Roman" w:eastAsia="Times New Roman" w:hAnsi="Times New Roman" w:cs="Times New Roman"/>
      <w:b/>
      <w:bCs/>
      <w:kern w:val="36"/>
      <w:sz w:val="48"/>
      <w:szCs w:val="48"/>
      <w:lang w:val="en-GB" w:eastAsia="en-GB"/>
    </w:rPr>
  </w:style>
  <w:style w:type="paragraph" w:styleId="Sinespaciado">
    <w:name w:val="No Spacing"/>
    <w:uiPriority w:val="1"/>
    <w:qFormat/>
    <w:rsid w:val="005D05B3"/>
    <w:pPr>
      <w:spacing w:after="0" w:line="240" w:lineRule="auto"/>
    </w:pPr>
    <w:rPr>
      <w:rFonts w:ascii="Calibri" w:eastAsia="SimSun" w:hAnsi="Calibri" w:cs="Times New Roman"/>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78149">
      <w:bodyDiv w:val="1"/>
      <w:marLeft w:val="0"/>
      <w:marRight w:val="0"/>
      <w:marTop w:val="0"/>
      <w:marBottom w:val="0"/>
      <w:divBdr>
        <w:top w:val="none" w:sz="0" w:space="0" w:color="auto"/>
        <w:left w:val="none" w:sz="0" w:space="0" w:color="auto"/>
        <w:bottom w:val="none" w:sz="0" w:space="0" w:color="auto"/>
        <w:right w:val="none" w:sz="0" w:space="0" w:color="auto"/>
      </w:divBdr>
    </w:div>
    <w:div w:id="1062363524">
      <w:bodyDiv w:val="1"/>
      <w:marLeft w:val="0"/>
      <w:marRight w:val="0"/>
      <w:marTop w:val="0"/>
      <w:marBottom w:val="0"/>
      <w:divBdr>
        <w:top w:val="none" w:sz="0" w:space="0" w:color="auto"/>
        <w:left w:val="none" w:sz="0" w:space="0" w:color="auto"/>
        <w:bottom w:val="none" w:sz="0" w:space="0" w:color="auto"/>
        <w:right w:val="none" w:sz="0" w:space="0" w:color="auto"/>
      </w:divBdr>
    </w:div>
    <w:div w:id="2076465760">
      <w:bodyDiv w:val="1"/>
      <w:marLeft w:val="0"/>
      <w:marRight w:val="0"/>
      <w:marTop w:val="0"/>
      <w:marBottom w:val="0"/>
      <w:divBdr>
        <w:top w:val="none" w:sz="0" w:space="0" w:color="auto"/>
        <w:left w:val="none" w:sz="0" w:space="0" w:color="auto"/>
        <w:bottom w:val="none" w:sz="0" w:space="0" w:color="auto"/>
        <w:right w:val="none" w:sz="0" w:space="0" w:color="auto"/>
      </w:divBdr>
    </w:div>
    <w:div w:id="21183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sallemar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ilpapers.org/go.pl?id=DEDLIV&amp;proxyId=&amp;u=https%3A%2F%2Fphilpapers.org%2Farchive%2FDEDLI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20C0-E0CD-4BFE-827D-CFC586D8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9</Pages>
  <Words>3061</Words>
  <Characters>16840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Lassalle</dc:creator>
  <cp:keywords/>
  <dc:description/>
  <cp:lastModifiedBy>Martina Lassalle</cp:lastModifiedBy>
  <cp:revision>433</cp:revision>
  <dcterms:created xsi:type="dcterms:W3CDTF">2019-08-13T14:21:00Z</dcterms:created>
  <dcterms:modified xsi:type="dcterms:W3CDTF">2019-08-16T17:33:00Z</dcterms:modified>
</cp:coreProperties>
</file>