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6A27" w:rsidRPr="00DF54B0" w:rsidRDefault="006E6A27" w:rsidP="00DF54B0">
      <w:pPr>
        <w:spacing w:after="0" w:line="360" w:lineRule="auto"/>
        <w:jc w:val="center"/>
        <w:rPr>
          <w:rFonts w:ascii="Times New Roman" w:hAnsi="Times New Roman" w:cs="Times New Roman"/>
          <w:sz w:val="24"/>
          <w:szCs w:val="24"/>
        </w:rPr>
      </w:pPr>
      <w:r w:rsidRPr="00DF54B0">
        <w:rPr>
          <w:rFonts w:ascii="Times New Roman" w:hAnsi="Times New Roman" w:cs="Times New Roman"/>
          <w:sz w:val="24"/>
          <w:szCs w:val="24"/>
        </w:rPr>
        <w:t>IX Jornadas de Jóvenes Investigadores</w:t>
      </w:r>
    </w:p>
    <w:p w:rsidR="006E6A27" w:rsidRPr="00DF54B0" w:rsidRDefault="006E6A27" w:rsidP="00DF54B0">
      <w:pPr>
        <w:spacing w:after="0" w:line="360" w:lineRule="auto"/>
        <w:jc w:val="center"/>
        <w:rPr>
          <w:rFonts w:ascii="Times New Roman" w:hAnsi="Times New Roman" w:cs="Times New Roman"/>
          <w:sz w:val="24"/>
          <w:szCs w:val="24"/>
        </w:rPr>
      </w:pPr>
      <w:r w:rsidRPr="00DF54B0">
        <w:rPr>
          <w:rFonts w:ascii="Times New Roman" w:hAnsi="Times New Roman" w:cs="Times New Roman"/>
          <w:sz w:val="24"/>
          <w:szCs w:val="24"/>
        </w:rPr>
        <w:t xml:space="preserve">Instituto de Investigaciones Gino </w:t>
      </w:r>
      <w:proofErr w:type="spellStart"/>
      <w:r w:rsidRPr="00DF54B0">
        <w:rPr>
          <w:rFonts w:ascii="Times New Roman" w:hAnsi="Times New Roman" w:cs="Times New Roman"/>
          <w:sz w:val="24"/>
          <w:szCs w:val="24"/>
        </w:rPr>
        <w:t>Germani</w:t>
      </w:r>
      <w:proofErr w:type="spellEnd"/>
    </w:p>
    <w:p w:rsidR="006E6A27" w:rsidRPr="00DF54B0" w:rsidRDefault="006E6A27" w:rsidP="00DF54B0">
      <w:pPr>
        <w:spacing w:after="0" w:line="360" w:lineRule="auto"/>
        <w:jc w:val="center"/>
        <w:rPr>
          <w:rFonts w:ascii="Times New Roman" w:hAnsi="Times New Roman" w:cs="Times New Roman"/>
          <w:sz w:val="24"/>
          <w:szCs w:val="24"/>
        </w:rPr>
      </w:pPr>
      <w:r w:rsidRPr="00DF54B0">
        <w:rPr>
          <w:rFonts w:ascii="Times New Roman" w:hAnsi="Times New Roman" w:cs="Times New Roman"/>
          <w:sz w:val="24"/>
          <w:szCs w:val="24"/>
        </w:rPr>
        <w:t>1, 2 y 3 de Noviembre de 2017</w:t>
      </w:r>
    </w:p>
    <w:p w:rsidR="006E6A27" w:rsidRPr="00DF54B0" w:rsidRDefault="006E6A27" w:rsidP="00DF54B0">
      <w:pPr>
        <w:pStyle w:val="Encabezado"/>
        <w:spacing w:line="360" w:lineRule="auto"/>
        <w:rPr>
          <w:rFonts w:ascii="Times New Roman" w:hAnsi="Times New Roman" w:cs="Times New Roman"/>
          <w:sz w:val="24"/>
          <w:szCs w:val="24"/>
        </w:rPr>
      </w:pPr>
      <w:r w:rsidRPr="00DF54B0">
        <w:rPr>
          <w:rFonts w:ascii="Times New Roman" w:hAnsi="Times New Roman" w:cs="Times New Roman"/>
          <w:sz w:val="24"/>
          <w:szCs w:val="24"/>
        </w:rPr>
        <w:t>María Francisca Escobar Pereira</w:t>
      </w:r>
    </w:p>
    <w:p w:rsidR="006E6A27" w:rsidRPr="00DF54B0" w:rsidRDefault="006E6A27" w:rsidP="00DF54B0">
      <w:pPr>
        <w:pStyle w:val="Encabezado"/>
        <w:spacing w:line="360" w:lineRule="auto"/>
        <w:rPr>
          <w:rFonts w:ascii="Times New Roman" w:hAnsi="Times New Roman" w:cs="Times New Roman"/>
          <w:sz w:val="24"/>
          <w:szCs w:val="24"/>
        </w:rPr>
      </w:pPr>
      <w:r w:rsidRPr="00DF54B0">
        <w:rPr>
          <w:rFonts w:ascii="Times New Roman" w:hAnsi="Times New Roman" w:cs="Times New Roman"/>
          <w:sz w:val="24"/>
          <w:szCs w:val="24"/>
        </w:rPr>
        <w:t>Universidad de Chile. Santiago. Chile.</w:t>
      </w:r>
    </w:p>
    <w:p w:rsidR="003D1868" w:rsidRPr="00DF54B0" w:rsidRDefault="003D1868" w:rsidP="00DF54B0">
      <w:pPr>
        <w:pStyle w:val="Encabezado"/>
        <w:spacing w:line="360" w:lineRule="auto"/>
        <w:rPr>
          <w:rFonts w:ascii="Times New Roman" w:hAnsi="Times New Roman" w:cs="Times New Roman"/>
          <w:sz w:val="24"/>
          <w:szCs w:val="24"/>
        </w:rPr>
      </w:pPr>
      <w:r w:rsidRPr="00DF54B0">
        <w:rPr>
          <w:rFonts w:ascii="Times New Roman" w:hAnsi="Times New Roman" w:cs="Times New Roman"/>
          <w:sz w:val="24"/>
          <w:szCs w:val="24"/>
        </w:rPr>
        <w:t>Mf.escobar@renare.uchile.cl</w:t>
      </w:r>
    </w:p>
    <w:p w:rsidR="00EC300D" w:rsidRPr="00DF54B0" w:rsidRDefault="006E6A27" w:rsidP="00DF54B0">
      <w:pPr>
        <w:pStyle w:val="Encabezado"/>
        <w:spacing w:line="360" w:lineRule="auto"/>
        <w:rPr>
          <w:rFonts w:ascii="Times New Roman" w:hAnsi="Times New Roman" w:cs="Times New Roman"/>
          <w:sz w:val="24"/>
          <w:szCs w:val="24"/>
        </w:rPr>
      </w:pPr>
      <w:r w:rsidRPr="00DF54B0">
        <w:rPr>
          <w:rFonts w:ascii="Times New Roman" w:hAnsi="Times New Roman" w:cs="Times New Roman"/>
          <w:sz w:val="24"/>
          <w:szCs w:val="24"/>
        </w:rPr>
        <w:t xml:space="preserve">Licenciada en Ciencias de los Recursos Naturales Renovables. </w:t>
      </w:r>
    </w:p>
    <w:p w:rsidR="006E6A27" w:rsidRPr="00DF54B0" w:rsidRDefault="006E6A27" w:rsidP="00DF54B0">
      <w:pPr>
        <w:pStyle w:val="Encabezado"/>
        <w:spacing w:line="360" w:lineRule="auto"/>
        <w:rPr>
          <w:rFonts w:ascii="Times New Roman" w:hAnsi="Times New Roman" w:cs="Times New Roman"/>
          <w:sz w:val="24"/>
          <w:szCs w:val="24"/>
        </w:rPr>
      </w:pPr>
      <w:r w:rsidRPr="00DF54B0">
        <w:rPr>
          <w:rFonts w:ascii="Times New Roman" w:hAnsi="Times New Roman" w:cs="Times New Roman"/>
          <w:sz w:val="24"/>
          <w:szCs w:val="24"/>
        </w:rPr>
        <w:t>Diplomado en Evaluación Ambienta</w:t>
      </w:r>
      <w:r w:rsidR="00EC300D" w:rsidRPr="00DF54B0">
        <w:rPr>
          <w:rFonts w:ascii="Times New Roman" w:hAnsi="Times New Roman" w:cs="Times New Roman"/>
          <w:sz w:val="24"/>
          <w:szCs w:val="24"/>
        </w:rPr>
        <w:t>l</w:t>
      </w:r>
      <w:r w:rsidRPr="00DF54B0">
        <w:rPr>
          <w:rFonts w:ascii="Times New Roman" w:hAnsi="Times New Roman" w:cs="Times New Roman"/>
          <w:sz w:val="24"/>
          <w:szCs w:val="24"/>
        </w:rPr>
        <w:t xml:space="preserve"> Estratégica.</w:t>
      </w:r>
    </w:p>
    <w:p w:rsidR="006E6A27" w:rsidRPr="00DF54B0" w:rsidRDefault="006E6A27" w:rsidP="00DF54B0">
      <w:pPr>
        <w:pStyle w:val="Encabezado"/>
        <w:spacing w:line="360" w:lineRule="auto"/>
        <w:rPr>
          <w:rFonts w:ascii="Times New Roman" w:hAnsi="Times New Roman" w:cs="Times New Roman"/>
          <w:sz w:val="24"/>
          <w:szCs w:val="24"/>
        </w:rPr>
      </w:pPr>
      <w:r w:rsidRPr="00DF54B0">
        <w:rPr>
          <w:rFonts w:ascii="Times New Roman" w:hAnsi="Times New Roman" w:cs="Times New Roman"/>
          <w:sz w:val="24"/>
          <w:szCs w:val="24"/>
        </w:rPr>
        <w:t>Eje 6. Espacio social, tiempo y territorio</w:t>
      </w:r>
    </w:p>
    <w:p w:rsidR="006E6A27" w:rsidRPr="00030675" w:rsidRDefault="006E6A27" w:rsidP="00030675">
      <w:pPr>
        <w:pStyle w:val="Ttulo2"/>
        <w:spacing w:before="0" w:line="360" w:lineRule="auto"/>
        <w:rPr>
          <w:szCs w:val="24"/>
        </w:rPr>
      </w:pPr>
      <w:r w:rsidRPr="00DF54B0">
        <w:rPr>
          <w:szCs w:val="24"/>
        </w:rPr>
        <w:t>Plan Regulador Metropolitano que radicaliza la segregación socio-espacial</w:t>
      </w:r>
    </w:p>
    <w:p w:rsidR="006E6A27" w:rsidRPr="00DF54B0" w:rsidRDefault="006E6A27" w:rsidP="00DF54B0">
      <w:pPr>
        <w:pStyle w:val="Encabezado"/>
        <w:spacing w:line="360" w:lineRule="auto"/>
        <w:rPr>
          <w:rFonts w:ascii="Times New Roman" w:hAnsi="Times New Roman" w:cs="Times New Roman"/>
          <w:sz w:val="24"/>
          <w:szCs w:val="24"/>
        </w:rPr>
      </w:pPr>
      <w:r w:rsidRPr="00DF54B0">
        <w:rPr>
          <w:rFonts w:ascii="Times New Roman" w:hAnsi="Times New Roman" w:cs="Times New Roman"/>
          <w:sz w:val="24"/>
          <w:szCs w:val="24"/>
        </w:rPr>
        <w:t xml:space="preserve">Palabras clave: segregación, sustentabilidad, </w:t>
      </w:r>
      <w:r w:rsidR="00030675">
        <w:rPr>
          <w:rFonts w:ascii="Times New Roman" w:hAnsi="Times New Roman" w:cs="Times New Roman"/>
          <w:sz w:val="24"/>
          <w:szCs w:val="24"/>
        </w:rPr>
        <w:t>planificación</w:t>
      </w:r>
    </w:p>
    <w:p w:rsidR="003D1868" w:rsidRPr="00030675" w:rsidRDefault="003D1868" w:rsidP="00030675">
      <w:pPr>
        <w:pStyle w:val="Ttulo2"/>
        <w:spacing w:before="0" w:line="360" w:lineRule="auto"/>
        <w:rPr>
          <w:szCs w:val="24"/>
        </w:rPr>
      </w:pPr>
      <w:r w:rsidRPr="00030675">
        <w:rPr>
          <w:szCs w:val="24"/>
        </w:rPr>
        <w:t>Introducción</w:t>
      </w:r>
    </w:p>
    <w:p w:rsidR="002A22F1" w:rsidRPr="00DF54B0" w:rsidRDefault="00A277C8" w:rsidP="00DF54B0">
      <w:pPr>
        <w:spacing w:after="0" w:line="360" w:lineRule="auto"/>
        <w:jc w:val="both"/>
        <w:rPr>
          <w:rFonts w:ascii="Times New Roman" w:hAnsi="Times New Roman" w:cs="Times New Roman"/>
          <w:sz w:val="24"/>
          <w:szCs w:val="24"/>
        </w:rPr>
      </w:pPr>
      <w:r w:rsidRPr="00DF54B0">
        <w:rPr>
          <w:rFonts w:ascii="Times New Roman" w:hAnsi="Times New Roman" w:cs="Times New Roman"/>
          <w:sz w:val="24"/>
          <w:szCs w:val="24"/>
        </w:rPr>
        <w:t xml:space="preserve">El Programa </w:t>
      </w:r>
      <w:proofErr w:type="spellStart"/>
      <w:r w:rsidRPr="00DF54B0">
        <w:rPr>
          <w:rFonts w:ascii="Times New Roman" w:hAnsi="Times New Roman" w:cs="Times New Roman"/>
          <w:sz w:val="24"/>
          <w:szCs w:val="24"/>
        </w:rPr>
        <w:t>Habitat</w:t>
      </w:r>
      <w:proofErr w:type="spellEnd"/>
      <w:r w:rsidRPr="00DF54B0">
        <w:rPr>
          <w:rFonts w:ascii="Times New Roman" w:hAnsi="Times New Roman" w:cs="Times New Roman"/>
          <w:sz w:val="24"/>
          <w:szCs w:val="24"/>
        </w:rPr>
        <w:t xml:space="preserve"> III, al que Chile se encuentra adscrito, fue </w:t>
      </w:r>
      <w:r w:rsidR="00DF6541" w:rsidRPr="00DF54B0">
        <w:rPr>
          <w:rFonts w:ascii="Times New Roman" w:hAnsi="Times New Roman" w:cs="Times New Roman"/>
          <w:sz w:val="24"/>
          <w:szCs w:val="24"/>
        </w:rPr>
        <w:t>celebrado el año 2016 con el objetivo</w:t>
      </w:r>
      <w:r w:rsidRPr="00DF54B0">
        <w:rPr>
          <w:rFonts w:ascii="Times New Roman" w:hAnsi="Times New Roman" w:cs="Times New Roman"/>
          <w:sz w:val="24"/>
          <w:szCs w:val="24"/>
        </w:rPr>
        <w:t xml:space="preserve"> de fortalecer el compromiso </w:t>
      </w:r>
      <w:r w:rsidR="00431FCB" w:rsidRPr="00DF54B0">
        <w:rPr>
          <w:rFonts w:ascii="Times New Roman" w:hAnsi="Times New Roman" w:cs="Times New Roman"/>
          <w:sz w:val="24"/>
          <w:szCs w:val="24"/>
        </w:rPr>
        <w:t xml:space="preserve">global </w:t>
      </w:r>
      <w:r w:rsidR="00DF6541" w:rsidRPr="00DF54B0">
        <w:rPr>
          <w:rFonts w:ascii="Times New Roman" w:hAnsi="Times New Roman" w:cs="Times New Roman"/>
          <w:sz w:val="24"/>
          <w:szCs w:val="24"/>
        </w:rPr>
        <w:t>de promover la</w:t>
      </w:r>
      <w:r w:rsidRPr="00DF54B0">
        <w:rPr>
          <w:rFonts w:ascii="Times New Roman" w:hAnsi="Times New Roman" w:cs="Times New Roman"/>
          <w:sz w:val="24"/>
          <w:szCs w:val="24"/>
        </w:rPr>
        <w:t xml:space="preserve"> urbanización sustentable, preocupación sostenida desde la Conferencia de Estambul</w:t>
      </w:r>
      <w:r w:rsidR="00030675">
        <w:rPr>
          <w:rFonts w:ascii="Times New Roman" w:hAnsi="Times New Roman" w:cs="Times New Roman"/>
          <w:sz w:val="24"/>
          <w:szCs w:val="24"/>
        </w:rPr>
        <w:t xml:space="preserve"> desde 1996, </w:t>
      </w:r>
      <w:r w:rsidRPr="00DF54B0">
        <w:rPr>
          <w:rFonts w:ascii="Times New Roman" w:hAnsi="Times New Roman" w:cs="Times New Roman"/>
          <w:sz w:val="24"/>
          <w:szCs w:val="24"/>
        </w:rPr>
        <w:t>20 años antes. En las últimas décadas, hay numerosos esfuerzos materializados en diferentes programa</w:t>
      </w:r>
      <w:r w:rsidR="002A22F1" w:rsidRPr="00DF54B0">
        <w:rPr>
          <w:rFonts w:ascii="Times New Roman" w:hAnsi="Times New Roman" w:cs="Times New Roman"/>
          <w:sz w:val="24"/>
          <w:szCs w:val="24"/>
        </w:rPr>
        <w:t>s</w:t>
      </w:r>
      <w:r w:rsidRPr="00DF54B0">
        <w:rPr>
          <w:rFonts w:ascii="Times New Roman" w:hAnsi="Times New Roman" w:cs="Times New Roman"/>
          <w:sz w:val="24"/>
          <w:szCs w:val="24"/>
        </w:rPr>
        <w:t xml:space="preserve"> internacionales que han buscado avanzar hacia </w:t>
      </w:r>
      <w:r w:rsidR="00DF6541" w:rsidRPr="00DF54B0">
        <w:rPr>
          <w:rFonts w:ascii="Times New Roman" w:hAnsi="Times New Roman" w:cs="Times New Roman"/>
          <w:sz w:val="24"/>
          <w:szCs w:val="24"/>
        </w:rPr>
        <w:t xml:space="preserve">el desarrollo de </w:t>
      </w:r>
      <w:r w:rsidRPr="00DF54B0">
        <w:rPr>
          <w:rFonts w:ascii="Times New Roman" w:hAnsi="Times New Roman" w:cs="Times New Roman"/>
          <w:sz w:val="24"/>
          <w:szCs w:val="24"/>
        </w:rPr>
        <w:t>ciudades más sustentables.</w:t>
      </w:r>
      <w:r w:rsidR="00DF6541" w:rsidRPr="00DF54B0">
        <w:rPr>
          <w:rFonts w:ascii="Times New Roman" w:hAnsi="Times New Roman" w:cs="Times New Roman"/>
          <w:sz w:val="24"/>
          <w:szCs w:val="24"/>
        </w:rPr>
        <w:t xml:space="preserve"> </w:t>
      </w:r>
      <w:r w:rsidR="00030675">
        <w:rPr>
          <w:rFonts w:ascii="Times New Roman" w:hAnsi="Times New Roman" w:cs="Times New Roman"/>
          <w:sz w:val="24"/>
          <w:szCs w:val="24"/>
        </w:rPr>
        <w:t xml:space="preserve">El </w:t>
      </w:r>
      <w:r w:rsidR="000C3A86" w:rsidRPr="00DF54B0">
        <w:rPr>
          <w:rFonts w:ascii="Times New Roman" w:hAnsi="Times New Roman" w:cs="Times New Roman"/>
          <w:sz w:val="24"/>
          <w:szCs w:val="24"/>
        </w:rPr>
        <w:t xml:space="preserve">año </w:t>
      </w:r>
      <w:r w:rsidR="00DF6541" w:rsidRPr="00DF54B0">
        <w:rPr>
          <w:rFonts w:ascii="Times New Roman" w:hAnsi="Times New Roman" w:cs="Times New Roman"/>
          <w:sz w:val="24"/>
          <w:szCs w:val="24"/>
        </w:rPr>
        <w:t>2013</w:t>
      </w:r>
      <w:r w:rsidRPr="00DF54B0">
        <w:rPr>
          <w:rFonts w:ascii="Times New Roman" w:hAnsi="Times New Roman" w:cs="Times New Roman"/>
          <w:sz w:val="24"/>
          <w:szCs w:val="24"/>
        </w:rPr>
        <w:t xml:space="preserve"> </w:t>
      </w:r>
      <w:r w:rsidR="00030675">
        <w:rPr>
          <w:rFonts w:ascii="Times New Roman" w:hAnsi="Times New Roman" w:cs="Times New Roman"/>
          <w:sz w:val="24"/>
          <w:szCs w:val="24"/>
        </w:rPr>
        <w:t xml:space="preserve">se </w:t>
      </w:r>
      <w:r w:rsidR="00DF6541" w:rsidRPr="00DF54B0">
        <w:rPr>
          <w:rFonts w:ascii="Times New Roman" w:hAnsi="Times New Roman" w:cs="Times New Roman"/>
          <w:sz w:val="24"/>
          <w:szCs w:val="24"/>
        </w:rPr>
        <w:t>aprobó la modificación</w:t>
      </w:r>
      <w:r w:rsidR="008D5D0F" w:rsidRPr="00DF54B0">
        <w:rPr>
          <w:rFonts w:ascii="Times New Roman" w:hAnsi="Times New Roman" w:cs="Times New Roman"/>
          <w:sz w:val="24"/>
          <w:szCs w:val="24"/>
        </w:rPr>
        <w:t xml:space="preserve"> propuesta al</w:t>
      </w:r>
      <w:r w:rsidR="00DF6541" w:rsidRPr="00DF54B0">
        <w:rPr>
          <w:rFonts w:ascii="Times New Roman" w:hAnsi="Times New Roman" w:cs="Times New Roman"/>
          <w:sz w:val="24"/>
          <w:szCs w:val="24"/>
        </w:rPr>
        <w:t xml:space="preserve"> Plan Regulador Metropolitano de Santiago</w:t>
      </w:r>
      <w:r w:rsidR="00202FEB" w:rsidRPr="00DF54B0">
        <w:rPr>
          <w:rFonts w:ascii="Times New Roman" w:hAnsi="Times New Roman" w:cs="Times New Roman"/>
          <w:sz w:val="24"/>
          <w:szCs w:val="24"/>
        </w:rPr>
        <w:t xml:space="preserve"> (PRMS)</w:t>
      </w:r>
      <w:r w:rsidR="00DF6541" w:rsidRPr="00DF54B0">
        <w:rPr>
          <w:rFonts w:ascii="Times New Roman" w:hAnsi="Times New Roman" w:cs="Times New Roman"/>
          <w:sz w:val="24"/>
          <w:szCs w:val="24"/>
        </w:rPr>
        <w:t xml:space="preserve"> </w:t>
      </w:r>
      <w:r w:rsidR="00030675">
        <w:rPr>
          <w:rFonts w:ascii="Times New Roman" w:hAnsi="Times New Roman" w:cs="Times New Roman"/>
          <w:sz w:val="24"/>
          <w:szCs w:val="24"/>
        </w:rPr>
        <w:t xml:space="preserve">elaborado </w:t>
      </w:r>
      <w:r w:rsidR="00DF6541" w:rsidRPr="00DF54B0">
        <w:rPr>
          <w:rFonts w:ascii="Times New Roman" w:hAnsi="Times New Roman" w:cs="Times New Roman"/>
          <w:sz w:val="24"/>
          <w:szCs w:val="24"/>
        </w:rPr>
        <w:t>el año 1994</w:t>
      </w:r>
      <w:r w:rsidR="00030675">
        <w:rPr>
          <w:rFonts w:ascii="Times New Roman" w:hAnsi="Times New Roman" w:cs="Times New Roman"/>
          <w:sz w:val="24"/>
          <w:szCs w:val="24"/>
        </w:rPr>
        <w:t>, y cuya vigencia permanece</w:t>
      </w:r>
      <w:r w:rsidR="00DF6541" w:rsidRPr="00DF54B0">
        <w:rPr>
          <w:rFonts w:ascii="Times New Roman" w:hAnsi="Times New Roman" w:cs="Times New Roman"/>
          <w:sz w:val="24"/>
          <w:szCs w:val="24"/>
        </w:rPr>
        <w:t>. La modificación, amplió el límite urbano</w:t>
      </w:r>
      <w:r w:rsidR="008D5D0F" w:rsidRPr="00DF54B0">
        <w:rPr>
          <w:rFonts w:ascii="Times New Roman" w:hAnsi="Times New Roman" w:cs="Times New Roman"/>
          <w:sz w:val="24"/>
          <w:szCs w:val="24"/>
        </w:rPr>
        <w:t xml:space="preserve"> y modificó usos de suelo </w:t>
      </w:r>
      <w:r w:rsidR="003A6042" w:rsidRPr="00DF54B0">
        <w:rPr>
          <w:rFonts w:ascii="Times New Roman" w:hAnsi="Times New Roman" w:cs="Times New Roman"/>
          <w:sz w:val="24"/>
          <w:szCs w:val="24"/>
        </w:rPr>
        <w:t xml:space="preserve">colocando 10.207 hectáreas a disposición del urbanismo con el objeto de acoger a la población proyecta en la ciudad </w:t>
      </w:r>
      <w:r w:rsidR="00CB598A" w:rsidRPr="00DF54B0">
        <w:rPr>
          <w:rFonts w:ascii="Times New Roman" w:hAnsi="Times New Roman" w:cs="Times New Roman"/>
          <w:sz w:val="24"/>
          <w:szCs w:val="24"/>
        </w:rPr>
        <w:t xml:space="preserve">al </w:t>
      </w:r>
      <w:r w:rsidR="003A6042" w:rsidRPr="00DF54B0">
        <w:rPr>
          <w:rFonts w:ascii="Times New Roman" w:hAnsi="Times New Roman" w:cs="Times New Roman"/>
          <w:sz w:val="24"/>
          <w:szCs w:val="24"/>
        </w:rPr>
        <w:t xml:space="preserve">año 2030. </w:t>
      </w:r>
      <w:r w:rsidR="00CB598A" w:rsidRPr="00DF54B0">
        <w:rPr>
          <w:rFonts w:ascii="Times New Roman" w:hAnsi="Times New Roman" w:cs="Times New Roman"/>
          <w:sz w:val="24"/>
          <w:szCs w:val="24"/>
        </w:rPr>
        <w:t xml:space="preserve">Tres años y 10 meses antes de la aprobación del PRMS 100, </w:t>
      </w:r>
      <w:r w:rsidR="003A6042" w:rsidRPr="00DF54B0">
        <w:rPr>
          <w:rFonts w:ascii="Times New Roman" w:hAnsi="Times New Roman" w:cs="Times New Roman"/>
          <w:sz w:val="24"/>
          <w:szCs w:val="24"/>
        </w:rPr>
        <w:t>el Ministerio Secretaría General de la Presidencia</w:t>
      </w:r>
      <w:r w:rsidR="003A6042" w:rsidRPr="00DF54B0">
        <w:rPr>
          <w:rFonts w:ascii="Times New Roman" w:hAnsi="Times New Roman" w:cs="Times New Roman"/>
          <w:sz w:val="24"/>
          <w:szCs w:val="24"/>
        </w:rPr>
        <w:t xml:space="preserve"> promulgó la Ley 2</w:t>
      </w:r>
      <w:r w:rsidR="00CB598A" w:rsidRPr="00DF54B0">
        <w:rPr>
          <w:rFonts w:ascii="Times New Roman" w:hAnsi="Times New Roman" w:cs="Times New Roman"/>
          <w:sz w:val="24"/>
          <w:szCs w:val="24"/>
        </w:rPr>
        <w:t>0</w:t>
      </w:r>
      <w:r w:rsidR="003A6042" w:rsidRPr="00DF54B0">
        <w:rPr>
          <w:rFonts w:ascii="Times New Roman" w:hAnsi="Times New Roman" w:cs="Times New Roman"/>
          <w:sz w:val="24"/>
          <w:szCs w:val="24"/>
        </w:rPr>
        <w:t xml:space="preserve">.417, que incorporó en la legislación </w:t>
      </w:r>
      <w:r w:rsidR="00CB598A" w:rsidRPr="00DF54B0">
        <w:rPr>
          <w:rFonts w:ascii="Times New Roman" w:hAnsi="Times New Roman" w:cs="Times New Roman"/>
          <w:sz w:val="24"/>
          <w:szCs w:val="24"/>
        </w:rPr>
        <w:t xml:space="preserve">chilena </w:t>
      </w:r>
      <w:r w:rsidR="003A6042" w:rsidRPr="00DF54B0">
        <w:rPr>
          <w:rFonts w:ascii="Times New Roman" w:hAnsi="Times New Roman" w:cs="Times New Roman"/>
          <w:sz w:val="24"/>
          <w:szCs w:val="24"/>
        </w:rPr>
        <w:t xml:space="preserve">la </w:t>
      </w:r>
      <w:r w:rsidR="003A6042" w:rsidRPr="00DF54B0">
        <w:rPr>
          <w:rFonts w:ascii="Times New Roman" w:hAnsi="Times New Roman" w:cs="Times New Roman"/>
          <w:sz w:val="24"/>
          <w:szCs w:val="24"/>
        </w:rPr>
        <w:t>Evaluación Ambiental Estratégica (EAE),</w:t>
      </w:r>
      <w:r w:rsidR="00CB598A" w:rsidRPr="00DF54B0">
        <w:rPr>
          <w:rFonts w:ascii="Times New Roman" w:hAnsi="Times New Roman" w:cs="Times New Roman"/>
          <w:sz w:val="24"/>
          <w:szCs w:val="24"/>
        </w:rPr>
        <w:t xml:space="preserve"> procedimiento destinado a garantizar la incorporación de las consideraciones ambientales y criterios de desarrollo sustentable en los Instrumentos de Planificación Territorial.  Si bien, al PRMS 100 le correspondía su aplicación por ser una modificación sustancial del Plan original, debido a la extensión del límite urbano, las modificaciones al instrumento no fueron sometidas a </w:t>
      </w:r>
      <w:r w:rsidR="00030675">
        <w:rPr>
          <w:rFonts w:ascii="Times New Roman" w:hAnsi="Times New Roman" w:cs="Times New Roman"/>
          <w:sz w:val="24"/>
          <w:szCs w:val="24"/>
        </w:rPr>
        <w:t>EAE</w:t>
      </w:r>
      <w:r w:rsidR="00CB598A" w:rsidRPr="00DF54B0">
        <w:rPr>
          <w:rFonts w:ascii="Times New Roman" w:hAnsi="Times New Roman" w:cs="Times New Roman"/>
          <w:sz w:val="24"/>
          <w:szCs w:val="24"/>
        </w:rPr>
        <w:t xml:space="preserve">, ocasionando </w:t>
      </w:r>
      <w:r w:rsidR="00030675">
        <w:rPr>
          <w:rFonts w:ascii="Times New Roman" w:hAnsi="Times New Roman" w:cs="Times New Roman"/>
          <w:sz w:val="24"/>
          <w:szCs w:val="24"/>
        </w:rPr>
        <w:t xml:space="preserve">grandes </w:t>
      </w:r>
      <w:r w:rsidR="00CB598A" w:rsidRPr="00DF54B0">
        <w:rPr>
          <w:rFonts w:ascii="Times New Roman" w:hAnsi="Times New Roman" w:cs="Times New Roman"/>
          <w:sz w:val="24"/>
          <w:szCs w:val="24"/>
        </w:rPr>
        <w:t>reclamos por parte de actores civiles</w:t>
      </w:r>
      <w:r w:rsidR="00030675">
        <w:rPr>
          <w:rFonts w:ascii="Times New Roman" w:hAnsi="Times New Roman" w:cs="Times New Roman"/>
          <w:sz w:val="24"/>
          <w:szCs w:val="24"/>
        </w:rPr>
        <w:t xml:space="preserve"> en diferentes instancias legales, pero</w:t>
      </w:r>
      <w:r w:rsidR="00CB598A" w:rsidRPr="00DF54B0">
        <w:rPr>
          <w:rFonts w:ascii="Times New Roman" w:hAnsi="Times New Roman" w:cs="Times New Roman"/>
          <w:sz w:val="24"/>
          <w:szCs w:val="24"/>
        </w:rPr>
        <w:t xml:space="preserve"> que finalmente no</w:t>
      </w:r>
      <w:r w:rsidR="00030675">
        <w:rPr>
          <w:rFonts w:ascii="Times New Roman" w:hAnsi="Times New Roman" w:cs="Times New Roman"/>
          <w:sz w:val="24"/>
          <w:szCs w:val="24"/>
        </w:rPr>
        <w:t xml:space="preserve"> se</w:t>
      </w:r>
      <w:r w:rsidR="00CB598A" w:rsidRPr="00DF54B0">
        <w:rPr>
          <w:rFonts w:ascii="Times New Roman" w:hAnsi="Times New Roman" w:cs="Times New Roman"/>
          <w:sz w:val="24"/>
          <w:szCs w:val="24"/>
        </w:rPr>
        <w:t xml:space="preserve"> acogi</w:t>
      </w:r>
      <w:r w:rsidR="00030675">
        <w:rPr>
          <w:rFonts w:ascii="Times New Roman" w:hAnsi="Times New Roman" w:cs="Times New Roman"/>
          <w:sz w:val="24"/>
          <w:szCs w:val="24"/>
        </w:rPr>
        <w:t>eron</w:t>
      </w:r>
      <w:r w:rsidR="00CB598A" w:rsidRPr="00DF54B0">
        <w:rPr>
          <w:rFonts w:ascii="Times New Roman" w:hAnsi="Times New Roman" w:cs="Times New Roman"/>
          <w:sz w:val="24"/>
          <w:szCs w:val="24"/>
        </w:rPr>
        <w:t xml:space="preserve"> con éxito.</w:t>
      </w:r>
    </w:p>
    <w:p w:rsidR="00072DBB" w:rsidRPr="00DF54B0" w:rsidRDefault="00030675" w:rsidP="00DF54B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La</w:t>
      </w:r>
      <w:r w:rsidR="00072DBB" w:rsidRPr="00DF54B0">
        <w:rPr>
          <w:rFonts w:ascii="Times New Roman" w:hAnsi="Times New Roman" w:cs="Times New Roman"/>
          <w:sz w:val="24"/>
          <w:szCs w:val="24"/>
        </w:rPr>
        <w:t xml:space="preserve"> EAE tiene por finalidad la incorporación de la dimensión ambiental en el instrumento</w:t>
      </w:r>
      <w:r>
        <w:rPr>
          <w:rFonts w:ascii="Times New Roman" w:hAnsi="Times New Roman" w:cs="Times New Roman"/>
          <w:sz w:val="24"/>
          <w:szCs w:val="24"/>
        </w:rPr>
        <w:t xml:space="preserve"> y</w:t>
      </w:r>
      <w:r w:rsidR="00072DBB" w:rsidRPr="00DF54B0">
        <w:rPr>
          <w:rFonts w:ascii="Times New Roman" w:hAnsi="Times New Roman" w:cs="Times New Roman"/>
          <w:sz w:val="24"/>
          <w:szCs w:val="24"/>
        </w:rPr>
        <w:t xml:space="preserve"> la metodología </w:t>
      </w:r>
      <w:r>
        <w:rPr>
          <w:rFonts w:ascii="Times New Roman" w:hAnsi="Times New Roman" w:cs="Times New Roman"/>
          <w:sz w:val="24"/>
          <w:szCs w:val="24"/>
        </w:rPr>
        <w:t xml:space="preserve">que </w:t>
      </w:r>
      <w:r w:rsidR="00072DBB" w:rsidRPr="00DF54B0">
        <w:rPr>
          <w:rFonts w:ascii="Times New Roman" w:hAnsi="Times New Roman" w:cs="Times New Roman"/>
          <w:sz w:val="24"/>
          <w:szCs w:val="24"/>
        </w:rPr>
        <w:t>aplica para ello siempre va a mejorar la propuesta final, pues es su visión estratégica</w:t>
      </w:r>
      <w:r w:rsidR="00202FEB" w:rsidRPr="00DF54B0">
        <w:rPr>
          <w:rFonts w:ascii="Times New Roman" w:hAnsi="Times New Roman" w:cs="Times New Roman"/>
          <w:sz w:val="24"/>
          <w:szCs w:val="24"/>
        </w:rPr>
        <w:t xml:space="preserve"> plasmada en cad</w:t>
      </w:r>
      <w:r w:rsidR="00072DBB" w:rsidRPr="00DF54B0">
        <w:rPr>
          <w:rFonts w:ascii="Times New Roman" w:hAnsi="Times New Roman" w:cs="Times New Roman"/>
          <w:sz w:val="24"/>
          <w:szCs w:val="24"/>
        </w:rPr>
        <w:t xml:space="preserve">a etapa lo que garantiza una </w:t>
      </w:r>
      <w:r w:rsidRPr="00DF54B0">
        <w:rPr>
          <w:rFonts w:ascii="Times New Roman" w:hAnsi="Times New Roman" w:cs="Times New Roman"/>
          <w:sz w:val="24"/>
          <w:szCs w:val="24"/>
        </w:rPr>
        <w:t>perspectiva</w:t>
      </w:r>
      <w:r w:rsidR="00072DBB" w:rsidRPr="00DF54B0">
        <w:rPr>
          <w:rFonts w:ascii="Times New Roman" w:hAnsi="Times New Roman" w:cs="Times New Roman"/>
          <w:sz w:val="24"/>
          <w:szCs w:val="24"/>
        </w:rPr>
        <w:t xml:space="preserve"> más amplia del desarrollo de la ciudad. </w:t>
      </w:r>
    </w:p>
    <w:p w:rsidR="00072DBB" w:rsidRPr="00DF54B0" w:rsidRDefault="00CB598A" w:rsidP="00DF54B0">
      <w:pPr>
        <w:spacing w:after="0" w:line="360" w:lineRule="auto"/>
        <w:jc w:val="both"/>
        <w:rPr>
          <w:rFonts w:ascii="Times New Roman" w:hAnsi="Times New Roman" w:cs="Times New Roman"/>
          <w:sz w:val="24"/>
          <w:szCs w:val="24"/>
        </w:rPr>
      </w:pPr>
      <w:r w:rsidRPr="00DF54B0">
        <w:rPr>
          <w:rFonts w:ascii="Times New Roman" w:hAnsi="Times New Roman" w:cs="Times New Roman"/>
          <w:sz w:val="24"/>
          <w:szCs w:val="24"/>
        </w:rPr>
        <w:lastRenderedPageBreak/>
        <w:t>Para optar al grado de Ingeniera en Recur</w:t>
      </w:r>
      <w:r w:rsidR="00072DBB" w:rsidRPr="00DF54B0">
        <w:rPr>
          <w:rFonts w:ascii="Times New Roman" w:hAnsi="Times New Roman" w:cs="Times New Roman"/>
          <w:sz w:val="24"/>
          <w:szCs w:val="24"/>
        </w:rPr>
        <w:t>sos Naturales Renovables</w:t>
      </w:r>
      <w:r w:rsidR="00C1520C" w:rsidRPr="00DF54B0">
        <w:rPr>
          <w:rFonts w:ascii="Times New Roman" w:hAnsi="Times New Roman" w:cs="Times New Roman"/>
          <w:sz w:val="24"/>
          <w:szCs w:val="24"/>
        </w:rPr>
        <w:t xml:space="preserve"> de la Universidad de Chile</w:t>
      </w:r>
      <w:r w:rsidR="00072DBB" w:rsidRPr="00DF54B0">
        <w:rPr>
          <w:rFonts w:ascii="Times New Roman" w:hAnsi="Times New Roman" w:cs="Times New Roman"/>
          <w:sz w:val="24"/>
          <w:szCs w:val="24"/>
        </w:rPr>
        <w:t xml:space="preserve">, </w:t>
      </w:r>
      <w:r w:rsidR="00030675">
        <w:rPr>
          <w:rFonts w:ascii="Times New Roman" w:hAnsi="Times New Roman" w:cs="Times New Roman"/>
          <w:sz w:val="24"/>
          <w:szCs w:val="24"/>
        </w:rPr>
        <w:t xml:space="preserve">propuse el año 2015 </w:t>
      </w:r>
      <w:r w:rsidR="00072DBB" w:rsidRPr="00DF54B0">
        <w:rPr>
          <w:rFonts w:ascii="Times New Roman" w:hAnsi="Times New Roman" w:cs="Times New Roman"/>
          <w:sz w:val="24"/>
          <w:szCs w:val="24"/>
        </w:rPr>
        <w:t>realizar la EAE al PRMS 100. Actualmente me encuentro en la etapa final de este trabajo y de sus correcciones. La hipótesis</w:t>
      </w:r>
      <w:r w:rsidR="00C1520C" w:rsidRPr="00DF54B0">
        <w:rPr>
          <w:rFonts w:ascii="Times New Roman" w:hAnsi="Times New Roman" w:cs="Times New Roman"/>
          <w:sz w:val="24"/>
          <w:szCs w:val="24"/>
        </w:rPr>
        <w:t xml:space="preserve"> establece </w:t>
      </w:r>
      <w:r w:rsidR="00072DBB" w:rsidRPr="00DF54B0">
        <w:rPr>
          <w:rFonts w:ascii="Times New Roman" w:hAnsi="Times New Roman" w:cs="Times New Roman"/>
          <w:sz w:val="24"/>
          <w:szCs w:val="24"/>
        </w:rPr>
        <w:t xml:space="preserve">que </w:t>
      </w:r>
      <w:r w:rsidR="00072DBB" w:rsidRPr="00DF54B0">
        <w:rPr>
          <w:rFonts w:ascii="Times New Roman" w:hAnsi="Times New Roman" w:cs="Times New Roman"/>
          <w:sz w:val="24"/>
          <w:szCs w:val="24"/>
        </w:rPr>
        <w:t>esta modificación no es coherente con sus propios objetivos y que la metodología utilizada para la determinación de las diferentes áreas propuestas carece de una visión sustentable de escala metropolitana.</w:t>
      </w:r>
    </w:p>
    <w:p w:rsidR="00072DBB" w:rsidRDefault="00072DBB" w:rsidP="00DF54B0">
      <w:pPr>
        <w:spacing w:after="0" w:line="360" w:lineRule="auto"/>
        <w:jc w:val="both"/>
        <w:rPr>
          <w:rFonts w:ascii="Times New Roman" w:hAnsi="Times New Roman" w:cs="Times New Roman"/>
          <w:sz w:val="24"/>
          <w:szCs w:val="24"/>
        </w:rPr>
      </w:pPr>
      <w:r w:rsidRPr="00DF54B0">
        <w:rPr>
          <w:rFonts w:ascii="Times New Roman" w:hAnsi="Times New Roman" w:cs="Times New Roman"/>
          <w:sz w:val="24"/>
          <w:szCs w:val="24"/>
        </w:rPr>
        <w:t>La planificación y el desarrollo de la ciudad debe tener siempre una mirada holística e interdisciplinaria, por lo que esta ponencia tiene por objetivo someter este trabajo a las diferentes perspectivas</w:t>
      </w:r>
      <w:r w:rsidR="00C1520C" w:rsidRPr="00DF54B0">
        <w:rPr>
          <w:rFonts w:ascii="Times New Roman" w:hAnsi="Times New Roman" w:cs="Times New Roman"/>
          <w:sz w:val="24"/>
          <w:szCs w:val="24"/>
        </w:rPr>
        <w:t xml:space="preserve"> de los asistentes que puedan retroalimentar la investigación.</w:t>
      </w:r>
    </w:p>
    <w:p w:rsidR="00622891" w:rsidRPr="00DF54B0" w:rsidRDefault="00622891" w:rsidP="00DF54B0">
      <w:pPr>
        <w:spacing w:after="0" w:line="360" w:lineRule="auto"/>
        <w:jc w:val="both"/>
        <w:rPr>
          <w:rFonts w:ascii="Times New Roman" w:hAnsi="Times New Roman" w:cs="Times New Roman"/>
          <w:sz w:val="24"/>
          <w:szCs w:val="24"/>
        </w:rPr>
      </w:pPr>
    </w:p>
    <w:p w:rsidR="00202FEB" w:rsidRPr="00DF54B0" w:rsidRDefault="00202FEB" w:rsidP="00DF54B0">
      <w:pPr>
        <w:pStyle w:val="Ttulo2"/>
        <w:spacing w:before="0" w:line="360" w:lineRule="auto"/>
        <w:rPr>
          <w:szCs w:val="24"/>
        </w:rPr>
      </w:pPr>
      <w:r w:rsidRPr="00DF54B0">
        <w:rPr>
          <w:szCs w:val="24"/>
        </w:rPr>
        <w:t>El Mercado del suelo y su vinculación con los instrumentos de planificación territorial</w:t>
      </w:r>
    </w:p>
    <w:p w:rsidR="00202FEB" w:rsidRDefault="00202FEB" w:rsidP="00DF54B0">
      <w:pPr>
        <w:spacing w:after="0" w:line="360" w:lineRule="auto"/>
        <w:jc w:val="both"/>
        <w:rPr>
          <w:rFonts w:ascii="Times New Roman" w:hAnsi="Times New Roman" w:cs="Times New Roman"/>
          <w:sz w:val="24"/>
          <w:szCs w:val="24"/>
        </w:rPr>
      </w:pPr>
      <w:r w:rsidRPr="00DF54B0">
        <w:rPr>
          <w:rFonts w:ascii="Times New Roman" w:hAnsi="Times New Roman" w:cs="Times New Roman"/>
          <w:sz w:val="24"/>
          <w:szCs w:val="24"/>
        </w:rPr>
        <w:t>El contexto bajo el cual se elabora y ejecuta el PRMS se encuentra fuertemente condicionado por el mercado del suelo</w:t>
      </w:r>
      <w:r w:rsidRPr="00DF54B0">
        <w:rPr>
          <w:rFonts w:ascii="Times New Roman" w:hAnsi="Times New Roman" w:cs="Times New Roman"/>
          <w:sz w:val="24"/>
          <w:szCs w:val="24"/>
        </w:rPr>
        <w:t xml:space="preserve">. </w:t>
      </w:r>
      <w:r w:rsidRPr="00622891">
        <w:rPr>
          <w:rFonts w:ascii="Times New Roman" w:hAnsi="Times New Roman" w:cs="Times New Roman"/>
          <w:sz w:val="24"/>
          <w:szCs w:val="24"/>
        </w:rPr>
        <w:t>Heinrich et, al. (2009) plantean</w:t>
      </w:r>
      <w:r w:rsidRPr="00DF54B0">
        <w:rPr>
          <w:rFonts w:ascii="Times New Roman" w:hAnsi="Times New Roman" w:cs="Times New Roman"/>
          <w:sz w:val="24"/>
          <w:szCs w:val="24"/>
        </w:rPr>
        <w:t xml:space="preserve"> que el “desarrollo urbano y el uso del suelo están fuertemente dirigidos por la alianza de intereses privados y las políticas públicas pertinentes”. Esto también ha sido </w:t>
      </w:r>
      <w:r w:rsidRPr="00622891">
        <w:rPr>
          <w:rFonts w:ascii="Times New Roman" w:hAnsi="Times New Roman" w:cs="Times New Roman"/>
          <w:sz w:val="24"/>
          <w:szCs w:val="24"/>
        </w:rPr>
        <w:t xml:space="preserve">investigado por Vicuña del Río (2013), quien analiza en profundidad las relaciones del modelo socio-político con el desarrollo urbano. Citando a </w:t>
      </w:r>
      <w:proofErr w:type="spellStart"/>
      <w:r w:rsidRPr="00622891">
        <w:rPr>
          <w:rFonts w:ascii="Times New Roman" w:hAnsi="Times New Roman" w:cs="Times New Roman"/>
          <w:sz w:val="24"/>
          <w:szCs w:val="24"/>
        </w:rPr>
        <w:t>Barnett</w:t>
      </w:r>
      <w:proofErr w:type="spellEnd"/>
      <w:r w:rsidRPr="00622891">
        <w:rPr>
          <w:rFonts w:ascii="Times New Roman" w:hAnsi="Times New Roman" w:cs="Times New Roman"/>
          <w:sz w:val="24"/>
          <w:szCs w:val="24"/>
        </w:rPr>
        <w:t xml:space="preserve"> (1982), Vicuña del Río (2013) expone</w:t>
      </w:r>
      <w:r w:rsidRPr="00DF54B0">
        <w:rPr>
          <w:rFonts w:ascii="Times New Roman" w:hAnsi="Times New Roman" w:cs="Times New Roman"/>
          <w:sz w:val="24"/>
          <w:szCs w:val="24"/>
        </w:rPr>
        <w:t xml:space="preserve"> que “tanto las normas urbanísticas como los instrumentos de planificación territorial son portadores de un modelo de ciudad, patrón que ciertamente responde a los modelos político-económicos imperantes y que, por tanto, refleja el proyecto político y social de la sociedad”. Al analizar específicamente el modelo de Santiago, reflexiona que tendría una forma híbrida, en la que se “observan ciertas discordancias y contradicciones que son parte del modelo heredado de planificación centralista y una seguidilla de ajustes a los instrumentos de planificación urbana que responden al contexto neoliberal imperante”.</w:t>
      </w:r>
      <w:r w:rsidRPr="00DF54B0">
        <w:rPr>
          <w:rFonts w:ascii="Times New Roman" w:hAnsi="Times New Roman" w:cs="Times New Roman"/>
          <w:sz w:val="24"/>
          <w:szCs w:val="24"/>
        </w:rPr>
        <w:t xml:space="preserve"> </w:t>
      </w:r>
      <w:r w:rsidRPr="00DF54B0">
        <w:rPr>
          <w:rFonts w:ascii="Times New Roman" w:hAnsi="Times New Roman" w:cs="Times New Roman"/>
          <w:sz w:val="24"/>
          <w:szCs w:val="24"/>
        </w:rPr>
        <w:t xml:space="preserve">El modelo económico imperante fue desarrollado en la ideología neoliberal proveniente de los economistas estadounidenses Milton Friedman y </w:t>
      </w:r>
      <w:proofErr w:type="spellStart"/>
      <w:r w:rsidRPr="00622891">
        <w:rPr>
          <w:rFonts w:ascii="Times New Roman" w:hAnsi="Times New Roman" w:cs="Times New Roman"/>
          <w:sz w:val="24"/>
          <w:szCs w:val="24"/>
        </w:rPr>
        <w:t>Arnold</w:t>
      </w:r>
      <w:proofErr w:type="spellEnd"/>
      <w:r w:rsidRPr="00622891">
        <w:rPr>
          <w:rFonts w:ascii="Times New Roman" w:hAnsi="Times New Roman" w:cs="Times New Roman"/>
          <w:sz w:val="24"/>
          <w:szCs w:val="24"/>
        </w:rPr>
        <w:t xml:space="preserve"> </w:t>
      </w:r>
      <w:proofErr w:type="spellStart"/>
      <w:r w:rsidRPr="00622891">
        <w:rPr>
          <w:rFonts w:ascii="Times New Roman" w:hAnsi="Times New Roman" w:cs="Times New Roman"/>
          <w:sz w:val="24"/>
          <w:szCs w:val="24"/>
        </w:rPr>
        <w:t>Harberger</w:t>
      </w:r>
      <w:proofErr w:type="spellEnd"/>
      <w:r w:rsidRPr="00622891">
        <w:rPr>
          <w:rFonts w:ascii="Times New Roman" w:hAnsi="Times New Roman" w:cs="Times New Roman"/>
          <w:sz w:val="24"/>
          <w:szCs w:val="24"/>
        </w:rPr>
        <w:t xml:space="preserve">, en la década del 70. </w:t>
      </w:r>
      <w:proofErr w:type="spellStart"/>
      <w:r w:rsidRPr="00622891">
        <w:rPr>
          <w:rFonts w:ascii="Times New Roman" w:hAnsi="Times New Roman" w:cs="Times New Roman"/>
          <w:sz w:val="24"/>
          <w:szCs w:val="24"/>
        </w:rPr>
        <w:t>Arnold</w:t>
      </w:r>
      <w:proofErr w:type="spellEnd"/>
      <w:r w:rsidRPr="00622891">
        <w:rPr>
          <w:rFonts w:ascii="Times New Roman" w:hAnsi="Times New Roman" w:cs="Times New Roman"/>
          <w:sz w:val="24"/>
          <w:szCs w:val="24"/>
        </w:rPr>
        <w:t xml:space="preserve"> </w:t>
      </w:r>
      <w:proofErr w:type="spellStart"/>
      <w:r w:rsidRPr="00622891">
        <w:rPr>
          <w:rFonts w:ascii="Times New Roman" w:hAnsi="Times New Roman" w:cs="Times New Roman"/>
          <w:sz w:val="24"/>
          <w:szCs w:val="24"/>
        </w:rPr>
        <w:t>Harberger</w:t>
      </w:r>
      <w:proofErr w:type="spellEnd"/>
      <w:r w:rsidRPr="00622891">
        <w:rPr>
          <w:rFonts w:ascii="Times New Roman" w:hAnsi="Times New Roman" w:cs="Times New Roman"/>
          <w:sz w:val="24"/>
          <w:szCs w:val="24"/>
        </w:rPr>
        <w:t xml:space="preserve"> fue el precursor de este modelo en Chile </w:t>
      </w:r>
      <w:r w:rsidR="00622891" w:rsidRPr="00622891">
        <w:rPr>
          <w:rFonts w:ascii="Times New Roman" w:hAnsi="Times New Roman" w:cs="Times New Roman"/>
          <w:sz w:val="24"/>
          <w:szCs w:val="24"/>
        </w:rPr>
        <w:t>(</w:t>
      </w:r>
      <w:proofErr w:type="spellStart"/>
      <w:r w:rsidR="00622891" w:rsidRPr="00622891">
        <w:rPr>
          <w:rFonts w:ascii="Times New Roman" w:hAnsi="Times New Roman" w:cs="Times New Roman"/>
          <w:sz w:val="24"/>
          <w:szCs w:val="24"/>
        </w:rPr>
        <w:t>Trivelli</w:t>
      </w:r>
      <w:proofErr w:type="spellEnd"/>
      <w:r w:rsidR="00622891" w:rsidRPr="00622891">
        <w:rPr>
          <w:rFonts w:ascii="Times New Roman" w:hAnsi="Times New Roman" w:cs="Times New Roman"/>
          <w:sz w:val="24"/>
          <w:szCs w:val="24"/>
        </w:rPr>
        <w:t>, 2011</w:t>
      </w:r>
      <w:r w:rsidRPr="00622891">
        <w:rPr>
          <w:rFonts w:ascii="Times New Roman" w:hAnsi="Times New Roman" w:cs="Times New Roman"/>
          <w:sz w:val="24"/>
          <w:szCs w:val="24"/>
        </w:rPr>
        <w:t>). Como Theodore et. al (2009) lo explican</w:t>
      </w:r>
      <w:r w:rsidRPr="00DF54B0">
        <w:rPr>
          <w:rFonts w:ascii="Times New Roman" w:hAnsi="Times New Roman" w:cs="Times New Roman"/>
          <w:sz w:val="24"/>
          <w:szCs w:val="24"/>
        </w:rPr>
        <w:t xml:space="preserve">, la “ideología neoliberal se sustenta en la creencia de que los mercados abiertos, competitivos y “no regulados”, que no se encuentran sometidos a injerencias estatales ni a las acciones de colectivos sociales, representan el mecanismo óptimo para el desarrollo socioeconómico” Sin embargo, “mientras la ideología neoliberal entiende que los mercados autorregulados generarán una óptima asignación de inversiones y recursos, la práctica política neoliberal ha generado fallas del mercado generalizadas, nuevas formas de polarización social, una grave </w:t>
      </w:r>
      <w:r w:rsidRPr="00DF54B0">
        <w:rPr>
          <w:rFonts w:ascii="Times New Roman" w:hAnsi="Times New Roman" w:cs="Times New Roman"/>
          <w:sz w:val="24"/>
          <w:szCs w:val="24"/>
        </w:rPr>
        <w:lastRenderedPageBreak/>
        <w:t xml:space="preserve">agudización de las desigualdades en el </w:t>
      </w:r>
      <w:r w:rsidRPr="00622891">
        <w:rPr>
          <w:rFonts w:ascii="Times New Roman" w:hAnsi="Times New Roman" w:cs="Times New Roman"/>
          <w:sz w:val="24"/>
          <w:szCs w:val="24"/>
        </w:rPr>
        <w:t>desarrollo espacial, y diversas crisis al interior de las formas institucionalizadas de regulación y gobernanza estatal” (Theodore et. Al, 2009).</w:t>
      </w:r>
    </w:p>
    <w:p w:rsidR="00622891" w:rsidRPr="00DF54B0" w:rsidRDefault="00622891" w:rsidP="00DF54B0">
      <w:pPr>
        <w:spacing w:after="0" w:line="360" w:lineRule="auto"/>
        <w:jc w:val="both"/>
        <w:rPr>
          <w:rFonts w:ascii="Times New Roman" w:hAnsi="Times New Roman" w:cs="Times New Roman"/>
          <w:sz w:val="24"/>
          <w:szCs w:val="24"/>
        </w:rPr>
      </w:pPr>
    </w:p>
    <w:p w:rsidR="00202FEB" w:rsidRPr="00DF54B0" w:rsidRDefault="00202FEB" w:rsidP="00622891">
      <w:pPr>
        <w:pStyle w:val="Ttulo2"/>
        <w:spacing w:before="0" w:line="360" w:lineRule="auto"/>
        <w:rPr>
          <w:szCs w:val="24"/>
        </w:rPr>
      </w:pPr>
      <w:r w:rsidRPr="00DF54B0">
        <w:rPr>
          <w:szCs w:val="24"/>
        </w:rPr>
        <w:t>Especulación, segregación y su relación con el mercado del suelo</w:t>
      </w:r>
    </w:p>
    <w:p w:rsidR="00202FEB" w:rsidRPr="00DF54B0" w:rsidRDefault="00202FEB" w:rsidP="00DF54B0">
      <w:pPr>
        <w:spacing w:after="0" w:line="360" w:lineRule="auto"/>
        <w:jc w:val="both"/>
        <w:rPr>
          <w:rFonts w:ascii="Times New Roman" w:hAnsi="Times New Roman" w:cs="Times New Roman"/>
          <w:sz w:val="24"/>
          <w:szCs w:val="24"/>
        </w:rPr>
      </w:pPr>
      <w:r w:rsidRPr="00DF54B0">
        <w:rPr>
          <w:rFonts w:ascii="Times New Roman" w:hAnsi="Times New Roman" w:cs="Times New Roman"/>
          <w:sz w:val="24"/>
          <w:szCs w:val="24"/>
        </w:rPr>
        <w:t xml:space="preserve">A comienzos de </w:t>
      </w:r>
      <w:r w:rsidRPr="00622891">
        <w:rPr>
          <w:rFonts w:ascii="Times New Roman" w:hAnsi="Times New Roman" w:cs="Times New Roman"/>
          <w:sz w:val="24"/>
          <w:szCs w:val="24"/>
        </w:rPr>
        <w:t>siglo, Sabatini &amp; Arenas (2000) describían</w:t>
      </w:r>
      <w:r w:rsidRPr="00DF54B0">
        <w:rPr>
          <w:rFonts w:ascii="Times New Roman" w:hAnsi="Times New Roman" w:cs="Times New Roman"/>
          <w:sz w:val="24"/>
          <w:szCs w:val="24"/>
        </w:rPr>
        <w:t xml:space="preserve"> la aparición de una nueva resonancia geográfica, lo que definían como “el efecto de perpetuación en el tiempo de un cierto orden o forma espacial más allá de la vigencia del sistema de relaciones urbanas que le dio origen, sea éste económico, cultural o de gestión pública”. Identificando esta resonancia geográfica como la “propagación espacial de la especulación con suelos” evidenciaron una de las externalidades negativas del mercado del suelo que influye fuertemente en los precios de los </w:t>
      </w:r>
      <w:proofErr w:type="spellStart"/>
      <w:r w:rsidRPr="00DF54B0">
        <w:rPr>
          <w:rFonts w:ascii="Times New Roman" w:hAnsi="Times New Roman" w:cs="Times New Roman"/>
          <w:sz w:val="24"/>
          <w:szCs w:val="24"/>
        </w:rPr>
        <w:t>terrenos.La</w:t>
      </w:r>
      <w:proofErr w:type="spellEnd"/>
      <w:r w:rsidRPr="00DF54B0">
        <w:rPr>
          <w:rFonts w:ascii="Times New Roman" w:hAnsi="Times New Roman" w:cs="Times New Roman"/>
          <w:sz w:val="24"/>
          <w:szCs w:val="24"/>
        </w:rPr>
        <w:t xml:space="preserve"> factibilidad de poder urbanizar en diferentes lugares de la ciudad producto de la normativa ha generado un proceso de especulación en el cuál los propietarios retienen los suelos de la oferta hasta que los precios suban, produciendo y reproduciendo condiciones de escasez de suelo que empujan los </w:t>
      </w:r>
      <w:r w:rsidRPr="00622891">
        <w:rPr>
          <w:rFonts w:ascii="Times New Roman" w:hAnsi="Times New Roman" w:cs="Times New Roman"/>
          <w:sz w:val="24"/>
          <w:szCs w:val="24"/>
        </w:rPr>
        <w:t>precios al alza (Sabatini &amp; Arenas, 2000). Así</w:t>
      </w:r>
      <w:r w:rsidRPr="00DF54B0">
        <w:rPr>
          <w:rFonts w:ascii="Times New Roman" w:hAnsi="Times New Roman" w:cs="Times New Roman"/>
          <w:sz w:val="24"/>
          <w:szCs w:val="24"/>
        </w:rPr>
        <w:t xml:space="preserve">, el “precio de un terreno cualquiera está determinado por el potencial inmobiliario del uso de suelo que tenga la mayor disposición a pagar por dicho terreno. Por lo tanto, en la medida que se desarrollan viviendas más caras, que tienen la posibilidad de pagar un mayor precio por los terrenos, los propietarios de los terrenos ubicados en el </w:t>
      </w:r>
      <w:r w:rsidRPr="00622891">
        <w:rPr>
          <w:rFonts w:ascii="Times New Roman" w:hAnsi="Times New Roman" w:cs="Times New Roman"/>
          <w:sz w:val="24"/>
          <w:szCs w:val="24"/>
        </w:rPr>
        <w:t>entorno, que aún están baldíos, tienen una posibilidad real de cobrar un precio más alto por sus terrenos” (</w:t>
      </w:r>
      <w:proofErr w:type="spellStart"/>
      <w:r w:rsidRPr="00622891">
        <w:rPr>
          <w:rFonts w:ascii="Times New Roman" w:hAnsi="Times New Roman" w:cs="Times New Roman"/>
          <w:sz w:val="24"/>
          <w:szCs w:val="24"/>
        </w:rPr>
        <w:t>Trivelli</w:t>
      </w:r>
      <w:proofErr w:type="spellEnd"/>
      <w:r w:rsidRPr="00622891">
        <w:rPr>
          <w:rFonts w:ascii="Times New Roman" w:hAnsi="Times New Roman" w:cs="Times New Roman"/>
          <w:sz w:val="24"/>
          <w:szCs w:val="24"/>
        </w:rPr>
        <w:t>, 2011).</w:t>
      </w:r>
    </w:p>
    <w:p w:rsidR="00202FEB" w:rsidRPr="00DF54B0" w:rsidRDefault="00202FEB" w:rsidP="00DF54B0">
      <w:pPr>
        <w:spacing w:after="0" w:line="360" w:lineRule="auto"/>
        <w:jc w:val="both"/>
        <w:rPr>
          <w:rFonts w:ascii="Times New Roman" w:hAnsi="Times New Roman" w:cs="Times New Roman"/>
          <w:sz w:val="24"/>
          <w:szCs w:val="24"/>
        </w:rPr>
      </w:pPr>
      <w:r w:rsidRPr="00DF54B0">
        <w:rPr>
          <w:rFonts w:ascii="Times New Roman" w:hAnsi="Times New Roman" w:cs="Times New Roman"/>
          <w:sz w:val="24"/>
          <w:szCs w:val="24"/>
        </w:rPr>
        <w:t xml:space="preserve">Producto del alza continua de los precios, a los grupos socioeconómicos de bajos ingresos se les dificulta el acceso a viviendas cercanas al centro de la ciudad, quedando rezagados a las periferias urbanas </w:t>
      </w:r>
      <w:r w:rsidRPr="00622891">
        <w:rPr>
          <w:rFonts w:ascii="Times New Roman" w:hAnsi="Times New Roman" w:cs="Times New Roman"/>
          <w:sz w:val="24"/>
          <w:szCs w:val="24"/>
        </w:rPr>
        <w:t>(Sabatini &amp; Arenas, 2000). De este modo, la “dificultad para construir viviendas sociales en Santiago no está en la falta de suelo, sino en el precio de los terrenos” (</w:t>
      </w:r>
      <w:proofErr w:type="spellStart"/>
      <w:r w:rsidRPr="00622891">
        <w:rPr>
          <w:rFonts w:ascii="Times New Roman" w:hAnsi="Times New Roman" w:cs="Times New Roman"/>
          <w:sz w:val="24"/>
          <w:szCs w:val="24"/>
        </w:rPr>
        <w:t>Trivelli</w:t>
      </w:r>
      <w:proofErr w:type="spellEnd"/>
      <w:r w:rsidRPr="00622891">
        <w:rPr>
          <w:rFonts w:ascii="Times New Roman" w:hAnsi="Times New Roman" w:cs="Times New Roman"/>
          <w:sz w:val="24"/>
          <w:szCs w:val="24"/>
        </w:rPr>
        <w:t>, 2011).</w:t>
      </w:r>
    </w:p>
    <w:p w:rsidR="00A87430" w:rsidRPr="00DF54B0" w:rsidRDefault="00A87430" w:rsidP="00622891">
      <w:pPr>
        <w:pStyle w:val="Ttulo2"/>
        <w:spacing w:before="0" w:line="360" w:lineRule="auto"/>
        <w:rPr>
          <w:szCs w:val="24"/>
          <w:lang w:val="es-ES_tradnl"/>
        </w:rPr>
      </w:pPr>
      <w:r w:rsidRPr="00DF54B0">
        <w:rPr>
          <w:szCs w:val="24"/>
        </w:rPr>
        <w:t>La EAE del PRMS 100</w:t>
      </w:r>
    </w:p>
    <w:p w:rsidR="00C370E0" w:rsidRPr="00DF54B0" w:rsidRDefault="00A87430" w:rsidP="00DF54B0">
      <w:pPr>
        <w:spacing w:after="0" w:line="360" w:lineRule="auto"/>
        <w:jc w:val="both"/>
        <w:rPr>
          <w:rFonts w:ascii="Times New Roman" w:eastAsia="Times New Roman" w:hAnsi="Times New Roman" w:cs="Times New Roman"/>
          <w:color w:val="000000"/>
          <w:sz w:val="24"/>
          <w:szCs w:val="24"/>
          <w:lang w:eastAsia="es-CL"/>
        </w:rPr>
      </w:pPr>
      <w:r w:rsidRPr="00DF54B0">
        <w:rPr>
          <w:rFonts w:ascii="Times New Roman" w:eastAsia="Times New Roman" w:hAnsi="Times New Roman" w:cs="Times New Roman"/>
          <w:color w:val="000000"/>
          <w:sz w:val="24"/>
          <w:szCs w:val="24"/>
          <w:lang w:eastAsia="es-CL"/>
        </w:rPr>
        <w:t xml:space="preserve">La aplicación de la EAE al PRMS 100 se realiza de forma ex-post debido a que el Plan se encontraba aprobado al momento de comenzar esta investigación. La metodología utilizada se encuentra descrita por el </w:t>
      </w:r>
      <w:r w:rsidRPr="00DF54B0">
        <w:rPr>
          <w:rFonts w:ascii="Times New Roman" w:eastAsia="Times New Roman" w:hAnsi="Times New Roman" w:cs="Times New Roman"/>
          <w:color w:val="000000"/>
          <w:sz w:val="24"/>
          <w:szCs w:val="24"/>
          <w:lang w:eastAsia="es-CL"/>
        </w:rPr>
        <w:t xml:space="preserve">Ministerio del Medio Ambiente </w:t>
      </w:r>
      <w:r w:rsidRPr="00DF54B0">
        <w:rPr>
          <w:rFonts w:ascii="Times New Roman" w:eastAsia="Times New Roman" w:hAnsi="Times New Roman" w:cs="Times New Roman"/>
          <w:color w:val="000000"/>
          <w:sz w:val="24"/>
          <w:szCs w:val="24"/>
          <w:lang w:eastAsia="es-CL"/>
        </w:rPr>
        <w:t>en la Guía de orientación para el uso de la evaluación</w:t>
      </w:r>
      <w:r w:rsidR="00C370E0" w:rsidRPr="00DF54B0">
        <w:rPr>
          <w:rFonts w:ascii="Times New Roman" w:eastAsia="Times New Roman" w:hAnsi="Times New Roman" w:cs="Times New Roman"/>
          <w:color w:val="000000"/>
          <w:sz w:val="24"/>
          <w:szCs w:val="24"/>
          <w:lang w:eastAsia="es-CL"/>
        </w:rPr>
        <w:t xml:space="preserve"> ambiental estratégica en Chile, la que aborda el desarrollo de las siguientes etapa</w:t>
      </w:r>
      <w:r w:rsidR="008D3DF8">
        <w:rPr>
          <w:rFonts w:ascii="Times New Roman" w:eastAsia="Times New Roman" w:hAnsi="Times New Roman" w:cs="Times New Roman"/>
          <w:color w:val="000000"/>
          <w:sz w:val="24"/>
          <w:szCs w:val="24"/>
          <w:lang w:eastAsia="es-CL"/>
        </w:rPr>
        <w:t>s (MMA, 2015):</w:t>
      </w:r>
    </w:p>
    <w:p w:rsidR="00C370E0" w:rsidRPr="00DF54B0" w:rsidRDefault="00C370E0" w:rsidP="00DF54B0">
      <w:pPr>
        <w:pStyle w:val="Prrafodelista"/>
        <w:numPr>
          <w:ilvl w:val="0"/>
          <w:numId w:val="2"/>
        </w:numPr>
        <w:tabs>
          <w:tab w:val="left" w:pos="142"/>
        </w:tabs>
        <w:spacing w:before="0" w:after="0" w:line="360" w:lineRule="auto"/>
        <w:ind w:left="0" w:firstLine="0"/>
        <w:rPr>
          <w:rFonts w:eastAsia="Times New Roman"/>
          <w:color w:val="000000"/>
          <w:szCs w:val="24"/>
          <w:lang w:eastAsia="es-CL"/>
        </w:rPr>
      </w:pPr>
      <w:r w:rsidRPr="00DF54B0">
        <w:rPr>
          <w:rFonts w:eastAsia="Times New Roman"/>
          <w:color w:val="000000"/>
          <w:szCs w:val="24"/>
          <w:lang w:eastAsia="es-CL"/>
        </w:rPr>
        <w:t xml:space="preserve">Etapa de Contexto y Enfoque: Se aborda el problema de decisión, el objeto de evaluación, los elementos estratégicos de la decisión, el marco del problema, análisis de actores clave, en otros. El objetivo es focalizar la EAE en los factores críticos de decisión (FCD), que serán los aspectos importantes relacionados con el ambiente y la sustentabilidad. </w:t>
      </w:r>
    </w:p>
    <w:p w:rsidR="008D3DF8" w:rsidRPr="008D3DF8" w:rsidRDefault="00C370E0" w:rsidP="008D3DF8">
      <w:pPr>
        <w:pStyle w:val="Prrafodelista"/>
        <w:numPr>
          <w:ilvl w:val="0"/>
          <w:numId w:val="2"/>
        </w:numPr>
        <w:tabs>
          <w:tab w:val="left" w:pos="142"/>
        </w:tabs>
        <w:spacing w:before="0" w:after="0" w:line="360" w:lineRule="auto"/>
        <w:ind w:left="0" w:firstLine="0"/>
        <w:rPr>
          <w:rFonts w:eastAsia="Times New Roman"/>
          <w:color w:val="000000"/>
          <w:szCs w:val="24"/>
          <w:lang w:eastAsia="es-CL"/>
        </w:rPr>
      </w:pPr>
      <w:r w:rsidRPr="00DF54B0">
        <w:rPr>
          <w:rFonts w:eastAsia="Times New Roman"/>
          <w:color w:val="000000"/>
          <w:szCs w:val="24"/>
          <w:lang w:eastAsia="es-CL"/>
        </w:rPr>
        <w:lastRenderedPageBreak/>
        <w:t>Etapa de Diagnóstico Ambiental Estratégico (DAE): se caracterizan y analizan las grandes tendencias de</w:t>
      </w:r>
      <w:r w:rsidR="008D3DF8">
        <w:rPr>
          <w:rFonts w:eastAsia="Times New Roman"/>
          <w:color w:val="000000"/>
          <w:szCs w:val="24"/>
          <w:lang w:eastAsia="es-CL"/>
        </w:rPr>
        <w:t xml:space="preserve"> los FCD,</w:t>
      </w:r>
      <w:r w:rsidRPr="00DF54B0">
        <w:rPr>
          <w:rFonts w:eastAsia="Times New Roman"/>
          <w:color w:val="000000"/>
          <w:szCs w:val="24"/>
          <w:lang w:eastAsia="es-CL"/>
        </w:rPr>
        <w:t xml:space="preserve"> se realiza un análisis de grandes tendencias de FCD. </w:t>
      </w:r>
      <w:r w:rsidR="008D3DF8" w:rsidRPr="008D3DF8">
        <w:rPr>
          <w:szCs w:val="24"/>
        </w:rPr>
        <w:t xml:space="preserve">Las relaciones entre las dinámicas territoriales y los problemas ambientales se modelarán mediante un mapa sistémico elaborado de acuerdo a la metodología descrita por González (2011). </w:t>
      </w:r>
    </w:p>
    <w:p w:rsidR="00C370E0" w:rsidRDefault="00C370E0" w:rsidP="00DF54B0">
      <w:pPr>
        <w:pStyle w:val="Prrafodelista"/>
        <w:numPr>
          <w:ilvl w:val="0"/>
          <w:numId w:val="2"/>
        </w:numPr>
        <w:tabs>
          <w:tab w:val="left" w:pos="142"/>
        </w:tabs>
        <w:spacing w:before="0" w:after="0" w:line="360" w:lineRule="auto"/>
        <w:ind w:left="0" w:firstLine="0"/>
        <w:rPr>
          <w:rFonts w:eastAsia="Times New Roman"/>
          <w:color w:val="000000"/>
          <w:szCs w:val="24"/>
          <w:lang w:eastAsia="es-CL"/>
        </w:rPr>
      </w:pPr>
      <w:r w:rsidRPr="008D3DF8">
        <w:rPr>
          <w:rFonts w:eastAsia="Times New Roman"/>
          <w:color w:val="000000"/>
          <w:szCs w:val="24"/>
          <w:lang w:eastAsia="es-CL"/>
        </w:rPr>
        <w:t>Etapa de</w:t>
      </w:r>
      <w:r w:rsidR="008D3DF8">
        <w:rPr>
          <w:rFonts w:eastAsia="Times New Roman"/>
          <w:color w:val="000000"/>
          <w:szCs w:val="24"/>
          <w:lang w:eastAsia="es-CL"/>
        </w:rPr>
        <w:t xml:space="preserve"> </w:t>
      </w:r>
      <w:r w:rsidRPr="008D3DF8">
        <w:rPr>
          <w:rFonts w:eastAsia="Times New Roman"/>
          <w:color w:val="000000"/>
          <w:szCs w:val="24"/>
          <w:lang w:eastAsia="es-CL"/>
        </w:rPr>
        <w:t xml:space="preserve">Evaluación y Directrices: se evalúan los efectos ambientales (riesgos y oportunidades) y de sustentabilidad de la opción de desarrollo. </w:t>
      </w:r>
    </w:p>
    <w:p w:rsidR="008D3DF8" w:rsidRPr="008D3DF8" w:rsidRDefault="008D3DF8" w:rsidP="008D3DF8">
      <w:pPr>
        <w:pStyle w:val="Prrafodelista"/>
        <w:tabs>
          <w:tab w:val="left" w:pos="142"/>
        </w:tabs>
        <w:spacing w:before="0" w:after="0" w:line="360" w:lineRule="auto"/>
        <w:ind w:left="0"/>
        <w:rPr>
          <w:rFonts w:eastAsia="Times New Roman"/>
          <w:color w:val="000000"/>
          <w:szCs w:val="24"/>
          <w:lang w:eastAsia="es-CL"/>
        </w:rPr>
      </w:pPr>
    </w:p>
    <w:p w:rsidR="00B75D2B" w:rsidRPr="00DF54B0" w:rsidRDefault="00B75D2B" w:rsidP="00DF54B0">
      <w:pPr>
        <w:pStyle w:val="Ttulo2"/>
        <w:spacing w:before="0" w:line="360" w:lineRule="auto"/>
        <w:rPr>
          <w:szCs w:val="24"/>
          <w:lang w:val="es-ES_tradnl"/>
        </w:rPr>
      </w:pPr>
      <w:r w:rsidRPr="00DF54B0">
        <w:rPr>
          <w:szCs w:val="24"/>
        </w:rPr>
        <w:t>El modelo urbano de escala metropolitana</w:t>
      </w:r>
    </w:p>
    <w:p w:rsidR="00B63B34" w:rsidRDefault="00223214" w:rsidP="00B63B34">
      <w:pPr>
        <w:keepNext/>
        <w:spacing w:after="0" w:line="360" w:lineRule="auto"/>
        <w:jc w:val="center"/>
      </w:pPr>
      <w:r w:rsidRPr="00DF54B0">
        <w:rPr>
          <w:rFonts w:ascii="Times New Roman" w:hAnsi="Times New Roman" w:cs="Times New Roman"/>
          <w:noProof/>
          <w:sz w:val="24"/>
          <w:szCs w:val="24"/>
          <w:lang w:eastAsia="es-CL"/>
        </w:rPr>
        <w:drawing>
          <wp:inline distT="0" distB="0" distL="0" distR="0" wp14:anchorId="738119EA" wp14:editId="3ACC0B89">
            <wp:extent cx="3784600" cy="3095625"/>
            <wp:effectExtent l="19050" t="19050" r="25400" b="285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9">
                      <a:extLst>
                        <a:ext uri="{28A0092B-C50C-407E-A947-70E740481C1C}">
                          <a14:useLocalDpi xmlns:a14="http://schemas.microsoft.com/office/drawing/2010/main" val="0"/>
                        </a:ext>
                      </a:extLst>
                    </a:blip>
                    <a:srcRect r="1401"/>
                    <a:stretch>
                      <a:fillRect/>
                    </a:stretch>
                  </pic:blipFill>
                  <pic:spPr bwMode="auto">
                    <a:xfrm>
                      <a:off x="0" y="0"/>
                      <a:ext cx="3784600" cy="3095625"/>
                    </a:xfrm>
                    <a:prstGeom prst="rect">
                      <a:avLst/>
                    </a:prstGeom>
                    <a:noFill/>
                    <a:ln w="9525" cmpd="sng">
                      <a:solidFill>
                        <a:srgbClr val="000000"/>
                      </a:solidFill>
                      <a:miter lim="800000"/>
                      <a:headEnd/>
                      <a:tailEnd/>
                    </a:ln>
                    <a:effectLst/>
                  </pic:spPr>
                </pic:pic>
              </a:graphicData>
            </a:graphic>
          </wp:inline>
        </w:drawing>
      </w:r>
    </w:p>
    <w:p w:rsidR="00B75D2B" w:rsidRDefault="00B63B34" w:rsidP="00B63B34">
      <w:pPr>
        <w:pStyle w:val="Epgrafe"/>
        <w:jc w:val="center"/>
        <w:rPr>
          <w:szCs w:val="24"/>
        </w:rPr>
      </w:pPr>
      <w:r>
        <w:t xml:space="preserve">Figura </w:t>
      </w:r>
      <w:r>
        <w:fldChar w:fldCharType="begin"/>
      </w:r>
      <w:r>
        <w:instrText xml:space="preserve"> SEQ Figura \* ARABIC </w:instrText>
      </w:r>
      <w:r>
        <w:fldChar w:fldCharType="separate"/>
      </w:r>
      <w:r w:rsidR="00255765">
        <w:rPr>
          <w:noProof/>
        </w:rPr>
        <w:t>1</w:t>
      </w:r>
      <w:r>
        <w:fldChar w:fldCharType="end"/>
      </w:r>
      <w:r>
        <w:t xml:space="preserve">. Área de estudio PRMS 100. Fuente: </w:t>
      </w:r>
      <w:r w:rsidRPr="00DF54B0">
        <w:rPr>
          <w:rFonts w:eastAsia="Times New Roman"/>
          <w:szCs w:val="24"/>
          <w:lang w:val="es-CL" w:eastAsia="es-CL"/>
        </w:rPr>
        <w:t>(</w:t>
      </w:r>
      <w:r w:rsidRPr="00DF54B0">
        <w:rPr>
          <w:szCs w:val="24"/>
        </w:rPr>
        <w:t>SEREMI V. y U., 2013).</w:t>
      </w:r>
    </w:p>
    <w:p w:rsidR="00B63B34" w:rsidRPr="00B63B34" w:rsidRDefault="00B63B34" w:rsidP="00B63B34">
      <w:pPr>
        <w:rPr>
          <w:lang w:val="es-ES"/>
        </w:rPr>
      </w:pPr>
    </w:p>
    <w:p w:rsidR="00B63B34" w:rsidRDefault="00C370E0" w:rsidP="00DF54B0">
      <w:pPr>
        <w:spacing w:after="0" w:line="360" w:lineRule="auto"/>
        <w:jc w:val="both"/>
        <w:rPr>
          <w:rFonts w:ascii="Times New Roman" w:hAnsi="Times New Roman" w:cs="Times New Roman"/>
          <w:color w:val="000000"/>
          <w:sz w:val="24"/>
          <w:szCs w:val="24"/>
        </w:rPr>
      </w:pPr>
      <w:r w:rsidRPr="00DF54B0">
        <w:rPr>
          <w:rFonts w:ascii="Times New Roman" w:hAnsi="Times New Roman" w:cs="Times New Roman"/>
          <w:color w:val="000000"/>
          <w:sz w:val="24"/>
          <w:szCs w:val="24"/>
        </w:rPr>
        <w:t xml:space="preserve">El área de estudio corresponde al territorio regulado por el PRMS de 1994 y que se actualiza con la modificación N°100 del PRMS. Este territorio, también denominado Área Metropolitana de Santiago (AMS) comprende 37 comunas, de las cuales 32 pertenecen a la Provincia de Santiago, 3 a la Provincia de Cordillera (Puente Alto, </w:t>
      </w:r>
      <w:proofErr w:type="spellStart"/>
      <w:r w:rsidRPr="00DF54B0">
        <w:rPr>
          <w:rFonts w:ascii="Times New Roman" w:hAnsi="Times New Roman" w:cs="Times New Roman"/>
          <w:color w:val="000000"/>
          <w:sz w:val="24"/>
          <w:szCs w:val="24"/>
        </w:rPr>
        <w:t>Pirque</w:t>
      </w:r>
      <w:proofErr w:type="spellEnd"/>
      <w:r w:rsidRPr="00DF54B0">
        <w:rPr>
          <w:rFonts w:ascii="Times New Roman" w:hAnsi="Times New Roman" w:cs="Times New Roman"/>
          <w:color w:val="000000"/>
          <w:sz w:val="24"/>
          <w:szCs w:val="24"/>
        </w:rPr>
        <w:t xml:space="preserve"> y San José de Maipo) y 2 a la Provincia del Maipo (San Bernardo y Calera de Tango) </w:t>
      </w:r>
      <w:r w:rsidRPr="00DF54B0">
        <w:rPr>
          <w:rFonts w:ascii="Times New Roman" w:eastAsia="Times New Roman" w:hAnsi="Times New Roman" w:cs="Times New Roman"/>
          <w:color w:val="000000"/>
          <w:sz w:val="24"/>
          <w:szCs w:val="24"/>
          <w:lang w:eastAsia="es-CL"/>
        </w:rPr>
        <w:t xml:space="preserve"> (</w:t>
      </w:r>
      <w:r w:rsidRPr="00DF54B0">
        <w:rPr>
          <w:rFonts w:ascii="Times New Roman" w:hAnsi="Times New Roman" w:cs="Times New Roman"/>
          <w:color w:val="000000"/>
          <w:sz w:val="24"/>
          <w:szCs w:val="24"/>
        </w:rPr>
        <w:t>SEREMI V. y U., 2013).</w:t>
      </w:r>
      <w:r w:rsidR="00C67F14" w:rsidRPr="00DF54B0">
        <w:rPr>
          <w:rFonts w:ascii="Times New Roman" w:hAnsi="Times New Roman" w:cs="Times New Roman"/>
          <w:color w:val="000000"/>
          <w:sz w:val="24"/>
          <w:szCs w:val="24"/>
        </w:rPr>
        <w:t xml:space="preserve"> </w:t>
      </w:r>
    </w:p>
    <w:p w:rsidR="00061936" w:rsidRPr="00B63B34" w:rsidRDefault="00C67F14" w:rsidP="00DF54B0">
      <w:pPr>
        <w:spacing w:after="0" w:line="360" w:lineRule="auto"/>
        <w:jc w:val="both"/>
        <w:rPr>
          <w:rFonts w:ascii="Times New Roman" w:hAnsi="Times New Roman" w:cs="Times New Roman"/>
          <w:sz w:val="24"/>
          <w:szCs w:val="24"/>
          <w:lang w:val="es-ES_tradnl"/>
        </w:rPr>
      </w:pPr>
      <w:r w:rsidRPr="00DF54B0">
        <w:rPr>
          <w:rFonts w:ascii="Times New Roman" w:hAnsi="Times New Roman" w:cs="Times New Roman"/>
          <w:color w:val="000000"/>
          <w:sz w:val="24"/>
          <w:szCs w:val="24"/>
        </w:rPr>
        <w:t>En el AMS s</w:t>
      </w:r>
      <w:bookmarkStart w:id="0" w:name="_Toc397951234"/>
      <w:bookmarkStart w:id="1" w:name="_Toc436677313"/>
      <w:r w:rsidR="00061936" w:rsidRPr="00DF54B0">
        <w:rPr>
          <w:rFonts w:ascii="Times New Roman" w:eastAsia="Times New Roman" w:hAnsi="Times New Roman" w:cs="Times New Roman"/>
          <w:sz w:val="24"/>
          <w:szCs w:val="24"/>
          <w:lang w:val="es-ES_tradnl" w:eastAsia="es-ES"/>
        </w:rPr>
        <w:t>e identifican cuatro procesos relevantes competentes a la escala y acción del instrumento: Urbanización</w:t>
      </w:r>
      <w:r w:rsidR="00061936" w:rsidRPr="00DF54B0">
        <w:rPr>
          <w:rStyle w:val="Refdenotaalpie"/>
          <w:rFonts w:ascii="Times New Roman" w:eastAsia="Times New Roman" w:hAnsi="Times New Roman" w:cs="Times New Roman"/>
          <w:sz w:val="24"/>
          <w:szCs w:val="24"/>
          <w:lang w:val="es-ES_tradnl" w:eastAsia="es-ES"/>
        </w:rPr>
        <w:footnoteReference w:id="1"/>
      </w:r>
      <w:r w:rsidR="00061936" w:rsidRPr="00DF54B0">
        <w:rPr>
          <w:rFonts w:ascii="Times New Roman" w:eastAsia="Times New Roman" w:hAnsi="Times New Roman" w:cs="Times New Roman"/>
          <w:sz w:val="24"/>
          <w:szCs w:val="24"/>
          <w:lang w:val="es-ES_tradnl" w:eastAsia="es-ES"/>
        </w:rPr>
        <w:t>, Gestión municipal, Desarrollo de Capital social</w:t>
      </w:r>
      <w:r w:rsidR="00061936" w:rsidRPr="00DF54B0">
        <w:rPr>
          <w:rStyle w:val="Refdenotaalpie"/>
          <w:rFonts w:ascii="Times New Roman" w:eastAsia="Times New Roman" w:hAnsi="Times New Roman" w:cs="Times New Roman"/>
          <w:sz w:val="24"/>
          <w:szCs w:val="24"/>
          <w:lang w:val="es-ES_tradnl" w:eastAsia="es-ES"/>
        </w:rPr>
        <w:footnoteReference w:id="2"/>
      </w:r>
      <w:r w:rsidR="00061936" w:rsidRPr="00DF54B0">
        <w:rPr>
          <w:rFonts w:ascii="Times New Roman" w:eastAsia="Times New Roman" w:hAnsi="Times New Roman" w:cs="Times New Roman"/>
          <w:sz w:val="24"/>
          <w:szCs w:val="24"/>
          <w:lang w:val="es-ES_tradnl" w:eastAsia="es-ES"/>
        </w:rPr>
        <w:t xml:space="preserve"> y Disponibilidad </w:t>
      </w:r>
      <w:r w:rsidR="00061936" w:rsidRPr="00DF54B0">
        <w:rPr>
          <w:rFonts w:ascii="Times New Roman" w:eastAsia="Times New Roman" w:hAnsi="Times New Roman" w:cs="Times New Roman"/>
          <w:sz w:val="24"/>
          <w:szCs w:val="24"/>
          <w:lang w:val="es-ES_tradnl" w:eastAsia="es-ES"/>
        </w:rPr>
        <w:lastRenderedPageBreak/>
        <w:t xml:space="preserve">de Servicios </w:t>
      </w:r>
      <w:proofErr w:type="spellStart"/>
      <w:r w:rsidR="00061936" w:rsidRPr="00DF54B0">
        <w:rPr>
          <w:rFonts w:ascii="Times New Roman" w:eastAsia="Times New Roman" w:hAnsi="Times New Roman" w:cs="Times New Roman"/>
          <w:sz w:val="24"/>
          <w:szCs w:val="24"/>
          <w:lang w:val="es-ES_tradnl" w:eastAsia="es-ES"/>
        </w:rPr>
        <w:t>Ecosistémicos</w:t>
      </w:r>
      <w:proofErr w:type="spellEnd"/>
      <w:r w:rsidR="00061936" w:rsidRPr="00DF54B0">
        <w:rPr>
          <w:rStyle w:val="Refdenotaalpie"/>
          <w:rFonts w:ascii="Times New Roman" w:eastAsia="Times New Roman" w:hAnsi="Times New Roman" w:cs="Times New Roman"/>
          <w:sz w:val="24"/>
          <w:szCs w:val="24"/>
          <w:lang w:val="es-ES_tradnl" w:eastAsia="es-ES"/>
        </w:rPr>
        <w:footnoteReference w:id="3"/>
      </w:r>
      <w:r w:rsidR="00061936" w:rsidRPr="00DF54B0">
        <w:rPr>
          <w:rFonts w:ascii="Times New Roman" w:eastAsia="Times New Roman" w:hAnsi="Times New Roman" w:cs="Times New Roman"/>
          <w:sz w:val="24"/>
          <w:szCs w:val="24"/>
          <w:lang w:val="es-ES_tradnl" w:eastAsia="es-ES"/>
        </w:rPr>
        <w:t xml:space="preserve">. A continuación se describe el significado y la valoración para el modelo de cada </w:t>
      </w:r>
      <w:r w:rsidR="00061936" w:rsidRPr="00B63B34">
        <w:rPr>
          <w:rFonts w:ascii="Times New Roman" w:eastAsia="Times New Roman" w:hAnsi="Times New Roman" w:cs="Times New Roman"/>
          <w:sz w:val="24"/>
          <w:szCs w:val="24"/>
          <w:lang w:val="es-ES_tradnl" w:eastAsia="es-ES"/>
        </w:rPr>
        <w:t>relación</w:t>
      </w:r>
      <w:r w:rsidR="00B63B34" w:rsidRPr="00B63B34">
        <w:rPr>
          <w:rFonts w:ascii="Times New Roman" w:eastAsia="Times New Roman" w:hAnsi="Times New Roman" w:cs="Times New Roman"/>
          <w:sz w:val="24"/>
          <w:szCs w:val="24"/>
          <w:lang w:val="es-ES_tradnl" w:eastAsia="es-ES"/>
        </w:rPr>
        <w:t xml:space="preserve"> (Ver </w:t>
      </w:r>
      <w:r w:rsidR="00B63B34" w:rsidRPr="00B63B34">
        <w:rPr>
          <w:rFonts w:ascii="Times New Roman" w:eastAsia="Times New Roman" w:hAnsi="Times New Roman" w:cs="Times New Roman"/>
          <w:sz w:val="24"/>
          <w:szCs w:val="24"/>
          <w:lang w:val="es-ES_tradnl" w:eastAsia="es-ES"/>
        </w:rPr>
        <w:fldChar w:fldCharType="begin"/>
      </w:r>
      <w:r w:rsidR="00B63B34" w:rsidRPr="00B63B34">
        <w:rPr>
          <w:rFonts w:ascii="Times New Roman" w:eastAsia="Times New Roman" w:hAnsi="Times New Roman" w:cs="Times New Roman"/>
          <w:sz w:val="24"/>
          <w:szCs w:val="24"/>
          <w:lang w:val="es-ES_tradnl" w:eastAsia="es-ES"/>
        </w:rPr>
        <w:instrText xml:space="preserve"> REF _Ref490859683 \h </w:instrText>
      </w:r>
      <w:r w:rsidR="00B63B34" w:rsidRPr="00B63B34">
        <w:rPr>
          <w:rFonts w:ascii="Times New Roman" w:eastAsia="Times New Roman" w:hAnsi="Times New Roman" w:cs="Times New Roman"/>
          <w:sz w:val="24"/>
          <w:szCs w:val="24"/>
          <w:lang w:val="es-ES_tradnl" w:eastAsia="es-ES"/>
        </w:rPr>
      </w:r>
      <w:r w:rsidR="00B63B34" w:rsidRPr="00B63B34">
        <w:rPr>
          <w:rFonts w:ascii="Times New Roman" w:eastAsia="Times New Roman" w:hAnsi="Times New Roman" w:cs="Times New Roman"/>
          <w:sz w:val="24"/>
          <w:szCs w:val="24"/>
          <w:lang w:val="es-ES_tradnl" w:eastAsia="es-ES"/>
        </w:rPr>
        <w:instrText xml:space="preserve"> \* MERGEFORMAT </w:instrText>
      </w:r>
      <w:r w:rsidR="00B63B34" w:rsidRPr="00B63B34">
        <w:rPr>
          <w:rFonts w:ascii="Times New Roman" w:eastAsia="Times New Roman" w:hAnsi="Times New Roman" w:cs="Times New Roman"/>
          <w:sz w:val="24"/>
          <w:szCs w:val="24"/>
          <w:lang w:val="es-ES_tradnl" w:eastAsia="es-ES"/>
        </w:rPr>
        <w:fldChar w:fldCharType="separate"/>
      </w:r>
      <w:r w:rsidR="00B63B34" w:rsidRPr="00B63B34">
        <w:rPr>
          <w:rFonts w:ascii="Times New Roman" w:hAnsi="Times New Roman" w:cs="Times New Roman"/>
          <w:sz w:val="24"/>
          <w:szCs w:val="24"/>
        </w:rPr>
        <w:t xml:space="preserve">Figura </w:t>
      </w:r>
      <w:r w:rsidR="00B63B34" w:rsidRPr="00B63B34">
        <w:rPr>
          <w:rFonts w:ascii="Times New Roman" w:hAnsi="Times New Roman" w:cs="Times New Roman"/>
          <w:noProof/>
          <w:sz w:val="24"/>
          <w:szCs w:val="24"/>
        </w:rPr>
        <w:t>2</w:t>
      </w:r>
      <w:r w:rsidR="00B63B34" w:rsidRPr="00B63B34">
        <w:rPr>
          <w:rFonts w:ascii="Times New Roman" w:eastAsia="Times New Roman" w:hAnsi="Times New Roman" w:cs="Times New Roman"/>
          <w:sz w:val="24"/>
          <w:szCs w:val="24"/>
          <w:lang w:val="es-ES_tradnl" w:eastAsia="es-ES"/>
        </w:rPr>
        <w:fldChar w:fldCharType="end"/>
      </w:r>
      <w:r w:rsidR="00B63B34" w:rsidRPr="00B63B34">
        <w:rPr>
          <w:rFonts w:ascii="Times New Roman" w:eastAsia="Times New Roman" w:hAnsi="Times New Roman" w:cs="Times New Roman"/>
          <w:sz w:val="24"/>
          <w:szCs w:val="24"/>
          <w:lang w:val="es-ES_tradnl" w:eastAsia="es-ES"/>
        </w:rPr>
        <w:t>)</w:t>
      </w:r>
      <w:r w:rsidR="00061936" w:rsidRPr="00B63B34">
        <w:rPr>
          <w:rFonts w:ascii="Times New Roman" w:eastAsia="Times New Roman" w:hAnsi="Times New Roman" w:cs="Times New Roman"/>
          <w:sz w:val="24"/>
          <w:szCs w:val="24"/>
          <w:lang w:val="es-ES_tradnl" w:eastAsia="es-ES"/>
        </w:rPr>
        <w:t>:</w:t>
      </w:r>
    </w:p>
    <w:p w:rsidR="00B63B34" w:rsidRDefault="00B63B34" w:rsidP="00B63B34">
      <w:pPr>
        <w:keepNext/>
        <w:spacing w:after="0" w:line="360" w:lineRule="auto"/>
        <w:jc w:val="both"/>
      </w:pPr>
      <w:r w:rsidRPr="00B63B34">
        <w:rPr>
          <w:noProof/>
          <w:bdr w:val="single" w:sz="4" w:space="0" w:color="auto"/>
          <w:lang w:eastAsia="es-CL"/>
        </w:rPr>
        <w:drawing>
          <wp:inline distT="0" distB="0" distL="0" distR="0" wp14:anchorId="01121F1C" wp14:editId="2F403623">
            <wp:extent cx="5630853" cy="4136065"/>
            <wp:effectExtent l="0" t="0" r="825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3296" t="3717" r="13006"/>
                    <a:stretch/>
                  </pic:blipFill>
                  <pic:spPr bwMode="auto">
                    <a:xfrm>
                      <a:off x="0" y="0"/>
                      <a:ext cx="5645306" cy="4146681"/>
                    </a:xfrm>
                    <a:prstGeom prst="rect">
                      <a:avLst/>
                    </a:prstGeom>
                    <a:ln>
                      <a:noFill/>
                    </a:ln>
                    <a:extLst>
                      <a:ext uri="{53640926-AAD7-44D8-BBD7-CCE9431645EC}">
                        <a14:shadowObscured xmlns:a14="http://schemas.microsoft.com/office/drawing/2010/main"/>
                      </a:ext>
                    </a:extLst>
                  </pic:spPr>
                </pic:pic>
              </a:graphicData>
            </a:graphic>
          </wp:inline>
        </w:drawing>
      </w:r>
    </w:p>
    <w:p w:rsidR="00061936" w:rsidRPr="00DF54B0" w:rsidRDefault="00B63B34" w:rsidP="00B63B34">
      <w:pPr>
        <w:pStyle w:val="Epgrafe"/>
        <w:rPr>
          <w:rFonts w:eastAsia="Times New Roman"/>
          <w:szCs w:val="24"/>
          <w:u w:val="single"/>
          <w:lang w:val="es-ES_tradnl" w:eastAsia="es-ES"/>
        </w:rPr>
      </w:pPr>
      <w:bookmarkStart w:id="2" w:name="_Ref490859683"/>
      <w:r>
        <w:t xml:space="preserve">Figura </w:t>
      </w:r>
      <w:r>
        <w:fldChar w:fldCharType="begin"/>
      </w:r>
      <w:r>
        <w:instrText xml:space="preserve"> SEQ Figura \* ARABIC </w:instrText>
      </w:r>
      <w:r>
        <w:fldChar w:fldCharType="separate"/>
      </w:r>
      <w:r w:rsidR="00255765">
        <w:rPr>
          <w:noProof/>
        </w:rPr>
        <w:t>2</w:t>
      </w:r>
      <w:r>
        <w:fldChar w:fldCharType="end"/>
      </w:r>
      <w:bookmarkEnd w:id="2"/>
      <w:r>
        <w:t>. Modelo de desarrollo urbano de escala y competencia metropolitana. Fuente: Elaboración propia</w:t>
      </w:r>
    </w:p>
    <w:p w:rsidR="00061936" w:rsidRPr="00DF54B0" w:rsidRDefault="00061936" w:rsidP="00DF54B0">
      <w:pPr>
        <w:spacing w:after="0" w:line="360" w:lineRule="auto"/>
        <w:jc w:val="both"/>
        <w:rPr>
          <w:rFonts w:ascii="Times New Roman" w:eastAsia="Times New Roman" w:hAnsi="Times New Roman" w:cs="Times New Roman"/>
          <w:sz w:val="24"/>
          <w:szCs w:val="24"/>
          <w:lang w:val="es-ES_tradnl" w:eastAsia="es-ES"/>
        </w:rPr>
      </w:pPr>
    </w:p>
    <w:p w:rsidR="00061936" w:rsidRPr="00DF54B0" w:rsidRDefault="00061936" w:rsidP="00DF54B0">
      <w:pPr>
        <w:spacing w:after="0" w:line="360" w:lineRule="auto"/>
        <w:jc w:val="both"/>
        <w:rPr>
          <w:rFonts w:ascii="Times New Roman" w:eastAsia="Times New Roman" w:hAnsi="Times New Roman" w:cs="Times New Roman"/>
          <w:color w:val="000000"/>
          <w:sz w:val="24"/>
          <w:szCs w:val="24"/>
          <w:lang w:eastAsia="es-ES"/>
        </w:rPr>
      </w:pPr>
      <w:r w:rsidRPr="00DF54B0">
        <w:rPr>
          <w:rFonts w:ascii="Times New Roman" w:hAnsi="Times New Roman" w:cs="Times New Roman"/>
          <w:sz w:val="24"/>
          <w:szCs w:val="24"/>
          <w:u w:val="single"/>
        </w:rPr>
        <w:t>S1P1: Normativa que regula la urbanización:</w:t>
      </w:r>
      <w:r w:rsidRPr="00DF54B0">
        <w:rPr>
          <w:rFonts w:ascii="Times New Roman" w:eastAsia="Times New Roman" w:hAnsi="Times New Roman" w:cs="Times New Roman"/>
          <w:color w:val="000000"/>
          <w:sz w:val="24"/>
          <w:szCs w:val="24"/>
          <w:lang w:eastAsia="es-ES"/>
        </w:rPr>
        <w:t xml:space="preserve"> A medida que aumenta la población de la Metrópoli se genera un mayor requerimiento de obras de urbanización. Tradicionalmente los cambios en los límites urbanos han sido justificados por el aumento de la población. Estas obras deberán desarrollarse siguiendo las indicaciones de los instrumentos normativos que las regulan. La urbanización de escala Metropolitana es regulada por el Plan Regulador Metropolitano; sin embargo, el proceso de urbanización también se lleva a cabo utilizando </w:t>
      </w:r>
      <w:r w:rsidRPr="00DF54B0">
        <w:rPr>
          <w:rFonts w:ascii="Times New Roman" w:eastAsia="Times New Roman" w:hAnsi="Times New Roman" w:cs="Times New Roman"/>
          <w:color w:val="000000"/>
          <w:sz w:val="24"/>
          <w:szCs w:val="24"/>
          <w:lang w:eastAsia="es-ES"/>
        </w:rPr>
        <w:lastRenderedPageBreak/>
        <w:t>otros instrumentos normativos, como el artículo 55 de la LGUC y el decreto 3.516 del Ministerio de Agricultura.</w:t>
      </w:r>
    </w:p>
    <w:p w:rsidR="00C67F14" w:rsidRPr="00DF54B0" w:rsidRDefault="00C67F14" w:rsidP="00DF54B0">
      <w:pPr>
        <w:pStyle w:val="Prrafodelista"/>
        <w:spacing w:before="0" w:after="0" w:line="360" w:lineRule="auto"/>
        <w:ind w:left="0"/>
        <w:rPr>
          <w:szCs w:val="24"/>
          <w:lang w:val="es-ES_tradnl"/>
        </w:rPr>
      </w:pPr>
      <w:r w:rsidRPr="00DF54B0">
        <w:rPr>
          <w:szCs w:val="24"/>
          <w:lang w:val="es-ES_tradnl"/>
        </w:rPr>
        <w:t>El</w:t>
      </w:r>
      <w:r w:rsidRPr="00DF54B0">
        <w:rPr>
          <w:szCs w:val="24"/>
          <w:lang w:val="es-ES_tradnl"/>
        </w:rPr>
        <w:t xml:space="preserve"> Artículo 55 de la </w:t>
      </w:r>
      <w:r w:rsidRPr="00901C76">
        <w:rPr>
          <w:szCs w:val="24"/>
          <w:lang w:val="es-ES_tradnl"/>
        </w:rPr>
        <w:t>LGUC (</w:t>
      </w:r>
      <w:r w:rsidR="00901C76" w:rsidRPr="00901C76">
        <w:rPr>
          <w:szCs w:val="24"/>
          <w:lang w:val="es-ES_tradnl"/>
        </w:rPr>
        <w:t>D</w:t>
      </w:r>
      <w:r w:rsidR="00901C76">
        <w:rPr>
          <w:szCs w:val="24"/>
          <w:lang w:val="es-ES_tradnl"/>
        </w:rPr>
        <w:t>.</w:t>
      </w:r>
      <w:r w:rsidR="00901C76" w:rsidRPr="00901C76">
        <w:rPr>
          <w:szCs w:val="24"/>
          <w:lang w:val="es-ES_tradnl"/>
        </w:rPr>
        <w:t>F</w:t>
      </w:r>
      <w:r w:rsidR="00901C76">
        <w:rPr>
          <w:szCs w:val="24"/>
          <w:lang w:val="es-ES_tradnl"/>
        </w:rPr>
        <w:t>.</w:t>
      </w:r>
      <w:r w:rsidR="00901C76" w:rsidRPr="00901C76">
        <w:rPr>
          <w:szCs w:val="24"/>
          <w:lang w:val="es-ES_tradnl"/>
        </w:rPr>
        <w:t>L</w:t>
      </w:r>
      <w:r w:rsidR="00901C76">
        <w:rPr>
          <w:szCs w:val="24"/>
          <w:lang w:val="es-ES_tradnl"/>
        </w:rPr>
        <w:t>.</w:t>
      </w:r>
      <w:r w:rsidR="00901C76" w:rsidRPr="00901C76">
        <w:rPr>
          <w:szCs w:val="24"/>
          <w:lang w:val="es-ES_tradnl"/>
        </w:rPr>
        <w:t xml:space="preserve"> 458/1975</w:t>
      </w:r>
      <w:r w:rsidRPr="00901C76">
        <w:rPr>
          <w:szCs w:val="24"/>
          <w:lang w:val="es-ES_tradnl"/>
        </w:rPr>
        <w:t>)</w:t>
      </w:r>
      <w:r w:rsidRPr="00901C76">
        <w:rPr>
          <w:szCs w:val="24"/>
          <w:lang w:val="es-ES_tradnl"/>
        </w:rPr>
        <w:t xml:space="preserve"> permite </w:t>
      </w:r>
      <w:r w:rsidRPr="00DF54B0">
        <w:rPr>
          <w:szCs w:val="24"/>
          <w:lang w:val="es-ES_tradnl"/>
        </w:rPr>
        <w:t>la urbanización de terrenos rurales para la ubicación de viviendas sociales</w:t>
      </w:r>
      <w:r w:rsidRPr="00DF54B0">
        <w:rPr>
          <w:szCs w:val="24"/>
          <w:lang w:val="es-ES_tradnl"/>
        </w:rPr>
        <w:t xml:space="preserve"> y es con su utilización que se ha </w:t>
      </w:r>
      <w:r w:rsidRPr="00DF54B0">
        <w:rPr>
          <w:szCs w:val="24"/>
          <w:lang w:val="es-ES_tradnl"/>
        </w:rPr>
        <w:t>logrado urbanizar la periferia de la Metrópoli de Santiago con viviendas sociales que cumplen los requisitos para obtener el subsidio del Estado.</w:t>
      </w:r>
    </w:p>
    <w:p w:rsidR="00C67F14" w:rsidRPr="00DF54B0" w:rsidRDefault="00C67F14" w:rsidP="00DF54B0">
      <w:pPr>
        <w:pStyle w:val="Prrafodelista"/>
        <w:autoSpaceDE w:val="0"/>
        <w:autoSpaceDN w:val="0"/>
        <w:adjustRightInd w:val="0"/>
        <w:spacing w:before="0" w:after="0" w:line="360" w:lineRule="auto"/>
        <w:ind w:left="0"/>
        <w:rPr>
          <w:szCs w:val="24"/>
        </w:rPr>
      </w:pPr>
      <w:r w:rsidRPr="00DF54B0">
        <w:rPr>
          <w:szCs w:val="24"/>
        </w:rPr>
        <w:t>El Decreto 3.516 del Ministerio de Agricultura de 1980 (</w:t>
      </w:r>
      <w:r w:rsidR="00901C76">
        <w:rPr>
          <w:szCs w:val="24"/>
        </w:rPr>
        <w:t xml:space="preserve">D.L 3.516, </w:t>
      </w:r>
      <w:r w:rsidR="00901C76" w:rsidRPr="00901C76">
        <w:rPr>
          <w:szCs w:val="24"/>
        </w:rPr>
        <w:t>1980</w:t>
      </w:r>
      <w:r w:rsidRPr="00901C76">
        <w:rPr>
          <w:szCs w:val="24"/>
        </w:rPr>
        <w:t xml:space="preserve">)  </w:t>
      </w:r>
      <w:r w:rsidRPr="00DF54B0">
        <w:rPr>
          <w:szCs w:val="24"/>
        </w:rPr>
        <w:t>permite la subdivisión de predios rústicos ubicados fuera de los límites urbanos en una superficie no inferior a las 0,5 hectáreas físicas y, manteniendo el destino del predio primitivo. El uso de este Decreto en la práctica ha llevado al desarrollo en extens</w:t>
      </w:r>
      <w:r w:rsidRPr="00DF54B0">
        <w:rPr>
          <w:szCs w:val="24"/>
        </w:rPr>
        <w:t>ión de las parcelas de agrado y al desarrollo en extensión de la Metrópoli de Santiago.</w:t>
      </w:r>
    </w:p>
    <w:p w:rsidR="00061936" w:rsidRPr="00DF54B0" w:rsidRDefault="00061936" w:rsidP="00DF54B0">
      <w:pPr>
        <w:spacing w:after="0" w:line="360" w:lineRule="auto"/>
        <w:jc w:val="both"/>
        <w:rPr>
          <w:rFonts w:ascii="Times New Roman" w:hAnsi="Times New Roman" w:cs="Times New Roman"/>
          <w:sz w:val="24"/>
          <w:szCs w:val="24"/>
        </w:rPr>
      </w:pPr>
      <w:r w:rsidRPr="00DF54B0">
        <w:rPr>
          <w:rFonts w:ascii="Times New Roman" w:hAnsi="Times New Roman" w:cs="Times New Roman"/>
          <w:sz w:val="24"/>
          <w:szCs w:val="24"/>
          <w:u w:val="single"/>
        </w:rPr>
        <w:t>Bucle P1S3: Urbanización sin servicios genera dependencia centro-periferia S3P1: Dependencia más vías de urbanización</w:t>
      </w:r>
      <w:proofErr w:type="gramStart"/>
      <w:r w:rsidRPr="00DF54B0">
        <w:rPr>
          <w:rFonts w:ascii="Times New Roman" w:hAnsi="Times New Roman" w:cs="Times New Roman"/>
          <w:sz w:val="24"/>
          <w:szCs w:val="24"/>
          <w:u w:val="single"/>
        </w:rPr>
        <w:t>,:</w:t>
      </w:r>
      <w:proofErr w:type="gramEnd"/>
      <w:r w:rsidRPr="00DF54B0">
        <w:rPr>
          <w:rFonts w:ascii="Times New Roman" w:hAnsi="Times New Roman" w:cs="Times New Roman"/>
          <w:color w:val="000000"/>
          <w:sz w:val="24"/>
          <w:szCs w:val="24"/>
        </w:rPr>
        <w:t xml:space="preserve"> En comunas periféricas de Maipú, Puente Alto y La Florida, se realiza una mayor cantidad de viajes por motivos de estudio y trabajo (ERD, 2012).</w:t>
      </w:r>
      <w:r w:rsidRPr="00DF54B0">
        <w:rPr>
          <w:rFonts w:ascii="Times New Roman" w:hAnsi="Times New Roman" w:cs="Times New Roman"/>
          <w:sz w:val="24"/>
          <w:szCs w:val="24"/>
        </w:rPr>
        <w:t xml:space="preserve"> Si tradicionalmente la vialidad va detrás de las demandas por movilidad, generándose de este modo dificultades del sistema por congestión, es también reconocido que un aumento de la vialidad repercute poco en la congestión y, en cambio, promueve más viajes, y por lo tanto nuevas demandas por transporte (</w:t>
      </w:r>
      <w:proofErr w:type="spellStart"/>
      <w:r w:rsidRPr="00DF54B0">
        <w:rPr>
          <w:rFonts w:ascii="Times New Roman" w:hAnsi="Times New Roman" w:cs="Times New Roman"/>
          <w:sz w:val="24"/>
          <w:szCs w:val="24"/>
        </w:rPr>
        <w:t>GeoSantiago</w:t>
      </w:r>
      <w:proofErr w:type="spellEnd"/>
      <w:r w:rsidRPr="00DF54B0">
        <w:rPr>
          <w:rFonts w:ascii="Times New Roman" w:hAnsi="Times New Roman" w:cs="Times New Roman"/>
          <w:sz w:val="24"/>
          <w:szCs w:val="24"/>
        </w:rPr>
        <w:t>, 2003).</w:t>
      </w:r>
    </w:p>
    <w:p w:rsidR="00061936" w:rsidRPr="00DF54B0" w:rsidRDefault="00061936" w:rsidP="00DF54B0">
      <w:pPr>
        <w:spacing w:after="0" w:line="360" w:lineRule="auto"/>
        <w:jc w:val="both"/>
        <w:rPr>
          <w:rFonts w:ascii="Times New Roman" w:hAnsi="Times New Roman" w:cs="Times New Roman"/>
          <w:sz w:val="24"/>
          <w:szCs w:val="24"/>
        </w:rPr>
      </w:pPr>
      <w:r w:rsidRPr="00DF54B0">
        <w:rPr>
          <w:rFonts w:ascii="Times New Roman" w:hAnsi="Times New Roman" w:cs="Times New Roman"/>
          <w:sz w:val="24"/>
          <w:szCs w:val="24"/>
          <w:u w:val="single"/>
        </w:rPr>
        <w:t>P1S2: Diferenciación de comunas por grupos socioeconómicos predominantes:</w:t>
      </w:r>
      <w:r w:rsidRPr="00DF54B0">
        <w:rPr>
          <w:rFonts w:ascii="Times New Roman" w:eastAsia="Times New Roman" w:hAnsi="Times New Roman" w:cs="Times New Roman"/>
          <w:color w:val="000000"/>
          <w:sz w:val="24"/>
          <w:szCs w:val="24"/>
          <w:lang w:eastAsia="es-ES"/>
        </w:rPr>
        <w:t xml:space="preserve"> L</w:t>
      </w:r>
      <w:r w:rsidRPr="00DF54B0">
        <w:rPr>
          <w:rFonts w:ascii="Times New Roman" w:hAnsi="Times New Roman" w:cs="Times New Roman"/>
          <w:sz w:val="24"/>
          <w:szCs w:val="24"/>
          <w:lang w:eastAsia="es-ES"/>
        </w:rPr>
        <w:t xml:space="preserve">a normativa urbanística ha favorecido la urbanización periférica de la ciudad, con característicos patrones de segregación. </w:t>
      </w:r>
      <w:r w:rsidRPr="00DF54B0">
        <w:rPr>
          <w:rFonts w:ascii="Times New Roman" w:eastAsia="Times New Roman" w:hAnsi="Times New Roman" w:cs="Times New Roman"/>
          <w:color w:val="000000"/>
          <w:sz w:val="24"/>
          <w:szCs w:val="24"/>
          <w:lang w:eastAsia="es-ES"/>
        </w:rPr>
        <w:t xml:space="preserve">La Política de Desarrollo Urbano promulgada en </w:t>
      </w:r>
      <w:r w:rsidRPr="00DF54B0">
        <w:rPr>
          <w:rFonts w:ascii="Times New Roman" w:hAnsi="Times New Roman" w:cs="Times New Roman"/>
          <w:sz w:val="24"/>
          <w:szCs w:val="24"/>
        </w:rPr>
        <w:t>1979 buscó ajustar las acciones del Estado en materias urbanas y habitacionales a los principios de la economía mercantil. De esta forma, se dejó establecido que las instituciones públicas no debían intervenir los mercados de suelo y vivienda. También se eliminó la fijación de límites al crecimiento urbano con el argumento de que se generaba un artificial aumento en el precio del suelo. Sin embargo, el precio del suelo urbano creció tan rápido como la oferta; por lo que en 1982 el gobierno debió trazar nuevamente límites urbanos. Así, en Chile, el fijador de los precios del suelo es el mercado, ya sea para viviendas de altos ingresos o para las viviendas sociales, y los municipios tienen expresamente prohibido intervenir en el mercado inmobiliario (</w:t>
      </w:r>
      <w:proofErr w:type="spellStart"/>
      <w:r w:rsidRPr="00DF54B0">
        <w:rPr>
          <w:rFonts w:ascii="Times New Roman" w:hAnsi="Times New Roman" w:cs="Times New Roman"/>
          <w:sz w:val="24"/>
          <w:szCs w:val="24"/>
        </w:rPr>
        <w:t>GeoSantiago</w:t>
      </w:r>
      <w:proofErr w:type="spellEnd"/>
      <w:r w:rsidRPr="00DF54B0">
        <w:rPr>
          <w:rFonts w:ascii="Times New Roman" w:hAnsi="Times New Roman" w:cs="Times New Roman"/>
          <w:sz w:val="24"/>
          <w:szCs w:val="24"/>
        </w:rPr>
        <w:t>, 2003).</w:t>
      </w:r>
    </w:p>
    <w:p w:rsidR="00061936" w:rsidRPr="00DF54B0" w:rsidRDefault="00061936" w:rsidP="00DF54B0">
      <w:pPr>
        <w:spacing w:after="0" w:line="360" w:lineRule="auto"/>
        <w:jc w:val="both"/>
        <w:rPr>
          <w:rFonts w:ascii="Times New Roman" w:hAnsi="Times New Roman" w:cs="Times New Roman"/>
          <w:sz w:val="24"/>
          <w:szCs w:val="24"/>
        </w:rPr>
      </w:pPr>
      <w:r w:rsidRPr="00DF54B0">
        <w:rPr>
          <w:rFonts w:ascii="Times New Roman" w:hAnsi="Times New Roman" w:cs="Times New Roman"/>
          <w:sz w:val="24"/>
          <w:szCs w:val="24"/>
          <w:u w:val="single"/>
        </w:rPr>
        <w:t>P1R1: Deterioro de áreas de valor ambiental por urbanización:</w:t>
      </w:r>
      <w:r w:rsidRPr="00DF54B0">
        <w:rPr>
          <w:rFonts w:ascii="Times New Roman" w:eastAsia="Times New Roman" w:hAnsi="Times New Roman" w:cs="Times New Roman"/>
          <w:color w:val="000000"/>
          <w:sz w:val="24"/>
          <w:szCs w:val="24"/>
          <w:lang w:eastAsia="es-ES"/>
        </w:rPr>
        <w:t xml:space="preserve"> </w:t>
      </w:r>
      <w:r w:rsidRPr="00DF54B0">
        <w:rPr>
          <w:rFonts w:ascii="Times New Roman" w:hAnsi="Times New Roman" w:cs="Times New Roman"/>
          <w:sz w:val="24"/>
          <w:szCs w:val="24"/>
        </w:rPr>
        <w:t xml:space="preserve">Entre 1989 y 1998, 13.477 hectáreas de suelos con capacidad óptima de uso agrícola (clases I, II y III) fueron cubiertos por la urbanización. La pérdida más relevante de suelos de la más alta calidad (Clase I), se ha producido entre las rutas 68 y 78, entre Maipú y Pudahuel, y en la Comuna de Quilicura. </w:t>
      </w:r>
      <w:r w:rsidRPr="00DF54B0">
        <w:rPr>
          <w:rFonts w:ascii="Times New Roman" w:hAnsi="Times New Roman" w:cs="Times New Roman"/>
          <w:sz w:val="24"/>
          <w:szCs w:val="24"/>
        </w:rPr>
        <w:lastRenderedPageBreak/>
        <w:t>Debido a las características de los suelos mencionados, su pérdida implica un daño en el patrimonio agrícola y los servicios ambientales derivados del territorio, provocando cambios en el sistema hídrico, atmosférico y biogeográfico. La expansión urbana que ha ocurrido en las comunas de Cerrillos, Maipú, La Florida y Puente Alto, ha eliminado también importantes áreas de suelos de clase II y III; mientras que en el período comprendido entre 2001 y 2003, se han sumado pérdidas en la comuna de San Bernardo (Romero &amp; Ordenes, 2008).</w:t>
      </w:r>
    </w:p>
    <w:p w:rsidR="00061936" w:rsidRPr="00DF54B0" w:rsidRDefault="00061936" w:rsidP="00DF54B0">
      <w:pPr>
        <w:pStyle w:val="Prrafodelista"/>
        <w:tabs>
          <w:tab w:val="left" w:pos="567"/>
          <w:tab w:val="left" w:pos="993"/>
        </w:tabs>
        <w:spacing w:before="0" w:after="0" w:line="360" w:lineRule="auto"/>
        <w:ind w:left="0"/>
        <w:rPr>
          <w:rFonts w:eastAsia="Times New Roman"/>
          <w:color w:val="000000"/>
          <w:szCs w:val="24"/>
          <w:lang w:eastAsia="es-ES"/>
        </w:rPr>
      </w:pPr>
      <w:r w:rsidRPr="00DF54B0">
        <w:rPr>
          <w:szCs w:val="24"/>
          <w:u w:val="single"/>
        </w:rPr>
        <w:t>S2P2: Gestión municipal diferenciada por ingresos de los habitantes:</w:t>
      </w:r>
      <w:r w:rsidRPr="00DF54B0">
        <w:rPr>
          <w:rFonts w:eastAsia="Times New Roman"/>
          <w:color w:val="000000"/>
          <w:szCs w:val="24"/>
          <w:lang w:eastAsia="es-ES"/>
        </w:rPr>
        <w:t xml:space="preserve"> La población y las viviendas que componen la comuna influyen directamente en los recursos internos que pueden obtener las municipalidades, por lo que sus ingresos están condicionados a su desarrollo y competitividad económica.</w:t>
      </w:r>
    </w:p>
    <w:p w:rsidR="00C67F14" w:rsidRPr="00DF54B0" w:rsidRDefault="00C67F14" w:rsidP="00DF54B0">
      <w:pPr>
        <w:spacing w:after="0" w:line="360" w:lineRule="auto"/>
        <w:jc w:val="both"/>
        <w:rPr>
          <w:rFonts w:ascii="Times New Roman" w:eastAsia="Calibri" w:hAnsi="Times New Roman" w:cs="Times New Roman"/>
          <w:sz w:val="24"/>
          <w:szCs w:val="24"/>
          <w:lang w:val="es-ES"/>
        </w:rPr>
      </w:pPr>
      <w:r w:rsidRPr="00DF54B0">
        <w:rPr>
          <w:rFonts w:ascii="Times New Roman" w:hAnsi="Times New Roman" w:cs="Times New Roman"/>
          <w:sz w:val="24"/>
          <w:szCs w:val="24"/>
        </w:rPr>
        <w:t xml:space="preserve">Las municipales obtienen sus recursos financieros de forma interna y externa. Los recursos internos están descritos principalmente a través de la Ley de </w:t>
      </w:r>
      <w:r w:rsidRPr="006510BC">
        <w:rPr>
          <w:rFonts w:ascii="Times New Roman" w:hAnsi="Times New Roman" w:cs="Times New Roman"/>
          <w:sz w:val="24"/>
          <w:szCs w:val="24"/>
        </w:rPr>
        <w:t>Rentas Municipales (Decreto Supremo 2385 de 1996 del Ministerio del Interior). De</w:t>
      </w:r>
      <w:r w:rsidRPr="00DF54B0">
        <w:rPr>
          <w:rFonts w:ascii="Times New Roman" w:hAnsi="Times New Roman" w:cs="Times New Roman"/>
          <w:sz w:val="24"/>
          <w:szCs w:val="24"/>
        </w:rPr>
        <w:t xml:space="preserve"> acuerdo al artículo 41, las municipalidades están facultadas para cobrar derechos en cuanto a servicios, concesiones o permisos otorgados para la urbanización y construcción; ocupación de la vía pública; extracción de arena, ripio u otros materiales, de bienes nacionales de uso público, o desde pozos </w:t>
      </w:r>
      <w:proofErr w:type="spellStart"/>
      <w:r w:rsidRPr="00DF54B0">
        <w:rPr>
          <w:rFonts w:ascii="Times New Roman" w:hAnsi="Times New Roman" w:cs="Times New Roman"/>
          <w:sz w:val="24"/>
          <w:szCs w:val="24"/>
        </w:rPr>
        <w:t>lastreros</w:t>
      </w:r>
      <w:proofErr w:type="spellEnd"/>
      <w:r w:rsidRPr="00DF54B0">
        <w:rPr>
          <w:rFonts w:ascii="Times New Roman" w:hAnsi="Times New Roman" w:cs="Times New Roman"/>
          <w:sz w:val="24"/>
          <w:szCs w:val="24"/>
        </w:rPr>
        <w:t xml:space="preserve"> </w:t>
      </w:r>
      <w:r w:rsidRPr="006510BC">
        <w:rPr>
          <w:rFonts w:ascii="Times New Roman" w:hAnsi="Times New Roman" w:cs="Times New Roman"/>
          <w:sz w:val="24"/>
          <w:szCs w:val="24"/>
        </w:rPr>
        <w:t>ubicados en inmuebles de propiedad particular; instalaciones o construcciones en bienes de uso público; instalación de publicidad en la vía pública; exámenes de conductores y otorgamiento de la licencia de conducir; transferencia de vehículos con permiso de circulación y; comerciantes ambulantes (Decreto Supremo 2385 de 1996 del Ministerio del Interior).</w:t>
      </w:r>
      <w:r w:rsidRPr="006510BC">
        <w:rPr>
          <w:rFonts w:ascii="Times New Roman" w:eastAsia="Calibri" w:hAnsi="Times New Roman" w:cs="Times New Roman"/>
          <w:sz w:val="24"/>
          <w:szCs w:val="24"/>
          <w:lang w:val="es-ES"/>
        </w:rPr>
        <w:t>Todas las municipalidades deben aportar</w:t>
      </w:r>
      <w:r w:rsidRPr="00DF54B0">
        <w:rPr>
          <w:rFonts w:ascii="Times New Roman" w:eastAsia="Calibri" w:hAnsi="Times New Roman" w:cs="Times New Roman"/>
          <w:sz w:val="24"/>
          <w:szCs w:val="24"/>
          <w:lang w:val="es-ES"/>
        </w:rPr>
        <w:t xml:space="preserve"> en igual porcentaje al Fondo Común Municipal respecto al cobro de </w:t>
      </w:r>
      <w:r w:rsidRPr="006510BC">
        <w:rPr>
          <w:rFonts w:ascii="Times New Roman" w:eastAsia="Calibri" w:hAnsi="Times New Roman" w:cs="Times New Roman"/>
          <w:sz w:val="24"/>
          <w:szCs w:val="24"/>
          <w:lang w:val="es-ES"/>
        </w:rPr>
        <w:t>los derechos antes mencionados. Posteriormente, estos recursos son redistribuidos entre las mismas, con el objetivo de beneficiar a las municipalidades de menores recursos (Decreto Supremo 2385 de 1996 del Ministerio del Interior).</w:t>
      </w:r>
    </w:p>
    <w:p w:rsidR="00061936" w:rsidRPr="00DF54B0" w:rsidRDefault="00061936" w:rsidP="00DF54B0">
      <w:pPr>
        <w:pStyle w:val="Prrafodelista"/>
        <w:tabs>
          <w:tab w:val="left" w:pos="567"/>
          <w:tab w:val="left" w:pos="993"/>
        </w:tabs>
        <w:spacing w:before="0" w:after="0" w:line="360" w:lineRule="auto"/>
        <w:ind w:left="0"/>
        <w:rPr>
          <w:szCs w:val="24"/>
        </w:rPr>
      </w:pPr>
      <w:r w:rsidRPr="00DF54B0">
        <w:rPr>
          <w:szCs w:val="24"/>
          <w:u w:val="single"/>
        </w:rPr>
        <w:t>P2S4: Inequidad de espacios de interacción:</w:t>
      </w:r>
      <w:r w:rsidRPr="00DF54B0">
        <w:rPr>
          <w:szCs w:val="24"/>
        </w:rPr>
        <w:t xml:space="preserve"> Debido a que existen medioambientes estrictamente dependientes de los niveles de ingreso de los residentes y sus municipios, y por ello, enormemente diferenciados socialmente entre aquellos que pueden diseñar, construir y mantener las áreas verdes como tales, y aquellos que se cubren de “áreas café” ante las imposibilidades económicas de hacerlo, transformándose en sitios eriazos y suelos desnudos, vertederos ilegales de residuos domiciliarios y de la construcción, núcleos de contaminación y centros de inseguridad ciudadana (Romero &amp; Ordenes, 2008).  </w:t>
      </w:r>
    </w:p>
    <w:p w:rsidR="00061936" w:rsidRPr="00DF54B0" w:rsidRDefault="00061936" w:rsidP="00DF54B0">
      <w:pPr>
        <w:pStyle w:val="Prrafodelista"/>
        <w:tabs>
          <w:tab w:val="left" w:pos="567"/>
          <w:tab w:val="left" w:pos="993"/>
        </w:tabs>
        <w:spacing w:before="0" w:after="0" w:line="360" w:lineRule="auto"/>
        <w:ind w:left="0"/>
        <w:rPr>
          <w:szCs w:val="24"/>
        </w:rPr>
      </w:pPr>
      <w:r w:rsidRPr="00DF54B0">
        <w:rPr>
          <w:szCs w:val="24"/>
          <w:u w:val="single"/>
        </w:rPr>
        <w:t>S2P3: Segregación y capital social:</w:t>
      </w:r>
      <w:r w:rsidRPr="00DF54B0">
        <w:rPr>
          <w:rFonts w:eastAsia="Times New Roman"/>
          <w:color w:val="000000"/>
          <w:szCs w:val="24"/>
          <w:lang w:eastAsia="es-ES"/>
        </w:rPr>
        <w:t xml:space="preserve"> “U</w:t>
      </w:r>
      <w:r w:rsidRPr="00DF54B0">
        <w:rPr>
          <w:szCs w:val="24"/>
        </w:rPr>
        <w:t xml:space="preserve">n problema más general, que tiene que ver directamente con la segregación residencial y los tipos de segmentación, es el aislamiento </w:t>
      </w:r>
      <w:r w:rsidRPr="00DF54B0">
        <w:rPr>
          <w:szCs w:val="24"/>
        </w:rPr>
        <w:lastRenderedPageBreak/>
        <w:t xml:space="preserve">social. El aislamiento social es un fenómeno que, según </w:t>
      </w:r>
      <w:proofErr w:type="spellStart"/>
      <w:r w:rsidRPr="00DF54B0">
        <w:rPr>
          <w:szCs w:val="24"/>
        </w:rPr>
        <w:t>Katzman</w:t>
      </w:r>
      <w:proofErr w:type="spellEnd"/>
      <w:r w:rsidRPr="00DF54B0">
        <w:rPr>
          <w:szCs w:val="24"/>
        </w:rPr>
        <w:t>, afecta específicamente a los pobres urbanos. Para él, el aislamiento social está condicionado por tres factores determinantes: la segmentación educativa, que refiere a la existencia de distintos tipos de educación o posibilidades educativas para estratos distintos; la segmentación laboral, que refiere a las distintas posibilidades que poseen los distintos estratos sociales en el ámbito del trabajo; y a la segregación residencial. De esta forma, “…los tres tipos de segmentación recién examinados se potencian mutuamente en sus efectos en cuanto al aislamiento progresivo de los pobres urbanos.” El problema en el cual redunda el aislamiento social es en el aumento de la exclusión, la marginalidad y la vulnerabilidad, en otras palabras, el aislamiento social, y por ende la segregación residencial, conllevan específicamente a la reproducción de la pobreza” (Palma, 2008)</w:t>
      </w:r>
    </w:p>
    <w:p w:rsidR="00061936" w:rsidRPr="00DF54B0" w:rsidRDefault="00061936" w:rsidP="00DF54B0">
      <w:pPr>
        <w:pStyle w:val="Prrafodelista"/>
        <w:tabs>
          <w:tab w:val="left" w:pos="567"/>
          <w:tab w:val="left" w:pos="993"/>
        </w:tabs>
        <w:spacing w:before="0" w:after="0" w:line="360" w:lineRule="auto"/>
        <w:ind w:left="0"/>
        <w:rPr>
          <w:szCs w:val="24"/>
          <w:u w:val="single"/>
        </w:rPr>
      </w:pPr>
      <w:r w:rsidRPr="00DF54B0">
        <w:rPr>
          <w:szCs w:val="24"/>
          <w:u w:val="single"/>
        </w:rPr>
        <w:t>S4P3: Espacios públicos asociado a capital social:</w:t>
      </w:r>
      <w:r w:rsidRPr="00DF54B0">
        <w:rPr>
          <w:szCs w:val="24"/>
        </w:rPr>
        <w:t xml:space="preserve"> Al vincular los conceptos de capital social y equipamientos colectivos, se hace hincapié en la importancia de los segundos en la producción estructural del primero, siendo este un elemento sustancial para mejorar la calidad de vida de la población y la superación de estados de pobreza” (Mayorga, 2012).</w:t>
      </w:r>
    </w:p>
    <w:p w:rsidR="00061936" w:rsidRPr="00DF54B0" w:rsidRDefault="00061936" w:rsidP="00DF54B0">
      <w:pPr>
        <w:pStyle w:val="Prrafodelista"/>
        <w:tabs>
          <w:tab w:val="left" w:pos="567"/>
          <w:tab w:val="left" w:pos="993"/>
        </w:tabs>
        <w:spacing w:before="0" w:after="0" w:line="360" w:lineRule="auto"/>
        <w:ind w:left="0"/>
        <w:rPr>
          <w:rFonts w:eastAsia="Times New Roman"/>
          <w:color w:val="000000"/>
          <w:szCs w:val="24"/>
          <w:lang w:eastAsia="es-ES"/>
        </w:rPr>
      </w:pPr>
      <w:r w:rsidRPr="00DF54B0">
        <w:rPr>
          <w:szCs w:val="24"/>
          <w:u w:val="single"/>
        </w:rPr>
        <w:t xml:space="preserve">R1P4: Pérdida de servicios </w:t>
      </w:r>
      <w:proofErr w:type="spellStart"/>
      <w:r w:rsidRPr="00DF54B0">
        <w:rPr>
          <w:szCs w:val="24"/>
          <w:u w:val="single"/>
        </w:rPr>
        <w:t>ecosistémicos</w:t>
      </w:r>
      <w:proofErr w:type="spellEnd"/>
      <w:r w:rsidRPr="00DF54B0">
        <w:rPr>
          <w:szCs w:val="24"/>
          <w:u w:val="single"/>
        </w:rPr>
        <w:t>:</w:t>
      </w:r>
      <w:r w:rsidRPr="00DF54B0">
        <w:rPr>
          <w:szCs w:val="24"/>
          <w:lang w:eastAsia="es-ES"/>
        </w:rPr>
        <w:t xml:space="preserve"> Para que las aguas estén disponibles en las estaciones y años secos es fundamental que se almacenen en el suelo y subsuelo, lo que depende del proceso de infiltración. Los terrenos cubiertos con vegetación nativa y densa pueden llegar a infiltrar o almacenar sobre el 90% de las aguas lluvias, controlando el escurrimiento en cifras muy bajas. Inversamente, los terrenos urbanizados de alta densidad pueden infiltrar menos del 10% de las aguas lluvias, con lo cual se favorece el escurrimiento masivo de las aguas hacia las tierras bajas. Al deforestar las laderas y más aún, al reemplazar las cubiertas de vegetación natural o cultivada por superficies urbanizadas aumenta el escurrimiento superficial de las aguas lluvias y con ello las probabilidades de que se produzcan inundaciones sobre las tierras bajas. El aumento del escurrimiento es especialmente crítico ante los flujos provocados por tormentas, en que la lluvia se concentra en pocas horas, como sucede en los climas de tipo mediterráneo. (Romero &amp; Ordenes, 2008). Por otro lado, la disminución del agua almacenada en el suelo así como de la vegetación natural o cultivada, determina un descenso en la evapotranspiración, es decir, en la cantidad de vapor de agua que es traspasado directamente por evaporación desde el suelo a la atmósfera,  o indirectamente, a través de la transpiración de los vegetales. Esta es la forma en que el aire adquiere la humedad y con ello, pierde temperatura y combate su desecación. Al eliminar la vegetación, se altera la humedad atmosférica y aumentan las llamadas islas de calor, que corresponden a superficies duras urbanizadas con materiales que absorben grandes </w:t>
      </w:r>
      <w:r w:rsidRPr="00DF54B0">
        <w:rPr>
          <w:szCs w:val="24"/>
          <w:lang w:eastAsia="es-ES"/>
        </w:rPr>
        <w:lastRenderedPageBreak/>
        <w:t xml:space="preserve">cantidades de calor durante las horas de insolación directa y lo emiten durante las noches y madrugadas (Romero &amp; Ordenes, 2008).  </w:t>
      </w:r>
    </w:p>
    <w:p w:rsidR="00061936" w:rsidRPr="00DF54B0" w:rsidRDefault="00061936" w:rsidP="00DF54B0">
      <w:pPr>
        <w:pStyle w:val="Prrafodelista"/>
        <w:tabs>
          <w:tab w:val="left" w:pos="567"/>
          <w:tab w:val="left" w:pos="993"/>
        </w:tabs>
        <w:spacing w:before="0" w:after="0" w:line="360" w:lineRule="auto"/>
        <w:ind w:left="0"/>
        <w:rPr>
          <w:rFonts w:eastAsia="Times New Roman"/>
          <w:color w:val="000000"/>
          <w:szCs w:val="24"/>
          <w:u w:val="single"/>
          <w:lang w:eastAsia="es-ES"/>
        </w:rPr>
      </w:pPr>
      <w:r w:rsidRPr="00DF54B0">
        <w:rPr>
          <w:szCs w:val="24"/>
          <w:lang w:eastAsia="es-ES"/>
        </w:rPr>
        <w:t>La desecación de los suelos, la pérdida de biomasa y esencialmente el desaparecimiento de las áreas verdes explicaría la elevación de las temperaturas de emisión  que llega a superar los 2°C en prácticamente la totalidad de los bordes de expansión urbana en los sectores Norponiente, Poniente, Suroriente y Sur de Santiago. La estabilidad térmica, que implica que las temperaturas han aumentado o disminuido en valores menores a 1°C corresponde a áreas ubicadas en el Nororiente (Lo Barnechea, Las Condes y La Reina) (Romero &amp; Ordenes, 2008).</w:t>
      </w:r>
    </w:p>
    <w:p w:rsidR="00061936" w:rsidRPr="00DF54B0" w:rsidRDefault="00061936" w:rsidP="00DF54B0">
      <w:pPr>
        <w:tabs>
          <w:tab w:val="left" w:pos="567"/>
        </w:tabs>
        <w:spacing w:after="0" w:line="360" w:lineRule="auto"/>
        <w:jc w:val="both"/>
        <w:rPr>
          <w:rFonts w:ascii="Times New Roman" w:hAnsi="Times New Roman" w:cs="Times New Roman"/>
          <w:sz w:val="24"/>
          <w:szCs w:val="24"/>
          <w:u w:val="single"/>
        </w:rPr>
      </w:pPr>
      <w:r w:rsidRPr="00DF54B0">
        <w:rPr>
          <w:rFonts w:ascii="Times New Roman" w:hAnsi="Times New Roman" w:cs="Times New Roman"/>
          <w:sz w:val="24"/>
          <w:szCs w:val="24"/>
          <w:lang w:eastAsia="es-ES"/>
        </w:rPr>
        <w:t>La urbanización del piedemonte andino acentúa la problemática de la contaminación atmosférica, ya que el aire limpio que desciende de la cordillera es contaminado por emisiones vehiculares o instalaciones industriales (Romero &amp; Ordenes, 2008).</w:t>
      </w:r>
    </w:p>
    <w:p w:rsidR="00061936" w:rsidRPr="00DF54B0" w:rsidRDefault="00061936" w:rsidP="00DF54B0">
      <w:pPr>
        <w:spacing w:after="0" w:line="360" w:lineRule="auto"/>
        <w:jc w:val="both"/>
        <w:rPr>
          <w:rFonts w:ascii="Times New Roman" w:hAnsi="Times New Roman" w:cs="Times New Roman"/>
          <w:sz w:val="24"/>
          <w:szCs w:val="24"/>
        </w:rPr>
      </w:pPr>
      <w:r w:rsidRPr="00DF54B0">
        <w:rPr>
          <w:rFonts w:ascii="Times New Roman" w:hAnsi="Times New Roman" w:cs="Times New Roman"/>
          <w:sz w:val="24"/>
          <w:szCs w:val="24"/>
          <w:u w:val="single"/>
          <w:lang w:eastAsia="es-ES"/>
        </w:rPr>
        <w:t>S3P4: Ciudad extensa agrava la contaminación:</w:t>
      </w:r>
      <w:r w:rsidRPr="00DF54B0">
        <w:rPr>
          <w:rFonts w:ascii="Times New Roman" w:hAnsi="Times New Roman" w:cs="Times New Roman"/>
          <w:sz w:val="24"/>
          <w:szCs w:val="24"/>
          <w:lang w:eastAsia="es-ES"/>
        </w:rPr>
        <w:t xml:space="preserve"> Uno de los principales factores que inciden en la mantención de las altas tasas de contaminantes atmosféricos es el alto nivel de concentración de los servicios y urbanizaciones establecidas alejadas de los centros, que generan un aumento del consumo del combustible debido al incremento de las distancias recorridas y el número de viajes realizados diariamente (Romero &amp; Ordenes, 2008). </w:t>
      </w:r>
      <w:r w:rsidRPr="00DF54B0">
        <w:rPr>
          <w:rFonts w:ascii="Times New Roman" w:hAnsi="Times New Roman" w:cs="Times New Roman"/>
          <w:sz w:val="24"/>
          <w:szCs w:val="24"/>
        </w:rPr>
        <w:t xml:space="preserve">El incremento simultáneo del parque automotor, de los viajes motorizados y de los kilómetros de carreteras </w:t>
      </w:r>
      <w:proofErr w:type="gramStart"/>
      <w:r w:rsidRPr="00DF54B0">
        <w:rPr>
          <w:rFonts w:ascii="Times New Roman" w:hAnsi="Times New Roman" w:cs="Times New Roman"/>
          <w:sz w:val="24"/>
          <w:szCs w:val="24"/>
        </w:rPr>
        <w:t>son</w:t>
      </w:r>
      <w:proofErr w:type="gramEnd"/>
      <w:r w:rsidRPr="00DF54B0">
        <w:rPr>
          <w:rFonts w:ascii="Times New Roman" w:hAnsi="Times New Roman" w:cs="Times New Roman"/>
          <w:sz w:val="24"/>
          <w:szCs w:val="24"/>
        </w:rPr>
        <w:t xml:space="preserve"> consecuencia del crecimiento económico, del crecimiento poblacional y de la expansión de la ciudad. Todos estos crecimientos tienen su contraparte en un aumento de la presión sobre el medio ambiente. Las fuentes móviles, es decir los vehículos motorizados, producen casi la totalidad de las emisiones de monóxido de carbono (93,7%) y una fracción mayoritaria de los óxidos de nitrógeno (82,4%) (Geo Santiago, 2003).</w:t>
      </w:r>
    </w:p>
    <w:p w:rsidR="00375552" w:rsidRPr="00DF54B0" w:rsidRDefault="00C67F14" w:rsidP="00DF54B0">
      <w:pPr>
        <w:spacing w:after="0" w:line="360" w:lineRule="auto"/>
        <w:jc w:val="both"/>
        <w:rPr>
          <w:rFonts w:ascii="Times New Roman" w:hAnsi="Times New Roman" w:cs="Times New Roman"/>
          <w:sz w:val="24"/>
          <w:szCs w:val="24"/>
          <w:u w:val="single"/>
        </w:rPr>
      </w:pPr>
      <w:r w:rsidRPr="00DF54B0">
        <w:rPr>
          <w:rFonts w:ascii="Times New Roman" w:hAnsi="Times New Roman" w:cs="Times New Roman"/>
          <w:sz w:val="24"/>
          <w:szCs w:val="24"/>
          <w:lang w:val="es-ES_tradnl"/>
        </w:rPr>
        <w:t>La Memoria explicativa del PRMS</w:t>
      </w:r>
      <w:r w:rsidR="00375552" w:rsidRPr="00DF54B0">
        <w:rPr>
          <w:rFonts w:ascii="Times New Roman" w:hAnsi="Times New Roman" w:cs="Times New Roman"/>
          <w:sz w:val="24"/>
          <w:szCs w:val="24"/>
          <w:lang w:val="es-ES_tradnl"/>
        </w:rPr>
        <w:t xml:space="preserve"> 100 reconoce</w:t>
      </w:r>
      <w:r w:rsidRPr="00DF54B0">
        <w:rPr>
          <w:rFonts w:ascii="Times New Roman" w:hAnsi="Times New Roman" w:cs="Times New Roman"/>
          <w:sz w:val="24"/>
          <w:szCs w:val="24"/>
          <w:lang w:val="es-ES_tradnl"/>
        </w:rPr>
        <w:t xml:space="preserve"> cuatro temas de relevancia, los que pueden observarse</w:t>
      </w:r>
      <w:r w:rsidR="00375552" w:rsidRPr="00DF54B0">
        <w:rPr>
          <w:rFonts w:ascii="Times New Roman" w:hAnsi="Times New Roman" w:cs="Times New Roman"/>
          <w:sz w:val="24"/>
          <w:szCs w:val="24"/>
          <w:lang w:val="es-ES_tradnl"/>
        </w:rPr>
        <w:t xml:space="preserve"> en colores </w:t>
      </w:r>
      <w:r w:rsidRPr="00DF54B0">
        <w:rPr>
          <w:rFonts w:ascii="Times New Roman" w:hAnsi="Times New Roman" w:cs="Times New Roman"/>
          <w:sz w:val="24"/>
          <w:szCs w:val="24"/>
          <w:lang w:val="es-ES_tradnl"/>
        </w:rPr>
        <w:t>en el modelo</w:t>
      </w:r>
      <w:r w:rsidR="00375552" w:rsidRPr="00DF54B0">
        <w:rPr>
          <w:rFonts w:ascii="Times New Roman" w:hAnsi="Times New Roman" w:cs="Times New Roman"/>
          <w:sz w:val="24"/>
          <w:szCs w:val="24"/>
          <w:lang w:val="es-ES_tradnl"/>
        </w:rPr>
        <w:t xml:space="preserve"> desarrollado.</w:t>
      </w:r>
      <w:r w:rsidR="00375552" w:rsidRPr="00DF54B0">
        <w:rPr>
          <w:rFonts w:ascii="Times New Roman" w:hAnsi="Times New Roman" w:cs="Times New Roman"/>
          <w:sz w:val="24"/>
          <w:szCs w:val="24"/>
          <w:u w:val="single"/>
        </w:rPr>
        <w:t xml:space="preserve"> </w:t>
      </w:r>
    </w:p>
    <w:p w:rsidR="00375552" w:rsidRPr="00DF54B0" w:rsidRDefault="00375552" w:rsidP="00DF54B0">
      <w:pPr>
        <w:spacing w:after="0" w:line="360" w:lineRule="auto"/>
        <w:jc w:val="both"/>
        <w:rPr>
          <w:rFonts w:ascii="Times New Roman" w:hAnsi="Times New Roman" w:cs="Times New Roman"/>
          <w:sz w:val="24"/>
          <w:szCs w:val="24"/>
        </w:rPr>
      </w:pPr>
      <w:r w:rsidRPr="00DF54B0">
        <w:rPr>
          <w:rFonts w:ascii="Times New Roman" w:hAnsi="Times New Roman" w:cs="Times New Roman"/>
          <w:sz w:val="24"/>
          <w:szCs w:val="24"/>
          <w:u w:val="single"/>
        </w:rPr>
        <w:t>Crecimiento periférico</w:t>
      </w:r>
      <w:r w:rsidRPr="00DF54B0">
        <w:rPr>
          <w:rFonts w:ascii="Times New Roman" w:hAnsi="Times New Roman" w:cs="Times New Roman"/>
          <w:sz w:val="24"/>
          <w:szCs w:val="24"/>
          <w:u w:val="single"/>
        </w:rPr>
        <w:t xml:space="preserve"> (gris)</w:t>
      </w:r>
      <w:r w:rsidRPr="00DF54B0">
        <w:rPr>
          <w:rFonts w:ascii="Times New Roman" w:hAnsi="Times New Roman" w:cs="Times New Roman"/>
          <w:sz w:val="24"/>
          <w:szCs w:val="24"/>
          <w:u w:val="single"/>
        </w:rPr>
        <w:t>:</w:t>
      </w:r>
      <w:r w:rsidRPr="00DF54B0">
        <w:rPr>
          <w:rFonts w:ascii="Times New Roman" w:hAnsi="Times New Roman" w:cs="Times New Roman"/>
          <w:sz w:val="24"/>
          <w:szCs w:val="24"/>
        </w:rPr>
        <w:t xml:space="preserve"> La Metrópoli de Santiago tiene un patrón de crecimiento periférico, que se explica principalmente de forma endógena, es decir, por el crecimiento per se de la ciudad y no por migraciones provenientes del área rural, como la fue en las décadas de inicio del siglo XX </w:t>
      </w:r>
      <w:r w:rsidRPr="00DF54B0">
        <w:rPr>
          <w:rFonts w:ascii="Times New Roman" w:eastAsia="Times New Roman" w:hAnsi="Times New Roman" w:cs="Times New Roman"/>
          <w:sz w:val="24"/>
          <w:szCs w:val="24"/>
          <w:lang w:eastAsia="es-CL"/>
        </w:rPr>
        <w:t>(</w:t>
      </w:r>
      <w:r w:rsidRPr="00DF54B0">
        <w:rPr>
          <w:rFonts w:ascii="Times New Roman" w:hAnsi="Times New Roman" w:cs="Times New Roman"/>
          <w:sz w:val="24"/>
          <w:szCs w:val="24"/>
        </w:rPr>
        <w:t xml:space="preserve">SEREMI V. y U., 2013). </w:t>
      </w:r>
    </w:p>
    <w:p w:rsidR="00375552" w:rsidRPr="00DF54B0" w:rsidRDefault="00375552" w:rsidP="00DF54B0">
      <w:pPr>
        <w:spacing w:after="0" w:line="360" w:lineRule="auto"/>
        <w:jc w:val="both"/>
        <w:rPr>
          <w:rFonts w:ascii="Times New Roman" w:hAnsi="Times New Roman" w:cs="Times New Roman"/>
          <w:sz w:val="24"/>
          <w:szCs w:val="24"/>
        </w:rPr>
      </w:pPr>
      <w:r w:rsidRPr="00DF54B0">
        <w:rPr>
          <w:rFonts w:ascii="Times New Roman" w:hAnsi="Times New Roman" w:cs="Times New Roman"/>
          <w:sz w:val="24"/>
          <w:szCs w:val="24"/>
          <w:u w:val="single"/>
        </w:rPr>
        <w:t>Crecimiento inequitativo</w:t>
      </w:r>
      <w:r w:rsidRPr="00DF54B0">
        <w:rPr>
          <w:rFonts w:ascii="Times New Roman" w:hAnsi="Times New Roman" w:cs="Times New Roman"/>
          <w:sz w:val="24"/>
          <w:szCs w:val="24"/>
          <w:u w:val="single"/>
        </w:rPr>
        <w:t xml:space="preserve"> (rojo)</w:t>
      </w:r>
      <w:r w:rsidRPr="00DF54B0">
        <w:rPr>
          <w:rFonts w:ascii="Times New Roman" w:hAnsi="Times New Roman" w:cs="Times New Roman"/>
          <w:sz w:val="24"/>
          <w:szCs w:val="24"/>
          <w:u w:val="single"/>
        </w:rPr>
        <w:t>:</w:t>
      </w:r>
      <w:r w:rsidRPr="00DF54B0">
        <w:rPr>
          <w:rFonts w:ascii="Times New Roman" w:hAnsi="Times New Roman" w:cs="Times New Roman"/>
          <w:sz w:val="24"/>
          <w:szCs w:val="24"/>
        </w:rPr>
        <w:t xml:space="preserve"> El crecimiento de las comunas periféricas de Puente Alto, La </w:t>
      </w:r>
      <w:proofErr w:type="spellStart"/>
      <w:r w:rsidRPr="00DF54B0">
        <w:rPr>
          <w:rFonts w:ascii="Times New Roman" w:hAnsi="Times New Roman" w:cs="Times New Roman"/>
          <w:sz w:val="24"/>
          <w:szCs w:val="24"/>
        </w:rPr>
        <w:t>Pintana</w:t>
      </w:r>
      <w:proofErr w:type="spellEnd"/>
      <w:r w:rsidRPr="00DF54B0">
        <w:rPr>
          <w:rFonts w:ascii="Times New Roman" w:hAnsi="Times New Roman" w:cs="Times New Roman"/>
          <w:sz w:val="24"/>
          <w:szCs w:val="24"/>
        </w:rPr>
        <w:t xml:space="preserve"> y San Bernardo se caracteriza por la dotación masiva de viviendas sociales, mientras que Peñalolén, Las Condes o Lo Barnechea se caracterizan por el  desarrollo de conjuntos de estratos medios y medio altos (ABC1 – C2). Gracias a la disponibilidad de suelo, la accesibilidad de autopistas urbanas y la cercanía a nuevos hogares con </w:t>
      </w:r>
      <w:r w:rsidRPr="00DF54B0">
        <w:rPr>
          <w:rFonts w:ascii="Times New Roman" w:hAnsi="Times New Roman" w:cs="Times New Roman"/>
          <w:noProof/>
          <w:sz w:val="24"/>
          <w:szCs w:val="24"/>
          <w:lang w:eastAsia="es-ES"/>
        </w:rPr>
        <w:t xml:space="preserve">capacidad de consumo, </w:t>
      </w:r>
      <w:r w:rsidRPr="00DF54B0">
        <w:rPr>
          <w:rFonts w:ascii="Times New Roman" w:hAnsi="Times New Roman" w:cs="Times New Roman"/>
          <w:noProof/>
          <w:sz w:val="24"/>
          <w:szCs w:val="24"/>
          <w:lang w:eastAsia="es-ES"/>
        </w:rPr>
        <w:lastRenderedPageBreak/>
        <w:t xml:space="preserve">se desarrollan nuevos centros urbanos. Estos centros se ubican en comunas de clase media como La Florida, Maipú. Huechuraba o Puente Alto. La Pintana, La Granja, San Joaquín, Cerro Navia y Renca mantienen su condición de comunas de bajos ingresos que se encuentran segregadas. </w:t>
      </w:r>
      <w:r w:rsidRPr="00DF54B0">
        <w:rPr>
          <w:rFonts w:ascii="Times New Roman" w:eastAsia="Times New Roman" w:hAnsi="Times New Roman" w:cs="Times New Roman"/>
          <w:sz w:val="24"/>
          <w:szCs w:val="24"/>
          <w:lang w:eastAsia="es-CL"/>
        </w:rPr>
        <w:t xml:space="preserve"> </w:t>
      </w:r>
      <w:r w:rsidRPr="00DF54B0">
        <w:rPr>
          <w:rFonts w:ascii="Times New Roman" w:hAnsi="Times New Roman" w:cs="Times New Roman"/>
          <w:sz w:val="24"/>
          <w:szCs w:val="24"/>
        </w:rPr>
        <w:t xml:space="preserve"> </w:t>
      </w:r>
      <w:r w:rsidRPr="00DF54B0">
        <w:rPr>
          <w:rFonts w:ascii="Times New Roman" w:eastAsia="Times New Roman" w:hAnsi="Times New Roman" w:cs="Times New Roman"/>
          <w:sz w:val="24"/>
          <w:szCs w:val="24"/>
          <w:lang w:eastAsia="es-CL"/>
        </w:rPr>
        <w:t>(</w:t>
      </w:r>
      <w:r w:rsidRPr="00DF54B0">
        <w:rPr>
          <w:rFonts w:ascii="Times New Roman" w:hAnsi="Times New Roman" w:cs="Times New Roman"/>
          <w:sz w:val="24"/>
          <w:szCs w:val="24"/>
        </w:rPr>
        <w:t>SEREMI V. y U., 2013).</w:t>
      </w:r>
    </w:p>
    <w:p w:rsidR="00375552" w:rsidRPr="00DF54B0" w:rsidRDefault="00375552" w:rsidP="00DF54B0">
      <w:pPr>
        <w:spacing w:after="0" w:line="360" w:lineRule="auto"/>
        <w:jc w:val="both"/>
        <w:rPr>
          <w:rFonts w:ascii="Times New Roman" w:hAnsi="Times New Roman" w:cs="Times New Roman"/>
          <w:sz w:val="24"/>
          <w:szCs w:val="24"/>
        </w:rPr>
      </w:pPr>
      <w:r w:rsidRPr="00DF54B0">
        <w:rPr>
          <w:rFonts w:ascii="Times New Roman" w:hAnsi="Times New Roman" w:cs="Times New Roman"/>
          <w:sz w:val="24"/>
          <w:szCs w:val="24"/>
          <w:u w:val="single"/>
        </w:rPr>
        <w:t>Centralidad urbana</w:t>
      </w:r>
      <w:r w:rsidRPr="00DF54B0">
        <w:rPr>
          <w:rFonts w:ascii="Times New Roman" w:hAnsi="Times New Roman" w:cs="Times New Roman"/>
          <w:sz w:val="24"/>
          <w:szCs w:val="24"/>
          <w:u w:val="single"/>
        </w:rPr>
        <w:t xml:space="preserve"> (azul)</w:t>
      </w:r>
      <w:r w:rsidRPr="00DF54B0">
        <w:rPr>
          <w:rFonts w:ascii="Times New Roman" w:hAnsi="Times New Roman" w:cs="Times New Roman"/>
          <w:sz w:val="24"/>
          <w:szCs w:val="24"/>
          <w:u w:val="single"/>
        </w:rPr>
        <w:t>:</w:t>
      </w:r>
      <w:r w:rsidRPr="00DF54B0">
        <w:rPr>
          <w:rFonts w:ascii="Times New Roman" w:hAnsi="Times New Roman" w:cs="Times New Roman"/>
          <w:sz w:val="24"/>
          <w:szCs w:val="24"/>
        </w:rPr>
        <w:t xml:space="preserve"> En este modelo, la congestión ha aumentado y los servicios son insuficientes, provocando dependencia de la periferia con el centro metropolitano y, con ello, viajes más largos y demorosos </w:t>
      </w:r>
      <w:r w:rsidRPr="00DF54B0">
        <w:rPr>
          <w:rFonts w:ascii="Times New Roman" w:eastAsia="Times New Roman" w:hAnsi="Times New Roman" w:cs="Times New Roman"/>
          <w:sz w:val="24"/>
          <w:szCs w:val="24"/>
          <w:lang w:eastAsia="es-CL"/>
        </w:rPr>
        <w:t>(</w:t>
      </w:r>
      <w:r w:rsidRPr="00DF54B0">
        <w:rPr>
          <w:rFonts w:ascii="Times New Roman" w:hAnsi="Times New Roman" w:cs="Times New Roman"/>
          <w:sz w:val="24"/>
          <w:szCs w:val="24"/>
        </w:rPr>
        <w:t>SEREMI V. y U., 2013).</w:t>
      </w:r>
    </w:p>
    <w:p w:rsidR="00061936" w:rsidRDefault="00375552" w:rsidP="00DF54B0">
      <w:pPr>
        <w:spacing w:after="0" w:line="360" w:lineRule="auto"/>
        <w:jc w:val="both"/>
        <w:rPr>
          <w:rFonts w:ascii="Times New Roman" w:hAnsi="Times New Roman" w:cs="Times New Roman"/>
          <w:sz w:val="24"/>
          <w:szCs w:val="24"/>
        </w:rPr>
      </w:pPr>
      <w:r w:rsidRPr="00DF54B0">
        <w:rPr>
          <w:rFonts w:ascii="Times New Roman" w:hAnsi="Times New Roman" w:cs="Times New Roman"/>
          <w:sz w:val="24"/>
          <w:szCs w:val="24"/>
          <w:u w:val="single"/>
        </w:rPr>
        <w:t>Distribución de áreas verdes</w:t>
      </w:r>
      <w:r w:rsidRPr="00DF54B0">
        <w:rPr>
          <w:rFonts w:ascii="Times New Roman" w:hAnsi="Times New Roman" w:cs="Times New Roman"/>
          <w:sz w:val="24"/>
          <w:szCs w:val="24"/>
          <w:u w:val="single"/>
        </w:rPr>
        <w:t xml:space="preserve"> (verde)</w:t>
      </w:r>
      <w:r w:rsidRPr="00DF54B0">
        <w:rPr>
          <w:rFonts w:ascii="Times New Roman" w:hAnsi="Times New Roman" w:cs="Times New Roman"/>
          <w:sz w:val="24"/>
          <w:szCs w:val="24"/>
          <w:u w:val="single"/>
        </w:rPr>
        <w:t>:</w:t>
      </w:r>
      <w:r w:rsidRPr="00DF54B0">
        <w:rPr>
          <w:rFonts w:ascii="Times New Roman" w:hAnsi="Times New Roman" w:cs="Times New Roman"/>
          <w:sz w:val="24"/>
          <w:szCs w:val="24"/>
        </w:rPr>
        <w:t xml:space="preserve"> El AMS presenta para el año 2006, 3,4 metros cuadrados promedio de áreas verdes por habitante. En las comunas del sur y sur-oriente la superficie promedio disminuye a 2.3 y 2.4 metros cuadrados respectivamente. Y en las comunas del centro y oriente la superficie aumenta a 6.7 y 5.4 metros cuadrados, respectivamente. La Organización Mundial de la Salud recomienda 9 metros cuadrados promedio por </w:t>
      </w:r>
      <w:r w:rsidRPr="006510BC">
        <w:rPr>
          <w:rFonts w:ascii="Times New Roman" w:hAnsi="Times New Roman" w:cs="Times New Roman"/>
          <w:sz w:val="24"/>
          <w:szCs w:val="24"/>
        </w:rPr>
        <w:t xml:space="preserve">habitante, superficie que en ninguna comuna se estaría cumpliendo </w:t>
      </w:r>
      <w:r w:rsidRPr="006510BC">
        <w:rPr>
          <w:rFonts w:ascii="Times New Roman" w:eastAsia="Times New Roman" w:hAnsi="Times New Roman" w:cs="Times New Roman"/>
          <w:sz w:val="24"/>
          <w:szCs w:val="24"/>
          <w:lang w:eastAsia="es-CL"/>
        </w:rPr>
        <w:t>(</w:t>
      </w:r>
      <w:r w:rsidRPr="006510BC">
        <w:rPr>
          <w:rFonts w:ascii="Times New Roman" w:hAnsi="Times New Roman" w:cs="Times New Roman"/>
          <w:sz w:val="24"/>
          <w:szCs w:val="24"/>
        </w:rPr>
        <w:t>SEREMI V. y U., 2013).</w:t>
      </w:r>
    </w:p>
    <w:p w:rsidR="006510BC" w:rsidRDefault="006510BC" w:rsidP="00DF54B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Las variables sin color dentro del modelo (blanco)  se encuentran de esa forma debido a que estas relaciones no son consideradas por la Memoria Explicativa del Plan, sin embargo, son de gran relevancia para la calidad de vida de la ciudad.</w:t>
      </w:r>
    </w:p>
    <w:p w:rsidR="00D350FA" w:rsidRPr="00DF54B0" w:rsidRDefault="00D350FA" w:rsidP="00DF54B0">
      <w:pPr>
        <w:spacing w:after="0" w:line="360" w:lineRule="auto"/>
        <w:jc w:val="both"/>
        <w:rPr>
          <w:rFonts w:ascii="Times New Roman" w:hAnsi="Times New Roman" w:cs="Times New Roman"/>
          <w:sz w:val="24"/>
          <w:szCs w:val="24"/>
        </w:rPr>
      </w:pPr>
    </w:p>
    <w:p w:rsidR="00223214" w:rsidRPr="00DF54B0" w:rsidRDefault="00223214" w:rsidP="00DF54B0">
      <w:pPr>
        <w:pStyle w:val="Ttulo2"/>
        <w:spacing w:before="0" w:line="360" w:lineRule="auto"/>
        <w:rPr>
          <w:szCs w:val="24"/>
        </w:rPr>
      </w:pPr>
      <w:r w:rsidRPr="00DF54B0">
        <w:rPr>
          <w:szCs w:val="24"/>
        </w:rPr>
        <w:t>Metodología de Planificación del PRMS 100</w:t>
      </w:r>
      <w:bookmarkEnd w:id="0"/>
      <w:bookmarkEnd w:id="1"/>
    </w:p>
    <w:p w:rsidR="00223214" w:rsidRPr="00DF54B0" w:rsidRDefault="00223214" w:rsidP="00DF54B0">
      <w:pPr>
        <w:autoSpaceDE w:val="0"/>
        <w:autoSpaceDN w:val="0"/>
        <w:adjustRightInd w:val="0"/>
        <w:spacing w:after="0" w:line="360" w:lineRule="auto"/>
        <w:jc w:val="both"/>
        <w:rPr>
          <w:rFonts w:ascii="Times New Roman" w:hAnsi="Times New Roman" w:cs="Times New Roman"/>
          <w:sz w:val="24"/>
          <w:szCs w:val="24"/>
        </w:rPr>
      </w:pPr>
      <w:r w:rsidRPr="00DF54B0">
        <w:rPr>
          <w:rFonts w:ascii="Times New Roman" w:hAnsi="Times New Roman" w:cs="Times New Roman"/>
          <w:sz w:val="24"/>
          <w:szCs w:val="24"/>
        </w:rPr>
        <w:t xml:space="preserve">El PRMS 100 determina </w:t>
      </w:r>
      <w:r w:rsidRPr="00DF54B0">
        <w:rPr>
          <w:rFonts w:ascii="Times New Roman" w:hAnsi="Times New Roman" w:cs="Times New Roman"/>
          <w:sz w:val="24"/>
          <w:szCs w:val="24"/>
        </w:rPr>
        <w:t xml:space="preserve">un nuevo suelo </w:t>
      </w:r>
      <w:r w:rsidRPr="00DF54B0">
        <w:rPr>
          <w:rFonts w:ascii="Times New Roman" w:hAnsi="Times New Roman" w:cs="Times New Roman"/>
          <w:sz w:val="24"/>
          <w:szCs w:val="24"/>
        </w:rPr>
        <w:t>urbanizable, la reconversión de</w:t>
      </w:r>
      <w:r w:rsidRPr="00DF54B0">
        <w:rPr>
          <w:rFonts w:ascii="Times New Roman" w:hAnsi="Times New Roman" w:cs="Times New Roman"/>
          <w:sz w:val="24"/>
          <w:szCs w:val="24"/>
        </w:rPr>
        <w:t xml:space="preserve"> suelo y una propuesta de áreas verdes</w:t>
      </w:r>
      <w:r w:rsidRPr="00DF54B0">
        <w:rPr>
          <w:rFonts w:ascii="Times New Roman" w:hAnsi="Times New Roman" w:cs="Times New Roman"/>
          <w:sz w:val="24"/>
          <w:szCs w:val="24"/>
        </w:rPr>
        <w:t>.</w:t>
      </w:r>
      <w:r w:rsidRPr="00DF54B0">
        <w:rPr>
          <w:rFonts w:ascii="Times New Roman" w:hAnsi="Times New Roman" w:cs="Times New Roman"/>
          <w:sz w:val="24"/>
          <w:szCs w:val="24"/>
        </w:rPr>
        <w:t xml:space="preserve"> </w:t>
      </w:r>
      <w:r w:rsidRPr="00DF54B0">
        <w:rPr>
          <w:rFonts w:ascii="Times New Roman" w:hAnsi="Times New Roman" w:cs="Times New Roman"/>
          <w:sz w:val="24"/>
          <w:szCs w:val="24"/>
        </w:rPr>
        <w:t>El</w:t>
      </w:r>
      <w:r w:rsidRPr="00DF54B0">
        <w:rPr>
          <w:rFonts w:ascii="Times New Roman" w:hAnsi="Times New Roman" w:cs="Times New Roman"/>
          <w:sz w:val="24"/>
          <w:szCs w:val="24"/>
        </w:rPr>
        <w:t xml:space="preserve"> nuevo suelo urbanizable se </w:t>
      </w:r>
      <w:r w:rsidRPr="00DF54B0">
        <w:rPr>
          <w:rFonts w:ascii="Times New Roman" w:hAnsi="Times New Roman" w:cs="Times New Roman"/>
          <w:sz w:val="24"/>
          <w:szCs w:val="24"/>
        </w:rPr>
        <w:t xml:space="preserve">definió </w:t>
      </w:r>
      <w:r w:rsidR="007744CC" w:rsidRPr="00DF54B0">
        <w:rPr>
          <w:rFonts w:ascii="Times New Roman" w:hAnsi="Times New Roman" w:cs="Times New Roman"/>
          <w:sz w:val="24"/>
          <w:szCs w:val="24"/>
        </w:rPr>
        <w:t>por</w:t>
      </w:r>
      <w:r w:rsidRPr="00DF54B0">
        <w:rPr>
          <w:rFonts w:ascii="Times New Roman" w:hAnsi="Times New Roman" w:cs="Times New Roman"/>
          <w:sz w:val="24"/>
          <w:szCs w:val="24"/>
        </w:rPr>
        <w:t xml:space="preserve"> 4 criterios: sustentabilidad ambiental, regulación de zonas de parcelas de agrado, conectividad y accesibilidad y, cercanía </w:t>
      </w:r>
      <w:r w:rsidRPr="006510BC">
        <w:rPr>
          <w:rFonts w:ascii="Times New Roman" w:hAnsi="Times New Roman" w:cs="Times New Roman"/>
          <w:sz w:val="24"/>
          <w:szCs w:val="24"/>
        </w:rPr>
        <w:t xml:space="preserve">a </w:t>
      </w:r>
      <w:proofErr w:type="spellStart"/>
      <w:r w:rsidRPr="006510BC">
        <w:rPr>
          <w:rFonts w:ascii="Times New Roman" w:hAnsi="Times New Roman" w:cs="Times New Roman"/>
          <w:sz w:val="24"/>
          <w:szCs w:val="24"/>
        </w:rPr>
        <w:t>subcentros</w:t>
      </w:r>
      <w:proofErr w:type="spellEnd"/>
      <w:r w:rsidRPr="006510BC">
        <w:rPr>
          <w:rFonts w:ascii="Times New Roman" w:hAnsi="Times New Roman" w:cs="Times New Roman"/>
          <w:sz w:val="24"/>
          <w:szCs w:val="24"/>
        </w:rPr>
        <w:t xml:space="preserve"> (resultado en </w:t>
      </w:r>
      <w:r w:rsidR="006510BC" w:rsidRPr="006510BC">
        <w:rPr>
          <w:rFonts w:ascii="Times New Roman" w:hAnsi="Times New Roman" w:cs="Times New Roman"/>
          <w:sz w:val="24"/>
          <w:szCs w:val="24"/>
        </w:rPr>
        <w:fldChar w:fldCharType="begin"/>
      </w:r>
      <w:r w:rsidR="006510BC" w:rsidRPr="006510BC">
        <w:rPr>
          <w:rFonts w:ascii="Times New Roman" w:hAnsi="Times New Roman" w:cs="Times New Roman"/>
          <w:sz w:val="24"/>
          <w:szCs w:val="24"/>
        </w:rPr>
        <w:instrText xml:space="preserve"> REF _Ref434889368 \h </w:instrText>
      </w:r>
      <w:r w:rsidR="006510BC" w:rsidRPr="006510BC">
        <w:rPr>
          <w:rFonts w:ascii="Times New Roman" w:hAnsi="Times New Roman" w:cs="Times New Roman"/>
          <w:sz w:val="24"/>
          <w:szCs w:val="24"/>
        </w:rPr>
      </w:r>
      <w:r w:rsidR="006510BC" w:rsidRPr="006510BC">
        <w:rPr>
          <w:rFonts w:ascii="Times New Roman" w:hAnsi="Times New Roman" w:cs="Times New Roman"/>
          <w:sz w:val="24"/>
          <w:szCs w:val="24"/>
        </w:rPr>
        <w:instrText xml:space="preserve"> \* MERGEFORMAT </w:instrText>
      </w:r>
      <w:r w:rsidR="006510BC" w:rsidRPr="006510BC">
        <w:rPr>
          <w:rFonts w:ascii="Times New Roman" w:hAnsi="Times New Roman" w:cs="Times New Roman"/>
          <w:sz w:val="24"/>
          <w:szCs w:val="24"/>
        </w:rPr>
        <w:fldChar w:fldCharType="separate"/>
      </w:r>
      <w:r w:rsidR="006510BC" w:rsidRPr="006510BC">
        <w:rPr>
          <w:rFonts w:ascii="Times New Roman" w:hAnsi="Times New Roman" w:cs="Times New Roman"/>
          <w:sz w:val="24"/>
          <w:szCs w:val="24"/>
        </w:rPr>
        <w:t xml:space="preserve">Figura </w:t>
      </w:r>
      <w:r w:rsidR="006510BC" w:rsidRPr="006510BC">
        <w:rPr>
          <w:rFonts w:ascii="Times New Roman" w:hAnsi="Times New Roman" w:cs="Times New Roman"/>
          <w:noProof/>
          <w:sz w:val="24"/>
          <w:szCs w:val="24"/>
        </w:rPr>
        <w:t>3</w:t>
      </w:r>
      <w:r w:rsidR="006510BC" w:rsidRPr="006510BC">
        <w:rPr>
          <w:rFonts w:ascii="Times New Roman" w:hAnsi="Times New Roman" w:cs="Times New Roman"/>
          <w:sz w:val="24"/>
          <w:szCs w:val="24"/>
        </w:rPr>
        <w:fldChar w:fldCharType="end"/>
      </w:r>
      <w:r w:rsidRPr="006510BC">
        <w:rPr>
          <w:rFonts w:ascii="Times New Roman" w:hAnsi="Times New Roman" w:cs="Times New Roman"/>
          <w:sz w:val="24"/>
          <w:szCs w:val="24"/>
        </w:rPr>
        <w:t>)</w:t>
      </w:r>
      <w:r w:rsidRPr="006510BC">
        <w:rPr>
          <w:rFonts w:ascii="Times New Roman" w:hAnsi="Times New Roman" w:cs="Times New Roman"/>
          <w:sz w:val="24"/>
          <w:szCs w:val="24"/>
        </w:rPr>
        <w:t>.</w:t>
      </w:r>
      <w:r w:rsidR="001F3DD5" w:rsidRPr="006510BC">
        <w:rPr>
          <w:rFonts w:ascii="Times New Roman" w:hAnsi="Times New Roman" w:cs="Times New Roman"/>
          <w:sz w:val="24"/>
          <w:szCs w:val="24"/>
        </w:rPr>
        <w:t xml:space="preserve"> </w:t>
      </w:r>
      <w:r w:rsidRPr="006510BC">
        <w:rPr>
          <w:rFonts w:ascii="Times New Roman" w:hAnsi="Times New Roman" w:cs="Times New Roman"/>
          <w:sz w:val="24"/>
          <w:szCs w:val="24"/>
        </w:rPr>
        <w:t>El criterio de sus</w:t>
      </w:r>
      <w:r w:rsidRPr="006510BC">
        <w:rPr>
          <w:rFonts w:ascii="Times New Roman" w:hAnsi="Times New Roman" w:cs="Times New Roman"/>
          <w:sz w:val="24"/>
          <w:szCs w:val="24"/>
        </w:rPr>
        <w:t>tentabilidad ambiental consideró t</w:t>
      </w:r>
      <w:r w:rsidRPr="006510BC">
        <w:rPr>
          <w:rFonts w:ascii="Times New Roman" w:hAnsi="Times New Roman" w:cs="Times New Roman"/>
          <w:sz w:val="24"/>
          <w:szCs w:val="24"/>
        </w:rPr>
        <w:t xml:space="preserve">odas las zonas de riesgo de inundación y remoción en masa, de restricción aeroportuaria y de </w:t>
      </w:r>
      <w:proofErr w:type="gramStart"/>
      <w:r w:rsidRPr="006510BC">
        <w:rPr>
          <w:rFonts w:ascii="Times New Roman" w:hAnsi="Times New Roman" w:cs="Times New Roman"/>
          <w:sz w:val="24"/>
          <w:szCs w:val="24"/>
        </w:rPr>
        <w:t>protección ecológica def</w:t>
      </w:r>
      <w:r w:rsidRPr="006510BC">
        <w:rPr>
          <w:rFonts w:ascii="Times New Roman" w:hAnsi="Times New Roman" w:cs="Times New Roman"/>
          <w:sz w:val="24"/>
          <w:szCs w:val="24"/>
        </w:rPr>
        <w:t>inidas</w:t>
      </w:r>
      <w:proofErr w:type="gramEnd"/>
      <w:r w:rsidRPr="006510BC">
        <w:rPr>
          <w:rFonts w:ascii="Times New Roman" w:hAnsi="Times New Roman" w:cs="Times New Roman"/>
          <w:sz w:val="24"/>
          <w:szCs w:val="24"/>
        </w:rPr>
        <w:t xml:space="preserve"> en el PRMS promulgado</w:t>
      </w:r>
      <w:r w:rsidRPr="006510BC">
        <w:rPr>
          <w:rFonts w:ascii="Times New Roman" w:hAnsi="Times New Roman" w:cs="Times New Roman"/>
          <w:sz w:val="24"/>
          <w:szCs w:val="24"/>
        </w:rPr>
        <w:t xml:space="preserve"> el año 1994 (ver </w:t>
      </w:r>
      <w:r w:rsidR="006510BC" w:rsidRPr="006510BC">
        <w:rPr>
          <w:rFonts w:ascii="Times New Roman" w:hAnsi="Times New Roman" w:cs="Times New Roman"/>
          <w:sz w:val="24"/>
          <w:szCs w:val="24"/>
        </w:rPr>
        <w:fldChar w:fldCharType="begin"/>
      </w:r>
      <w:r w:rsidR="006510BC" w:rsidRPr="006510BC">
        <w:rPr>
          <w:rFonts w:ascii="Times New Roman" w:hAnsi="Times New Roman" w:cs="Times New Roman"/>
          <w:sz w:val="24"/>
          <w:szCs w:val="24"/>
        </w:rPr>
        <w:instrText xml:space="preserve"> REF _Ref434889368 \h </w:instrText>
      </w:r>
      <w:r w:rsidR="006510BC" w:rsidRPr="006510BC">
        <w:rPr>
          <w:rFonts w:ascii="Times New Roman" w:hAnsi="Times New Roman" w:cs="Times New Roman"/>
          <w:sz w:val="24"/>
          <w:szCs w:val="24"/>
        </w:rPr>
      </w:r>
      <w:r w:rsidR="006510BC" w:rsidRPr="006510BC">
        <w:rPr>
          <w:rFonts w:ascii="Times New Roman" w:hAnsi="Times New Roman" w:cs="Times New Roman"/>
          <w:sz w:val="24"/>
          <w:szCs w:val="24"/>
        </w:rPr>
        <w:instrText xml:space="preserve"> \* MERGEFORMAT </w:instrText>
      </w:r>
      <w:r w:rsidR="006510BC" w:rsidRPr="006510BC">
        <w:rPr>
          <w:rFonts w:ascii="Times New Roman" w:hAnsi="Times New Roman" w:cs="Times New Roman"/>
          <w:sz w:val="24"/>
          <w:szCs w:val="24"/>
        </w:rPr>
        <w:fldChar w:fldCharType="separate"/>
      </w:r>
      <w:r w:rsidR="006510BC" w:rsidRPr="006510BC">
        <w:rPr>
          <w:rFonts w:ascii="Times New Roman" w:hAnsi="Times New Roman" w:cs="Times New Roman"/>
          <w:sz w:val="24"/>
          <w:szCs w:val="24"/>
        </w:rPr>
        <w:t xml:space="preserve">Figura </w:t>
      </w:r>
      <w:r w:rsidR="006510BC" w:rsidRPr="006510BC">
        <w:rPr>
          <w:rFonts w:ascii="Times New Roman" w:hAnsi="Times New Roman" w:cs="Times New Roman"/>
          <w:noProof/>
          <w:sz w:val="24"/>
          <w:szCs w:val="24"/>
        </w:rPr>
        <w:t>3</w:t>
      </w:r>
      <w:r w:rsidR="006510BC" w:rsidRPr="006510BC">
        <w:rPr>
          <w:rFonts w:ascii="Times New Roman" w:hAnsi="Times New Roman" w:cs="Times New Roman"/>
          <w:sz w:val="24"/>
          <w:szCs w:val="24"/>
        </w:rPr>
        <w:fldChar w:fldCharType="end"/>
      </w:r>
      <w:r w:rsidRPr="006510BC">
        <w:rPr>
          <w:rFonts w:ascii="Times New Roman" w:hAnsi="Times New Roman" w:cs="Times New Roman"/>
          <w:sz w:val="24"/>
          <w:szCs w:val="24"/>
        </w:rPr>
        <w:t>.a). A la superficie resultante del primer criterio</w:t>
      </w:r>
      <w:r w:rsidRPr="006510BC">
        <w:rPr>
          <w:rFonts w:ascii="Times New Roman" w:hAnsi="Times New Roman" w:cs="Times New Roman"/>
          <w:sz w:val="24"/>
          <w:szCs w:val="24"/>
        </w:rPr>
        <w:t xml:space="preserve"> </w:t>
      </w:r>
      <w:r w:rsidRPr="006510BC">
        <w:rPr>
          <w:rFonts w:ascii="Times New Roman" w:hAnsi="Times New Roman" w:cs="Times New Roman"/>
          <w:sz w:val="24"/>
          <w:szCs w:val="24"/>
        </w:rPr>
        <w:t xml:space="preserve">(ver </w:t>
      </w:r>
      <w:r w:rsidR="006510BC" w:rsidRPr="006510BC">
        <w:rPr>
          <w:rFonts w:ascii="Times New Roman" w:hAnsi="Times New Roman" w:cs="Times New Roman"/>
          <w:sz w:val="24"/>
          <w:szCs w:val="24"/>
        </w:rPr>
        <w:fldChar w:fldCharType="begin"/>
      </w:r>
      <w:r w:rsidR="006510BC" w:rsidRPr="006510BC">
        <w:rPr>
          <w:rFonts w:ascii="Times New Roman" w:hAnsi="Times New Roman" w:cs="Times New Roman"/>
          <w:sz w:val="24"/>
          <w:szCs w:val="24"/>
        </w:rPr>
        <w:instrText xml:space="preserve"> REF _Ref434889368 \h </w:instrText>
      </w:r>
      <w:r w:rsidR="006510BC" w:rsidRPr="006510BC">
        <w:rPr>
          <w:rFonts w:ascii="Times New Roman" w:hAnsi="Times New Roman" w:cs="Times New Roman"/>
          <w:sz w:val="24"/>
          <w:szCs w:val="24"/>
        </w:rPr>
      </w:r>
      <w:r w:rsidR="006510BC" w:rsidRPr="006510BC">
        <w:rPr>
          <w:rFonts w:ascii="Times New Roman" w:hAnsi="Times New Roman" w:cs="Times New Roman"/>
          <w:sz w:val="24"/>
          <w:szCs w:val="24"/>
        </w:rPr>
        <w:instrText xml:space="preserve"> \* MERGEFORMAT </w:instrText>
      </w:r>
      <w:r w:rsidR="006510BC" w:rsidRPr="006510BC">
        <w:rPr>
          <w:rFonts w:ascii="Times New Roman" w:hAnsi="Times New Roman" w:cs="Times New Roman"/>
          <w:sz w:val="24"/>
          <w:szCs w:val="24"/>
        </w:rPr>
        <w:fldChar w:fldCharType="separate"/>
      </w:r>
      <w:r w:rsidR="006510BC" w:rsidRPr="006510BC">
        <w:rPr>
          <w:rFonts w:ascii="Times New Roman" w:hAnsi="Times New Roman" w:cs="Times New Roman"/>
          <w:sz w:val="24"/>
          <w:szCs w:val="24"/>
        </w:rPr>
        <w:t xml:space="preserve">Figura </w:t>
      </w:r>
      <w:r w:rsidR="006510BC" w:rsidRPr="006510BC">
        <w:rPr>
          <w:rFonts w:ascii="Times New Roman" w:hAnsi="Times New Roman" w:cs="Times New Roman"/>
          <w:noProof/>
          <w:sz w:val="24"/>
          <w:szCs w:val="24"/>
        </w:rPr>
        <w:t>3</w:t>
      </w:r>
      <w:r w:rsidR="006510BC" w:rsidRPr="006510BC">
        <w:rPr>
          <w:rFonts w:ascii="Times New Roman" w:hAnsi="Times New Roman" w:cs="Times New Roman"/>
          <w:sz w:val="24"/>
          <w:szCs w:val="24"/>
        </w:rPr>
        <w:fldChar w:fldCharType="end"/>
      </w:r>
      <w:r w:rsidR="006510BC" w:rsidRPr="006510BC">
        <w:rPr>
          <w:rFonts w:ascii="Times New Roman" w:hAnsi="Times New Roman" w:cs="Times New Roman"/>
          <w:sz w:val="24"/>
          <w:szCs w:val="24"/>
        </w:rPr>
        <w:t>.</w:t>
      </w:r>
      <w:r w:rsidR="007744CC" w:rsidRPr="006510BC">
        <w:rPr>
          <w:rFonts w:ascii="Times New Roman" w:hAnsi="Times New Roman" w:cs="Times New Roman"/>
          <w:sz w:val="24"/>
          <w:szCs w:val="24"/>
        </w:rPr>
        <w:t>b</w:t>
      </w:r>
      <w:r w:rsidRPr="006510BC">
        <w:rPr>
          <w:rFonts w:ascii="Times New Roman" w:hAnsi="Times New Roman" w:cs="Times New Roman"/>
          <w:sz w:val="24"/>
          <w:szCs w:val="24"/>
        </w:rPr>
        <w:t xml:space="preserve">) </w:t>
      </w:r>
      <w:r w:rsidRPr="006510BC">
        <w:rPr>
          <w:rFonts w:ascii="Times New Roman" w:hAnsi="Times New Roman" w:cs="Times New Roman"/>
          <w:sz w:val="24"/>
          <w:szCs w:val="24"/>
        </w:rPr>
        <w:t xml:space="preserve">se le aplicó un segundo filtro </w:t>
      </w:r>
      <w:r w:rsidRPr="006510BC">
        <w:rPr>
          <w:rFonts w:ascii="Times New Roman" w:hAnsi="Times New Roman" w:cs="Times New Roman"/>
          <w:sz w:val="24"/>
          <w:szCs w:val="24"/>
        </w:rPr>
        <w:t>(</w:t>
      </w:r>
      <w:r w:rsidR="006510BC" w:rsidRPr="006510BC">
        <w:rPr>
          <w:rFonts w:ascii="Times New Roman" w:hAnsi="Times New Roman" w:cs="Times New Roman"/>
          <w:sz w:val="24"/>
          <w:szCs w:val="24"/>
        </w:rPr>
        <w:fldChar w:fldCharType="begin"/>
      </w:r>
      <w:r w:rsidR="006510BC" w:rsidRPr="006510BC">
        <w:rPr>
          <w:rFonts w:ascii="Times New Roman" w:hAnsi="Times New Roman" w:cs="Times New Roman"/>
          <w:sz w:val="24"/>
          <w:szCs w:val="24"/>
        </w:rPr>
        <w:instrText xml:space="preserve"> REF _Ref434889368 \h </w:instrText>
      </w:r>
      <w:r w:rsidR="006510BC" w:rsidRPr="006510BC">
        <w:rPr>
          <w:rFonts w:ascii="Times New Roman" w:hAnsi="Times New Roman" w:cs="Times New Roman"/>
          <w:sz w:val="24"/>
          <w:szCs w:val="24"/>
        </w:rPr>
      </w:r>
      <w:r w:rsidR="006510BC" w:rsidRPr="006510BC">
        <w:rPr>
          <w:rFonts w:ascii="Times New Roman" w:hAnsi="Times New Roman" w:cs="Times New Roman"/>
          <w:sz w:val="24"/>
          <w:szCs w:val="24"/>
        </w:rPr>
        <w:instrText xml:space="preserve"> \* MERGEFORMAT </w:instrText>
      </w:r>
      <w:r w:rsidR="006510BC" w:rsidRPr="006510BC">
        <w:rPr>
          <w:rFonts w:ascii="Times New Roman" w:hAnsi="Times New Roman" w:cs="Times New Roman"/>
          <w:sz w:val="24"/>
          <w:szCs w:val="24"/>
        </w:rPr>
        <w:fldChar w:fldCharType="separate"/>
      </w:r>
      <w:r w:rsidR="006510BC" w:rsidRPr="006510BC">
        <w:rPr>
          <w:rFonts w:ascii="Times New Roman" w:hAnsi="Times New Roman" w:cs="Times New Roman"/>
          <w:sz w:val="24"/>
          <w:szCs w:val="24"/>
        </w:rPr>
        <w:t xml:space="preserve">Figura </w:t>
      </w:r>
      <w:r w:rsidR="006510BC" w:rsidRPr="006510BC">
        <w:rPr>
          <w:rFonts w:ascii="Times New Roman" w:hAnsi="Times New Roman" w:cs="Times New Roman"/>
          <w:noProof/>
          <w:sz w:val="24"/>
          <w:szCs w:val="24"/>
        </w:rPr>
        <w:t>3</w:t>
      </w:r>
      <w:r w:rsidR="006510BC" w:rsidRPr="006510BC">
        <w:rPr>
          <w:rFonts w:ascii="Times New Roman" w:hAnsi="Times New Roman" w:cs="Times New Roman"/>
          <w:sz w:val="24"/>
          <w:szCs w:val="24"/>
        </w:rPr>
        <w:fldChar w:fldCharType="end"/>
      </w:r>
      <w:r w:rsidRPr="006510BC">
        <w:rPr>
          <w:rFonts w:ascii="Times New Roman" w:hAnsi="Times New Roman" w:cs="Times New Roman"/>
          <w:sz w:val="24"/>
          <w:szCs w:val="24"/>
        </w:rPr>
        <w:t>.c)</w:t>
      </w:r>
      <w:r w:rsidRPr="006510BC">
        <w:rPr>
          <w:rFonts w:ascii="Times New Roman" w:hAnsi="Times New Roman" w:cs="Times New Roman"/>
          <w:sz w:val="24"/>
          <w:szCs w:val="24"/>
        </w:rPr>
        <w:t xml:space="preserve"> que excluía las parcelas de agrado</w:t>
      </w:r>
      <w:r w:rsidRPr="006510BC">
        <w:rPr>
          <w:rFonts w:ascii="Times New Roman" w:hAnsi="Times New Roman" w:cs="Times New Roman"/>
          <w:sz w:val="24"/>
          <w:szCs w:val="24"/>
        </w:rPr>
        <w:t xml:space="preserve"> debido a que la SEREMI se encontraba realizando</w:t>
      </w:r>
      <w:r w:rsidRPr="00DF54B0">
        <w:rPr>
          <w:rFonts w:ascii="Times New Roman" w:hAnsi="Times New Roman" w:cs="Times New Roman"/>
          <w:sz w:val="24"/>
          <w:szCs w:val="24"/>
        </w:rPr>
        <w:t xml:space="preserve"> otro estudio </w:t>
      </w:r>
      <w:r w:rsidRPr="00DF54B0">
        <w:rPr>
          <w:rFonts w:ascii="Times New Roman" w:hAnsi="Times New Roman" w:cs="Times New Roman"/>
          <w:sz w:val="24"/>
          <w:szCs w:val="24"/>
        </w:rPr>
        <w:t xml:space="preserve">para </w:t>
      </w:r>
      <w:r w:rsidRPr="00DF54B0">
        <w:rPr>
          <w:rFonts w:ascii="Times New Roman" w:hAnsi="Times New Roman" w:cs="Times New Roman"/>
          <w:sz w:val="24"/>
          <w:szCs w:val="24"/>
        </w:rPr>
        <w:t>establecer una normativa específica para esa situación, la que</w:t>
      </w:r>
      <w:r w:rsidRPr="00DF54B0">
        <w:rPr>
          <w:rFonts w:ascii="Times New Roman" w:hAnsi="Times New Roman" w:cs="Times New Roman"/>
          <w:sz w:val="24"/>
          <w:szCs w:val="24"/>
        </w:rPr>
        <w:t xml:space="preserve"> se abordaría </w:t>
      </w:r>
      <w:r w:rsidRPr="00DF54B0">
        <w:rPr>
          <w:rFonts w:ascii="Times New Roman" w:hAnsi="Times New Roman" w:cs="Times New Roman"/>
          <w:sz w:val="24"/>
          <w:szCs w:val="24"/>
        </w:rPr>
        <w:t>en otro proyecto de modificación</w:t>
      </w:r>
      <w:r w:rsidRPr="00DF54B0">
        <w:rPr>
          <w:rFonts w:ascii="Times New Roman" w:hAnsi="Times New Roman" w:cs="Times New Roman"/>
          <w:sz w:val="24"/>
          <w:szCs w:val="24"/>
        </w:rPr>
        <w:t xml:space="preserve">. </w:t>
      </w:r>
      <w:r w:rsidRPr="00DF54B0">
        <w:rPr>
          <w:rFonts w:ascii="Times New Roman" w:hAnsi="Times New Roman" w:cs="Times New Roman"/>
          <w:sz w:val="24"/>
          <w:szCs w:val="24"/>
        </w:rPr>
        <w:t xml:space="preserve">El </w:t>
      </w:r>
      <w:r w:rsidRPr="00DF54B0">
        <w:rPr>
          <w:rFonts w:ascii="Times New Roman" w:hAnsi="Times New Roman" w:cs="Times New Roman"/>
          <w:sz w:val="24"/>
          <w:szCs w:val="24"/>
        </w:rPr>
        <w:t>criterio</w:t>
      </w:r>
      <w:r w:rsidRPr="00DF54B0">
        <w:rPr>
          <w:rFonts w:ascii="Times New Roman" w:hAnsi="Times New Roman" w:cs="Times New Roman"/>
          <w:sz w:val="24"/>
          <w:szCs w:val="24"/>
        </w:rPr>
        <w:t xml:space="preserve"> de </w:t>
      </w:r>
      <w:r w:rsidRPr="006510BC">
        <w:rPr>
          <w:rFonts w:ascii="Times New Roman" w:hAnsi="Times New Roman" w:cs="Times New Roman"/>
          <w:sz w:val="24"/>
          <w:szCs w:val="24"/>
        </w:rPr>
        <w:t>conectividad y accesibilidad (</w:t>
      </w:r>
      <w:r w:rsidR="006510BC" w:rsidRPr="006510BC">
        <w:rPr>
          <w:rFonts w:ascii="Times New Roman" w:hAnsi="Times New Roman" w:cs="Times New Roman"/>
          <w:sz w:val="24"/>
          <w:szCs w:val="24"/>
        </w:rPr>
        <w:fldChar w:fldCharType="begin"/>
      </w:r>
      <w:r w:rsidR="006510BC" w:rsidRPr="006510BC">
        <w:rPr>
          <w:rFonts w:ascii="Times New Roman" w:hAnsi="Times New Roman" w:cs="Times New Roman"/>
          <w:sz w:val="24"/>
          <w:szCs w:val="24"/>
        </w:rPr>
        <w:instrText xml:space="preserve"> REF _Ref434889368 \h </w:instrText>
      </w:r>
      <w:r w:rsidR="006510BC" w:rsidRPr="006510BC">
        <w:rPr>
          <w:rFonts w:ascii="Times New Roman" w:hAnsi="Times New Roman" w:cs="Times New Roman"/>
          <w:sz w:val="24"/>
          <w:szCs w:val="24"/>
        </w:rPr>
      </w:r>
      <w:r w:rsidR="006510BC" w:rsidRPr="006510BC">
        <w:rPr>
          <w:rFonts w:ascii="Times New Roman" w:hAnsi="Times New Roman" w:cs="Times New Roman"/>
          <w:sz w:val="24"/>
          <w:szCs w:val="24"/>
        </w:rPr>
        <w:instrText xml:space="preserve"> \* MERGEFORMAT </w:instrText>
      </w:r>
      <w:r w:rsidR="006510BC" w:rsidRPr="006510BC">
        <w:rPr>
          <w:rFonts w:ascii="Times New Roman" w:hAnsi="Times New Roman" w:cs="Times New Roman"/>
          <w:sz w:val="24"/>
          <w:szCs w:val="24"/>
        </w:rPr>
        <w:fldChar w:fldCharType="separate"/>
      </w:r>
      <w:r w:rsidR="006510BC" w:rsidRPr="006510BC">
        <w:rPr>
          <w:rFonts w:ascii="Times New Roman" w:hAnsi="Times New Roman" w:cs="Times New Roman"/>
          <w:sz w:val="24"/>
          <w:szCs w:val="24"/>
        </w:rPr>
        <w:t xml:space="preserve">Figura </w:t>
      </w:r>
      <w:r w:rsidR="006510BC" w:rsidRPr="006510BC">
        <w:rPr>
          <w:rFonts w:ascii="Times New Roman" w:hAnsi="Times New Roman" w:cs="Times New Roman"/>
          <w:noProof/>
          <w:sz w:val="24"/>
          <w:szCs w:val="24"/>
        </w:rPr>
        <w:t>3</w:t>
      </w:r>
      <w:r w:rsidR="006510BC" w:rsidRPr="006510BC">
        <w:rPr>
          <w:rFonts w:ascii="Times New Roman" w:hAnsi="Times New Roman" w:cs="Times New Roman"/>
          <w:sz w:val="24"/>
          <w:szCs w:val="24"/>
        </w:rPr>
        <w:fldChar w:fldCharType="end"/>
      </w:r>
      <w:r w:rsidR="006510BC" w:rsidRPr="006510BC">
        <w:rPr>
          <w:rFonts w:ascii="Times New Roman" w:hAnsi="Times New Roman" w:cs="Times New Roman"/>
          <w:sz w:val="24"/>
          <w:szCs w:val="24"/>
        </w:rPr>
        <w:t>.</w:t>
      </w:r>
      <w:r w:rsidRPr="006510BC">
        <w:rPr>
          <w:rFonts w:ascii="Times New Roman" w:hAnsi="Times New Roman" w:cs="Times New Roman"/>
          <w:sz w:val="24"/>
          <w:szCs w:val="24"/>
        </w:rPr>
        <w:t xml:space="preserve">d, </w:t>
      </w:r>
      <w:r w:rsidR="006510BC" w:rsidRPr="006510BC">
        <w:rPr>
          <w:rFonts w:ascii="Times New Roman" w:hAnsi="Times New Roman" w:cs="Times New Roman"/>
          <w:sz w:val="24"/>
          <w:szCs w:val="24"/>
        </w:rPr>
        <w:fldChar w:fldCharType="begin"/>
      </w:r>
      <w:r w:rsidR="006510BC" w:rsidRPr="006510BC">
        <w:rPr>
          <w:rFonts w:ascii="Times New Roman" w:hAnsi="Times New Roman" w:cs="Times New Roman"/>
          <w:sz w:val="24"/>
          <w:szCs w:val="24"/>
        </w:rPr>
        <w:instrText xml:space="preserve"> REF _Ref434889368 \h </w:instrText>
      </w:r>
      <w:r w:rsidR="006510BC" w:rsidRPr="006510BC">
        <w:rPr>
          <w:rFonts w:ascii="Times New Roman" w:hAnsi="Times New Roman" w:cs="Times New Roman"/>
          <w:sz w:val="24"/>
          <w:szCs w:val="24"/>
        </w:rPr>
      </w:r>
      <w:r w:rsidR="006510BC" w:rsidRPr="006510BC">
        <w:rPr>
          <w:rFonts w:ascii="Times New Roman" w:hAnsi="Times New Roman" w:cs="Times New Roman"/>
          <w:sz w:val="24"/>
          <w:szCs w:val="24"/>
        </w:rPr>
        <w:instrText xml:space="preserve"> \* MERGEFORMAT </w:instrText>
      </w:r>
      <w:r w:rsidR="006510BC" w:rsidRPr="006510BC">
        <w:rPr>
          <w:rFonts w:ascii="Times New Roman" w:hAnsi="Times New Roman" w:cs="Times New Roman"/>
          <w:sz w:val="24"/>
          <w:szCs w:val="24"/>
        </w:rPr>
        <w:fldChar w:fldCharType="separate"/>
      </w:r>
      <w:r w:rsidR="006510BC" w:rsidRPr="006510BC">
        <w:rPr>
          <w:rFonts w:ascii="Times New Roman" w:hAnsi="Times New Roman" w:cs="Times New Roman"/>
          <w:sz w:val="24"/>
          <w:szCs w:val="24"/>
        </w:rPr>
        <w:t xml:space="preserve">Figura </w:t>
      </w:r>
      <w:r w:rsidR="006510BC" w:rsidRPr="006510BC">
        <w:rPr>
          <w:rFonts w:ascii="Times New Roman" w:hAnsi="Times New Roman" w:cs="Times New Roman"/>
          <w:noProof/>
          <w:sz w:val="24"/>
          <w:szCs w:val="24"/>
        </w:rPr>
        <w:t>3</w:t>
      </w:r>
      <w:r w:rsidR="006510BC" w:rsidRPr="006510BC">
        <w:rPr>
          <w:rFonts w:ascii="Times New Roman" w:hAnsi="Times New Roman" w:cs="Times New Roman"/>
          <w:sz w:val="24"/>
          <w:szCs w:val="24"/>
        </w:rPr>
        <w:fldChar w:fldCharType="end"/>
      </w:r>
      <w:r w:rsidRPr="006510BC">
        <w:rPr>
          <w:rFonts w:ascii="Times New Roman" w:hAnsi="Times New Roman" w:cs="Times New Roman"/>
          <w:sz w:val="24"/>
          <w:szCs w:val="24"/>
        </w:rPr>
        <w:t>.e),</w:t>
      </w:r>
      <w:r w:rsidRPr="00DF54B0">
        <w:rPr>
          <w:rFonts w:ascii="Times New Roman" w:hAnsi="Times New Roman" w:cs="Times New Roman"/>
          <w:sz w:val="24"/>
          <w:szCs w:val="24"/>
        </w:rPr>
        <w:t xml:space="preserve"> excluyó los territorios (en un buffer de 6 kilómetros) ubicados fuera del área de influencia de los corredores de transporte que comunican Santiago con su área de expansión </w:t>
      </w:r>
      <w:r w:rsidRPr="00DF54B0">
        <w:rPr>
          <w:rFonts w:ascii="Times New Roman" w:hAnsi="Times New Roman" w:cs="Times New Roman"/>
          <w:sz w:val="24"/>
          <w:szCs w:val="24"/>
        </w:rPr>
        <w:t xml:space="preserve">y, </w:t>
      </w:r>
      <w:r w:rsidRPr="00DF54B0">
        <w:rPr>
          <w:rFonts w:ascii="Times New Roman" w:hAnsi="Times New Roman" w:cs="Times New Roman"/>
          <w:sz w:val="24"/>
          <w:szCs w:val="24"/>
        </w:rPr>
        <w:t xml:space="preserve">el cuarto criterio de cercanía </w:t>
      </w:r>
      <w:r w:rsidRPr="00DF54B0">
        <w:rPr>
          <w:rFonts w:ascii="Times New Roman" w:hAnsi="Times New Roman" w:cs="Times New Roman"/>
          <w:sz w:val="24"/>
          <w:szCs w:val="24"/>
        </w:rPr>
        <w:t xml:space="preserve">a </w:t>
      </w:r>
      <w:proofErr w:type="spellStart"/>
      <w:r w:rsidRPr="00DF54B0">
        <w:rPr>
          <w:rFonts w:ascii="Times New Roman" w:hAnsi="Times New Roman" w:cs="Times New Roman"/>
          <w:sz w:val="24"/>
          <w:szCs w:val="24"/>
        </w:rPr>
        <w:t>subcentros</w:t>
      </w:r>
      <w:proofErr w:type="spellEnd"/>
      <w:r w:rsidRPr="00DF54B0">
        <w:rPr>
          <w:rFonts w:ascii="Times New Roman" w:hAnsi="Times New Roman" w:cs="Times New Roman"/>
          <w:sz w:val="24"/>
          <w:szCs w:val="24"/>
        </w:rPr>
        <w:t xml:space="preserve">, </w:t>
      </w:r>
      <w:r w:rsidRPr="00DF54B0">
        <w:rPr>
          <w:rFonts w:ascii="Times New Roman" w:hAnsi="Times New Roman" w:cs="Times New Roman"/>
          <w:sz w:val="24"/>
          <w:szCs w:val="24"/>
        </w:rPr>
        <w:t xml:space="preserve">trazó </w:t>
      </w:r>
      <w:r w:rsidRPr="00DF54B0">
        <w:rPr>
          <w:rFonts w:ascii="Times New Roman" w:hAnsi="Times New Roman" w:cs="Times New Roman"/>
          <w:sz w:val="24"/>
          <w:szCs w:val="24"/>
        </w:rPr>
        <w:t xml:space="preserve"> radios de 5 kilómetros desde los </w:t>
      </w:r>
      <w:proofErr w:type="spellStart"/>
      <w:r w:rsidRPr="00DF54B0">
        <w:rPr>
          <w:rFonts w:ascii="Times New Roman" w:hAnsi="Times New Roman" w:cs="Times New Roman"/>
          <w:sz w:val="24"/>
          <w:szCs w:val="24"/>
        </w:rPr>
        <w:t>subcentros</w:t>
      </w:r>
      <w:proofErr w:type="spellEnd"/>
      <w:r w:rsidRPr="00DF54B0">
        <w:rPr>
          <w:rFonts w:ascii="Times New Roman" w:hAnsi="Times New Roman" w:cs="Times New Roman"/>
          <w:sz w:val="24"/>
          <w:szCs w:val="24"/>
        </w:rPr>
        <w:t xml:space="preserve"> consolidados, con el fin de incluir territorios próximos a la ciudad consolidad</w:t>
      </w:r>
      <w:r w:rsidRPr="006510BC">
        <w:rPr>
          <w:rFonts w:ascii="Times New Roman" w:hAnsi="Times New Roman" w:cs="Times New Roman"/>
          <w:sz w:val="24"/>
          <w:szCs w:val="24"/>
        </w:rPr>
        <w:t xml:space="preserve">a (ver </w:t>
      </w:r>
      <w:r w:rsidR="006510BC" w:rsidRPr="006510BC">
        <w:rPr>
          <w:rFonts w:ascii="Times New Roman" w:hAnsi="Times New Roman" w:cs="Times New Roman"/>
          <w:sz w:val="24"/>
          <w:szCs w:val="24"/>
        </w:rPr>
        <w:fldChar w:fldCharType="begin"/>
      </w:r>
      <w:r w:rsidR="006510BC" w:rsidRPr="006510BC">
        <w:rPr>
          <w:rFonts w:ascii="Times New Roman" w:hAnsi="Times New Roman" w:cs="Times New Roman"/>
          <w:sz w:val="24"/>
          <w:szCs w:val="24"/>
        </w:rPr>
        <w:instrText xml:space="preserve"> REF _Ref434889368 \h </w:instrText>
      </w:r>
      <w:r w:rsidR="006510BC" w:rsidRPr="006510BC">
        <w:rPr>
          <w:rFonts w:ascii="Times New Roman" w:hAnsi="Times New Roman" w:cs="Times New Roman"/>
          <w:sz w:val="24"/>
          <w:szCs w:val="24"/>
        </w:rPr>
      </w:r>
      <w:r w:rsidR="006510BC" w:rsidRPr="006510BC">
        <w:rPr>
          <w:rFonts w:ascii="Times New Roman" w:hAnsi="Times New Roman" w:cs="Times New Roman"/>
          <w:sz w:val="24"/>
          <w:szCs w:val="24"/>
        </w:rPr>
        <w:instrText xml:space="preserve"> \* MERGEFORMAT </w:instrText>
      </w:r>
      <w:r w:rsidR="006510BC" w:rsidRPr="006510BC">
        <w:rPr>
          <w:rFonts w:ascii="Times New Roman" w:hAnsi="Times New Roman" w:cs="Times New Roman"/>
          <w:sz w:val="24"/>
          <w:szCs w:val="24"/>
        </w:rPr>
        <w:fldChar w:fldCharType="separate"/>
      </w:r>
      <w:r w:rsidR="006510BC" w:rsidRPr="006510BC">
        <w:rPr>
          <w:rFonts w:ascii="Times New Roman" w:hAnsi="Times New Roman" w:cs="Times New Roman"/>
          <w:sz w:val="24"/>
          <w:szCs w:val="24"/>
        </w:rPr>
        <w:t xml:space="preserve">Figura </w:t>
      </w:r>
      <w:r w:rsidR="006510BC" w:rsidRPr="006510BC">
        <w:rPr>
          <w:rFonts w:ascii="Times New Roman" w:hAnsi="Times New Roman" w:cs="Times New Roman"/>
          <w:noProof/>
          <w:sz w:val="24"/>
          <w:szCs w:val="24"/>
        </w:rPr>
        <w:t>3</w:t>
      </w:r>
      <w:r w:rsidR="006510BC" w:rsidRPr="006510BC">
        <w:rPr>
          <w:rFonts w:ascii="Times New Roman" w:hAnsi="Times New Roman" w:cs="Times New Roman"/>
          <w:sz w:val="24"/>
          <w:szCs w:val="24"/>
        </w:rPr>
        <w:fldChar w:fldCharType="end"/>
      </w:r>
      <w:r w:rsidR="006510BC" w:rsidRPr="006510BC">
        <w:rPr>
          <w:rFonts w:ascii="Times New Roman" w:hAnsi="Times New Roman" w:cs="Times New Roman"/>
          <w:sz w:val="24"/>
          <w:szCs w:val="24"/>
        </w:rPr>
        <w:t>)</w:t>
      </w:r>
      <w:r w:rsidRPr="00DF54B0">
        <w:rPr>
          <w:rFonts w:ascii="Times New Roman" w:hAnsi="Times New Roman" w:cs="Times New Roman"/>
          <w:sz w:val="24"/>
          <w:szCs w:val="24"/>
        </w:rPr>
        <w:t>.</w:t>
      </w:r>
    </w:p>
    <w:p w:rsidR="00223214" w:rsidRPr="00DF54B0" w:rsidRDefault="00223214" w:rsidP="00DF54B0">
      <w:pPr>
        <w:autoSpaceDE w:val="0"/>
        <w:autoSpaceDN w:val="0"/>
        <w:adjustRightInd w:val="0"/>
        <w:spacing w:after="0" w:line="360" w:lineRule="auto"/>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7744CC" w:rsidRPr="00DF54B0" w:rsidTr="007744CC">
        <w:trPr>
          <w:jc w:val="center"/>
        </w:trPr>
        <w:tc>
          <w:tcPr>
            <w:tcW w:w="8720" w:type="dxa"/>
          </w:tcPr>
          <w:p w:rsidR="00223214" w:rsidRPr="00DF54B0" w:rsidRDefault="00223214" w:rsidP="00DF54B0">
            <w:pPr>
              <w:autoSpaceDE w:val="0"/>
              <w:autoSpaceDN w:val="0"/>
              <w:adjustRightInd w:val="0"/>
              <w:spacing w:after="0" w:line="360" w:lineRule="auto"/>
              <w:rPr>
                <w:rFonts w:ascii="Times New Roman" w:hAnsi="Times New Roman" w:cs="Times New Roman"/>
                <w:sz w:val="24"/>
                <w:szCs w:val="24"/>
              </w:rPr>
            </w:pPr>
            <w:r w:rsidRPr="00DF54B0">
              <w:rPr>
                <w:rFonts w:ascii="Times New Roman" w:hAnsi="Times New Roman" w:cs="Times New Roman"/>
                <w:sz w:val="24"/>
                <w:szCs w:val="24"/>
              </w:rPr>
              <w:lastRenderedPageBreak/>
              <w:t>a)</w:t>
            </w:r>
            <w:r w:rsidRPr="00DF54B0">
              <w:rPr>
                <w:rFonts w:ascii="Times New Roman" w:hAnsi="Times New Roman" w:cs="Times New Roman"/>
                <w:sz w:val="24"/>
                <w:szCs w:val="24"/>
              </w:rPr>
              <w:tab/>
            </w:r>
            <w:r w:rsidRPr="00DF54B0">
              <w:rPr>
                <w:rFonts w:ascii="Times New Roman" w:hAnsi="Times New Roman" w:cs="Times New Roman"/>
                <w:sz w:val="24"/>
                <w:szCs w:val="24"/>
              </w:rPr>
              <w:tab/>
            </w:r>
            <w:r w:rsidRPr="00DF54B0">
              <w:rPr>
                <w:rFonts w:ascii="Times New Roman" w:hAnsi="Times New Roman" w:cs="Times New Roman"/>
                <w:sz w:val="24"/>
                <w:szCs w:val="24"/>
              </w:rPr>
              <w:tab/>
              <w:t xml:space="preserve">           b)</w:t>
            </w:r>
            <w:r w:rsidRPr="00DF54B0">
              <w:rPr>
                <w:rFonts w:ascii="Times New Roman" w:hAnsi="Times New Roman" w:cs="Times New Roman"/>
                <w:sz w:val="24"/>
                <w:szCs w:val="24"/>
              </w:rPr>
              <w:tab/>
            </w:r>
            <w:r w:rsidRPr="00DF54B0">
              <w:rPr>
                <w:rFonts w:ascii="Times New Roman" w:hAnsi="Times New Roman" w:cs="Times New Roman"/>
                <w:sz w:val="24"/>
                <w:szCs w:val="24"/>
              </w:rPr>
              <w:tab/>
            </w:r>
            <w:r w:rsidRPr="00DF54B0">
              <w:rPr>
                <w:rFonts w:ascii="Times New Roman" w:hAnsi="Times New Roman" w:cs="Times New Roman"/>
                <w:sz w:val="24"/>
                <w:szCs w:val="24"/>
              </w:rPr>
              <w:tab/>
            </w:r>
            <w:r w:rsidRPr="00DF54B0">
              <w:rPr>
                <w:rFonts w:ascii="Times New Roman" w:hAnsi="Times New Roman" w:cs="Times New Roman"/>
                <w:sz w:val="24"/>
                <w:szCs w:val="24"/>
              </w:rPr>
              <w:tab/>
              <w:t>c)</w:t>
            </w:r>
          </w:p>
          <w:p w:rsidR="00223214" w:rsidRPr="00DF54B0" w:rsidRDefault="00223214" w:rsidP="00DF54B0">
            <w:pPr>
              <w:autoSpaceDE w:val="0"/>
              <w:autoSpaceDN w:val="0"/>
              <w:adjustRightInd w:val="0"/>
              <w:spacing w:after="0" w:line="360" w:lineRule="auto"/>
              <w:rPr>
                <w:rFonts w:ascii="Times New Roman" w:hAnsi="Times New Roman" w:cs="Times New Roman"/>
                <w:sz w:val="24"/>
                <w:szCs w:val="24"/>
              </w:rPr>
            </w:pPr>
            <w:r w:rsidRPr="00DF54B0">
              <w:rPr>
                <w:rFonts w:ascii="Times New Roman" w:hAnsi="Times New Roman" w:cs="Times New Roman"/>
                <w:noProof/>
                <w:sz w:val="24"/>
                <w:szCs w:val="24"/>
                <w:lang w:eastAsia="es-CL"/>
              </w:rPr>
              <w:drawing>
                <wp:inline distT="0" distB="0" distL="0" distR="0" wp14:anchorId="09A5CC1F" wp14:editId="38947A22">
                  <wp:extent cx="1765300" cy="2200910"/>
                  <wp:effectExtent l="0" t="0" r="6350"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5300" cy="2200910"/>
                          </a:xfrm>
                          <a:prstGeom prst="rect">
                            <a:avLst/>
                          </a:prstGeom>
                          <a:noFill/>
                          <a:ln>
                            <a:noFill/>
                          </a:ln>
                        </pic:spPr>
                      </pic:pic>
                    </a:graphicData>
                  </a:graphic>
                </wp:inline>
              </w:drawing>
            </w:r>
            <w:r w:rsidRPr="00DF54B0">
              <w:rPr>
                <w:rFonts w:ascii="Times New Roman" w:hAnsi="Times New Roman" w:cs="Times New Roman"/>
                <w:noProof/>
                <w:sz w:val="24"/>
                <w:szCs w:val="24"/>
                <w:lang w:eastAsia="es-CL"/>
              </w:rPr>
              <w:drawing>
                <wp:inline distT="0" distB="0" distL="0" distR="0" wp14:anchorId="331E3F06" wp14:editId="2A648666">
                  <wp:extent cx="1765300" cy="2190115"/>
                  <wp:effectExtent l="0" t="0" r="6350" b="635"/>
                  <wp:docPr id="11" name="Imagen 11" descr="cobertur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cobertura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65300" cy="2190115"/>
                          </a:xfrm>
                          <a:prstGeom prst="rect">
                            <a:avLst/>
                          </a:prstGeom>
                          <a:noFill/>
                          <a:ln>
                            <a:noFill/>
                          </a:ln>
                        </pic:spPr>
                      </pic:pic>
                    </a:graphicData>
                  </a:graphic>
                </wp:inline>
              </w:drawing>
            </w:r>
            <w:r w:rsidRPr="00DF54B0">
              <w:rPr>
                <w:rFonts w:ascii="Times New Roman" w:hAnsi="Times New Roman" w:cs="Times New Roman"/>
                <w:noProof/>
                <w:sz w:val="24"/>
                <w:szCs w:val="24"/>
                <w:lang w:eastAsia="es-CL"/>
              </w:rPr>
              <w:drawing>
                <wp:inline distT="0" distB="0" distL="0" distR="0" wp14:anchorId="6D84B9E3" wp14:editId="17DC3A92">
                  <wp:extent cx="1765300" cy="2200910"/>
                  <wp:effectExtent l="0" t="0" r="635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65300" cy="2200910"/>
                          </a:xfrm>
                          <a:prstGeom prst="rect">
                            <a:avLst/>
                          </a:prstGeom>
                          <a:noFill/>
                          <a:ln>
                            <a:noFill/>
                          </a:ln>
                        </pic:spPr>
                      </pic:pic>
                    </a:graphicData>
                  </a:graphic>
                </wp:inline>
              </w:drawing>
            </w:r>
          </w:p>
          <w:p w:rsidR="00223214" w:rsidRPr="00DF54B0" w:rsidRDefault="00223214" w:rsidP="00DF54B0">
            <w:pPr>
              <w:autoSpaceDE w:val="0"/>
              <w:autoSpaceDN w:val="0"/>
              <w:adjustRightInd w:val="0"/>
              <w:spacing w:after="0" w:line="360" w:lineRule="auto"/>
              <w:rPr>
                <w:rFonts w:ascii="Times New Roman" w:hAnsi="Times New Roman" w:cs="Times New Roman"/>
                <w:sz w:val="24"/>
                <w:szCs w:val="24"/>
              </w:rPr>
            </w:pPr>
            <w:r w:rsidRPr="00DF54B0">
              <w:rPr>
                <w:rFonts w:ascii="Times New Roman" w:hAnsi="Times New Roman" w:cs="Times New Roman"/>
                <w:sz w:val="24"/>
                <w:szCs w:val="24"/>
              </w:rPr>
              <w:t xml:space="preserve">d)     </w:t>
            </w:r>
            <w:r w:rsidRPr="00DF54B0">
              <w:rPr>
                <w:rFonts w:ascii="Times New Roman" w:hAnsi="Times New Roman" w:cs="Times New Roman"/>
                <w:sz w:val="24"/>
                <w:szCs w:val="24"/>
              </w:rPr>
              <w:tab/>
            </w:r>
            <w:r w:rsidRPr="00DF54B0">
              <w:rPr>
                <w:rFonts w:ascii="Times New Roman" w:hAnsi="Times New Roman" w:cs="Times New Roman"/>
                <w:sz w:val="24"/>
                <w:szCs w:val="24"/>
              </w:rPr>
              <w:tab/>
              <w:t xml:space="preserve">  </w:t>
            </w:r>
            <w:r w:rsidRPr="00DF54B0">
              <w:rPr>
                <w:rFonts w:ascii="Times New Roman" w:hAnsi="Times New Roman" w:cs="Times New Roman"/>
                <w:sz w:val="24"/>
                <w:szCs w:val="24"/>
              </w:rPr>
              <w:tab/>
            </w:r>
            <w:r w:rsidRPr="00DF54B0">
              <w:rPr>
                <w:rFonts w:ascii="Times New Roman" w:hAnsi="Times New Roman" w:cs="Times New Roman"/>
                <w:sz w:val="24"/>
                <w:szCs w:val="24"/>
              </w:rPr>
              <w:tab/>
              <w:t xml:space="preserve"> e)</w:t>
            </w:r>
            <w:r w:rsidRPr="00DF54B0">
              <w:rPr>
                <w:rFonts w:ascii="Times New Roman" w:hAnsi="Times New Roman" w:cs="Times New Roman"/>
                <w:sz w:val="24"/>
                <w:szCs w:val="24"/>
              </w:rPr>
              <w:tab/>
            </w:r>
            <w:r w:rsidRPr="00DF54B0">
              <w:rPr>
                <w:rFonts w:ascii="Times New Roman" w:hAnsi="Times New Roman" w:cs="Times New Roman"/>
                <w:sz w:val="24"/>
                <w:szCs w:val="24"/>
              </w:rPr>
              <w:tab/>
            </w:r>
            <w:r w:rsidRPr="00DF54B0">
              <w:rPr>
                <w:rFonts w:ascii="Times New Roman" w:hAnsi="Times New Roman" w:cs="Times New Roman"/>
                <w:sz w:val="24"/>
                <w:szCs w:val="24"/>
              </w:rPr>
              <w:tab/>
            </w:r>
            <w:r w:rsidRPr="00DF54B0">
              <w:rPr>
                <w:rFonts w:ascii="Times New Roman" w:hAnsi="Times New Roman" w:cs="Times New Roman"/>
                <w:sz w:val="24"/>
                <w:szCs w:val="24"/>
              </w:rPr>
              <w:tab/>
              <w:t xml:space="preserve"> f)</w:t>
            </w:r>
          </w:p>
          <w:p w:rsidR="00223214" w:rsidRPr="00DF54B0" w:rsidRDefault="00223214" w:rsidP="006510BC">
            <w:pPr>
              <w:keepNext/>
              <w:autoSpaceDE w:val="0"/>
              <w:autoSpaceDN w:val="0"/>
              <w:adjustRightInd w:val="0"/>
              <w:spacing w:after="0" w:line="360" w:lineRule="auto"/>
              <w:rPr>
                <w:rFonts w:ascii="Times New Roman" w:hAnsi="Times New Roman" w:cs="Times New Roman"/>
                <w:sz w:val="24"/>
                <w:szCs w:val="24"/>
              </w:rPr>
            </w:pPr>
            <w:r w:rsidRPr="00DF54B0">
              <w:rPr>
                <w:rFonts w:ascii="Times New Roman" w:hAnsi="Times New Roman" w:cs="Times New Roman"/>
                <w:noProof/>
                <w:sz w:val="24"/>
                <w:szCs w:val="24"/>
                <w:lang w:eastAsia="es-CL"/>
              </w:rPr>
              <w:drawing>
                <wp:inline distT="0" distB="0" distL="0" distR="0" wp14:anchorId="0F6A3F46" wp14:editId="7A0A22D0">
                  <wp:extent cx="1765300" cy="2200910"/>
                  <wp:effectExtent l="0" t="0" r="635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65300" cy="2200910"/>
                          </a:xfrm>
                          <a:prstGeom prst="rect">
                            <a:avLst/>
                          </a:prstGeom>
                          <a:noFill/>
                          <a:ln>
                            <a:noFill/>
                          </a:ln>
                        </pic:spPr>
                      </pic:pic>
                    </a:graphicData>
                  </a:graphic>
                </wp:inline>
              </w:drawing>
            </w:r>
            <w:r w:rsidRPr="00DF54B0">
              <w:rPr>
                <w:rFonts w:ascii="Times New Roman" w:hAnsi="Times New Roman" w:cs="Times New Roman"/>
                <w:noProof/>
                <w:sz w:val="24"/>
                <w:szCs w:val="24"/>
                <w:lang w:eastAsia="es-CL"/>
              </w:rPr>
              <w:drawing>
                <wp:inline distT="0" distB="0" distL="0" distR="0" wp14:anchorId="71E68337" wp14:editId="3344C659">
                  <wp:extent cx="1818005" cy="2200910"/>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18005" cy="2200910"/>
                          </a:xfrm>
                          <a:prstGeom prst="rect">
                            <a:avLst/>
                          </a:prstGeom>
                          <a:noFill/>
                          <a:ln>
                            <a:noFill/>
                          </a:ln>
                        </pic:spPr>
                      </pic:pic>
                    </a:graphicData>
                  </a:graphic>
                </wp:inline>
              </w:drawing>
            </w:r>
            <w:r w:rsidRPr="00DF54B0">
              <w:rPr>
                <w:rFonts w:ascii="Times New Roman" w:hAnsi="Times New Roman" w:cs="Times New Roman"/>
                <w:noProof/>
                <w:sz w:val="24"/>
                <w:szCs w:val="24"/>
                <w:lang w:eastAsia="es-CL"/>
              </w:rPr>
              <w:drawing>
                <wp:inline distT="0" distB="0" distL="0" distR="0" wp14:anchorId="707A176D" wp14:editId="16E19B4C">
                  <wp:extent cx="1711960" cy="2200910"/>
                  <wp:effectExtent l="0" t="0" r="254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1960" cy="2200910"/>
                          </a:xfrm>
                          <a:prstGeom prst="rect">
                            <a:avLst/>
                          </a:prstGeom>
                          <a:noFill/>
                          <a:ln>
                            <a:noFill/>
                          </a:ln>
                        </pic:spPr>
                      </pic:pic>
                    </a:graphicData>
                  </a:graphic>
                </wp:inline>
              </w:drawing>
            </w:r>
          </w:p>
        </w:tc>
      </w:tr>
    </w:tbl>
    <w:p w:rsidR="00223214" w:rsidRPr="006510BC" w:rsidRDefault="006510BC" w:rsidP="006510BC">
      <w:pPr>
        <w:pStyle w:val="Epgrafe"/>
        <w:jc w:val="center"/>
      </w:pPr>
      <w:bookmarkStart w:id="3" w:name="_Ref434889368"/>
      <w:r>
        <w:t xml:space="preserve">Figura </w:t>
      </w:r>
      <w:r>
        <w:fldChar w:fldCharType="begin"/>
      </w:r>
      <w:r>
        <w:instrText xml:space="preserve"> SEQ Figura \* ARABIC </w:instrText>
      </w:r>
      <w:r>
        <w:fldChar w:fldCharType="separate"/>
      </w:r>
      <w:r w:rsidR="00255765">
        <w:rPr>
          <w:noProof/>
        </w:rPr>
        <w:t>3</w:t>
      </w:r>
      <w:r>
        <w:fldChar w:fldCharType="end"/>
      </w:r>
      <w:bookmarkEnd w:id="3"/>
      <w:r>
        <w:t xml:space="preserve">. </w:t>
      </w:r>
      <w:r w:rsidR="00223214" w:rsidRPr="00DF54B0">
        <w:rPr>
          <w:color w:val="auto"/>
          <w:szCs w:val="24"/>
        </w:rPr>
        <w:t>Resultados metodológicos para la definición del nuevo suelo urbanizable.</w:t>
      </w:r>
    </w:p>
    <w:p w:rsidR="007744CC" w:rsidRPr="00DF54B0" w:rsidRDefault="007744CC" w:rsidP="00DF54B0">
      <w:pPr>
        <w:spacing w:after="0" w:line="360" w:lineRule="auto"/>
        <w:jc w:val="center"/>
        <w:rPr>
          <w:rFonts w:ascii="Times New Roman" w:hAnsi="Times New Roman" w:cs="Times New Roman"/>
          <w:sz w:val="24"/>
          <w:szCs w:val="24"/>
          <w:lang w:val="es-ES"/>
        </w:rPr>
      </w:pPr>
      <w:r w:rsidRPr="00DF54B0">
        <w:rPr>
          <w:rFonts w:ascii="Times New Roman" w:hAnsi="Times New Roman" w:cs="Times New Roman"/>
          <w:sz w:val="24"/>
          <w:szCs w:val="24"/>
          <w:lang w:val="es-ES"/>
        </w:rPr>
        <w:t>Fuente: SEREMI V y U</w:t>
      </w:r>
      <w:r w:rsidR="00A95508" w:rsidRPr="00DF54B0">
        <w:rPr>
          <w:rFonts w:ascii="Times New Roman" w:hAnsi="Times New Roman" w:cs="Times New Roman"/>
          <w:sz w:val="24"/>
          <w:szCs w:val="24"/>
          <w:lang w:val="es-ES"/>
        </w:rPr>
        <w:t>, 2013.</w:t>
      </w:r>
    </w:p>
    <w:p w:rsidR="00A95508" w:rsidRDefault="00A95508" w:rsidP="00DF54B0">
      <w:pPr>
        <w:autoSpaceDE w:val="0"/>
        <w:autoSpaceDN w:val="0"/>
        <w:adjustRightInd w:val="0"/>
        <w:spacing w:after="0" w:line="360" w:lineRule="auto"/>
        <w:jc w:val="both"/>
        <w:rPr>
          <w:rFonts w:ascii="Times New Roman" w:hAnsi="Times New Roman" w:cs="Times New Roman"/>
          <w:sz w:val="24"/>
          <w:szCs w:val="24"/>
        </w:rPr>
      </w:pPr>
      <w:bookmarkStart w:id="4" w:name="_Toc436677315"/>
      <w:bookmarkStart w:id="5" w:name="_Toc397951240"/>
      <w:r w:rsidRPr="00DF54B0">
        <w:rPr>
          <w:rFonts w:ascii="Times New Roman" w:hAnsi="Times New Roman" w:cs="Times New Roman"/>
          <w:sz w:val="24"/>
          <w:szCs w:val="24"/>
        </w:rPr>
        <w:t>La metodología de planificación utilizada en el PRMS 100 carece de una mirada estratégica y profundizará las problemáticas ya presentes en la Metrópoli de Santiago, pues la localización de los grupos vulnerables se dan en comunas ya segregadas, radicalizando esta realidad. Esto ocurre debido a que se planifica la ciudad en base al mercado del suelo y la disponibilidad de predios de menor valor.</w:t>
      </w:r>
    </w:p>
    <w:p w:rsidR="00D350FA" w:rsidRPr="00DF54B0" w:rsidRDefault="00D350FA" w:rsidP="00DF54B0">
      <w:pPr>
        <w:autoSpaceDE w:val="0"/>
        <w:autoSpaceDN w:val="0"/>
        <w:adjustRightInd w:val="0"/>
        <w:spacing w:after="0" w:line="360" w:lineRule="auto"/>
        <w:jc w:val="both"/>
        <w:rPr>
          <w:rFonts w:ascii="Times New Roman" w:hAnsi="Times New Roman" w:cs="Times New Roman"/>
          <w:sz w:val="24"/>
          <w:szCs w:val="24"/>
        </w:rPr>
      </w:pPr>
    </w:p>
    <w:bookmarkEnd w:id="4"/>
    <w:p w:rsidR="00223214" w:rsidRPr="00DF54B0" w:rsidRDefault="00674D90" w:rsidP="00DF54B0">
      <w:pPr>
        <w:pStyle w:val="Ttulo2"/>
        <w:spacing w:before="0" w:line="360" w:lineRule="auto"/>
        <w:rPr>
          <w:szCs w:val="24"/>
        </w:rPr>
      </w:pPr>
      <w:r w:rsidRPr="00DF54B0">
        <w:rPr>
          <w:szCs w:val="24"/>
        </w:rPr>
        <w:t>PRMS 100 agravante de las problemáticas metropolitanas</w:t>
      </w:r>
    </w:p>
    <w:p w:rsidR="0063677C" w:rsidRPr="00DF54B0" w:rsidRDefault="0063677C" w:rsidP="00DF54B0">
      <w:pPr>
        <w:autoSpaceDE w:val="0"/>
        <w:autoSpaceDN w:val="0"/>
        <w:adjustRightInd w:val="0"/>
        <w:spacing w:after="0" w:line="360" w:lineRule="auto"/>
        <w:jc w:val="both"/>
        <w:rPr>
          <w:rFonts w:ascii="Times New Roman" w:hAnsi="Times New Roman" w:cs="Times New Roman"/>
          <w:sz w:val="24"/>
          <w:szCs w:val="24"/>
        </w:rPr>
      </w:pPr>
      <w:r w:rsidRPr="00DF54B0">
        <w:rPr>
          <w:rFonts w:ascii="Times New Roman" w:hAnsi="Times New Roman" w:cs="Times New Roman"/>
          <w:sz w:val="24"/>
          <w:szCs w:val="24"/>
        </w:rPr>
        <w:t xml:space="preserve">El objetivo ambiental de plan se define, en base a la información propuesta por la Memoria Explicativa aprobada, de la siguiente forma: </w:t>
      </w:r>
    </w:p>
    <w:p w:rsidR="0063677C" w:rsidRPr="00DF54B0" w:rsidRDefault="0063677C" w:rsidP="00DF54B0">
      <w:pPr>
        <w:autoSpaceDE w:val="0"/>
        <w:autoSpaceDN w:val="0"/>
        <w:adjustRightInd w:val="0"/>
        <w:spacing w:after="0" w:line="360" w:lineRule="auto"/>
        <w:jc w:val="center"/>
        <w:rPr>
          <w:rFonts w:ascii="Times New Roman" w:hAnsi="Times New Roman" w:cs="Times New Roman"/>
          <w:sz w:val="24"/>
          <w:szCs w:val="24"/>
        </w:rPr>
      </w:pPr>
      <w:r w:rsidRPr="00DF54B0">
        <w:rPr>
          <w:rFonts w:ascii="Times New Roman" w:hAnsi="Times New Roman" w:cs="Times New Roman"/>
          <w:i/>
          <w:sz w:val="24"/>
          <w:szCs w:val="24"/>
        </w:rPr>
        <w:t>Urbanizar considerando la minimización de la segregación socio-ambiental-espacial y garantizando el acceso equitativo a los bienes públic</w:t>
      </w:r>
      <w:r w:rsidRPr="00DF54B0">
        <w:rPr>
          <w:rFonts w:ascii="Times New Roman" w:hAnsi="Times New Roman" w:cs="Times New Roman"/>
          <w:i/>
          <w:sz w:val="24"/>
          <w:szCs w:val="24"/>
        </w:rPr>
        <w:t>os urbanos (i.e. áreas verdes).</w:t>
      </w:r>
      <w:r w:rsidRPr="00DF54B0">
        <w:rPr>
          <w:rFonts w:ascii="Times New Roman" w:hAnsi="Times New Roman" w:cs="Times New Roman"/>
          <w:sz w:val="24"/>
          <w:szCs w:val="24"/>
        </w:rPr>
        <w:t xml:space="preserve"> </w:t>
      </w:r>
    </w:p>
    <w:p w:rsidR="0063677C" w:rsidRPr="00DF54B0" w:rsidRDefault="0063677C" w:rsidP="00D350FA">
      <w:pPr>
        <w:autoSpaceDE w:val="0"/>
        <w:autoSpaceDN w:val="0"/>
        <w:adjustRightInd w:val="0"/>
        <w:spacing w:after="0" w:line="360" w:lineRule="auto"/>
        <w:jc w:val="both"/>
        <w:rPr>
          <w:rFonts w:ascii="Times New Roman" w:hAnsi="Times New Roman" w:cs="Times New Roman"/>
          <w:sz w:val="24"/>
          <w:szCs w:val="24"/>
        </w:rPr>
      </w:pPr>
      <w:r w:rsidRPr="00DF54B0">
        <w:rPr>
          <w:rFonts w:ascii="Times New Roman" w:hAnsi="Times New Roman" w:cs="Times New Roman"/>
          <w:sz w:val="24"/>
          <w:szCs w:val="24"/>
        </w:rPr>
        <w:lastRenderedPageBreak/>
        <w:t>El cumplimiento de este objetivo tendría que verse materializado cumpliendo con los siguientes criterios:</w:t>
      </w:r>
    </w:p>
    <w:p w:rsidR="008D759A" w:rsidRPr="00DF54B0" w:rsidRDefault="008D759A" w:rsidP="00DF54B0">
      <w:pPr>
        <w:autoSpaceDE w:val="0"/>
        <w:autoSpaceDN w:val="0"/>
        <w:adjustRightInd w:val="0"/>
        <w:spacing w:after="0" w:line="360" w:lineRule="auto"/>
        <w:jc w:val="both"/>
        <w:rPr>
          <w:rFonts w:ascii="Times New Roman" w:hAnsi="Times New Roman" w:cs="Times New Roman"/>
          <w:sz w:val="24"/>
          <w:szCs w:val="24"/>
        </w:rPr>
      </w:pPr>
      <w:r w:rsidRPr="00DF54B0">
        <w:rPr>
          <w:rFonts w:ascii="Times New Roman" w:hAnsi="Times New Roman" w:cs="Times New Roman"/>
          <w:sz w:val="24"/>
          <w:szCs w:val="24"/>
          <w:u w:val="single"/>
          <w:lang w:val="es-ES_tradnl"/>
        </w:rPr>
        <w:t>Desarrollo urbano equilibrado</w:t>
      </w:r>
      <w:r w:rsidRPr="00DF54B0">
        <w:rPr>
          <w:rFonts w:ascii="Times New Roman" w:hAnsi="Times New Roman" w:cs="Times New Roman"/>
          <w:sz w:val="24"/>
          <w:szCs w:val="24"/>
          <w:u w:val="single"/>
          <w:lang w:val="es-ES_tradnl"/>
        </w:rPr>
        <w:t>:</w:t>
      </w:r>
      <w:r w:rsidRPr="00DF54B0">
        <w:rPr>
          <w:rFonts w:ascii="Times New Roman" w:hAnsi="Times New Roman" w:cs="Times New Roman"/>
          <w:sz w:val="24"/>
          <w:szCs w:val="24"/>
        </w:rPr>
        <w:t xml:space="preserve"> Objetivo: d</w:t>
      </w:r>
      <w:r w:rsidRPr="00DF54B0">
        <w:rPr>
          <w:rFonts w:ascii="Times New Roman" w:hAnsi="Times New Roman" w:cs="Times New Roman"/>
          <w:sz w:val="24"/>
          <w:szCs w:val="24"/>
        </w:rPr>
        <w:t>isminuir la presión sobre el transporte urbano y evitar la radicalización de la segregación socio-espacial</w:t>
      </w:r>
    </w:p>
    <w:p w:rsidR="008D759A" w:rsidRPr="00DF54B0" w:rsidRDefault="008D759A" w:rsidP="00DF54B0">
      <w:pPr>
        <w:pStyle w:val="Prrafodelista"/>
        <w:numPr>
          <w:ilvl w:val="0"/>
          <w:numId w:val="2"/>
        </w:numPr>
        <w:autoSpaceDE w:val="0"/>
        <w:autoSpaceDN w:val="0"/>
        <w:adjustRightInd w:val="0"/>
        <w:spacing w:before="0" w:after="0" w:line="360" w:lineRule="auto"/>
        <w:rPr>
          <w:szCs w:val="24"/>
        </w:rPr>
      </w:pPr>
      <w:r w:rsidRPr="00DF54B0">
        <w:rPr>
          <w:szCs w:val="24"/>
        </w:rPr>
        <w:t>Localización estratégica de las viviendas, optimizando su cercanía a centros de desarrollo consolidados y favoreciendo la proliferación de barrios mixtos.</w:t>
      </w:r>
    </w:p>
    <w:p w:rsidR="008D759A" w:rsidRPr="00DF54B0" w:rsidRDefault="008D759A" w:rsidP="00DF54B0">
      <w:pPr>
        <w:pStyle w:val="Prrafodelista"/>
        <w:numPr>
          <w:ilvl w:val="0"/>
          <w:numId w:val="2"/>
        </w:numPr>
        <w:autoSpaceDE w:val="0"/>
        <w:autoSpaceDN w:val="0"/>
        <w:adjustRightInd w:val="0"/>
        <w:spacing w:before="0" w:after="0" w:line="360" w:lineRule="auto"/>
        <w:rPr>
          <w:szCs w:val="24"/>
          <w:u w:val="single"/>
        </w:rPr>
      </w:pPr>
      <w:r w:rsidRPr="00DF54B0">
        <w:rPr>
          <w:szCs w:val="24"/>
        </w:rPr>
        <w:t>Fomento de un modelo urbano descentralizado en el empleo a través de la disponibilidad de suelo productivo en diferentes puntos del territorio, priorizando la armonía con el uso habitacional y la calidad de vida de los ciudadanos, desincentivando los desplazamientos centro-periferia de fines laborales</w:t>
      </w:r>
    </w:p>
    <w:p w:rsidR="00010D18" w:rsidRPr="00010D18" w:rsidRDefault="00FB1877" w:rsidP="00010D18">
      <w:pPr>
        <w:autoSpaceDE w:val="0"/>
        <w:autoSpaceDN w:val="0"/>
        <w:adjustRightInd w:val="0"/>
        <w:spacing w:after="0" w:line="360" w:lineRule="auto"/>
        <w:jc w:val="both"/>
        <w:rPr>
          <w:rFonts w:ascii="Times New Roman" w:hAnsi="Times New Roman" w:cs="Times New Roman"/>
          <w:sz w:val="24"/>
          <w:szCs w:val="24"/>
          <w:u w:val="single"/>
        </w:rPr>
      </w:pPr>
      <w:r w:rsidRPr="00DF54B0">
        <w:rPr>
          <w:rFonts w:ascii="Times New Roman" w:hAnsi="Times New Roman" w:cs="Times New Roman"/>
          <w:sz w:val="24"/>
          <w:szCs w:val="24"/>
          <w:u w:val="single"/>
        </w:rPr>
        <w:t xml:space="preserve">Resguardo de los servicios </w:t>
      </w:r>
      <w:proofErr w:type="spellStart"/>
      <w:r w:rsidRPr="00DF54B0">
        <w:rPr>
          <w:rFonts w:ascii="Times New Roman" w:hAnsi="Times New Roman" w:cs="Times New Roman"/>
          <w:sz w:val="24"/>
          <w:szCs w:val="24"/>
          <w:u w:val="single"/>
        </w:rPr>
        <w:t>ecosistémicos</w:t>
      </w:r>
      <w:proofErr w:type="spellEnd"/>
      <w:r w:rsidRPr="00DF54B0">
        <w:rPr>
          <w:rFonts w:ascii="Times New Roman" w:hAnsi="Times New Roman" w:cs="Times New Roman"/>
          <w:sz w:val="24"/>
          <w:szCs w:val="24"/>
          <w:u w:val="single"/>
        </w:rPr>
        <w:t>:</w:t>
      </w:r>
      <w:r w:rsidRPr="00DF54B0">
        <w:rPr>
          <w:rFonts w:ascii="Times New Roman" w:hAnsi="Times New Roman" w:cs="Times New Roman"/>
          <w:sz w:val="24"/>
          <w:szCs w:val="24"/>
        </w:rPr>
        <w:t xml:space="preserve"> </w:t>
      </w:r>
      <w:r w:rsidR="008D759A" w:rsidRPr="00DF54B0">
        <w:rPr>
          <w:rFonts w:ascii="Times New Roman" w:hAnsi="Times New Roman" w:cs="Times New Roman"/>
          <w:sz w:val="24"/>
          <w:szCs w:val="24"/>
        </w:rPr>
        <w:t xml:space="preserve">través de la generación de zonas de protección y/o amortiguamiento entre dichos espacios y las zonas urbanas de mayor densidad, considerando el tipo y calidad de los servicios </w:t>
      </w:r>
      <w:proofErr w:type="spellStart"/>
      <w:r w:rsidR="008D759A" w:rsidRPr="00DF54B0">
        <w:rPr>
          <w:rFonts w:ascii="Times New Roman" w:hAnsi="Times New Roman" w:cs="Times New Roman"/>
          <w:sz w:val="24"/>
          <w:szCs w:val="24"/>
        </w:rPr>
        <w:t>ecosistémicos</w:t>
      </w:r>
      <w:proofErr w:type="spellEnd"/>
      <w:r w:rsidR="008D759A" w:rsidRPr="00DF54B0">
        <w:rPr>
          <w:rFonts w:ascii="Times New Roman" w:hAnsi="Times New Roman" w:cs="Times New Roman"/>
          <w:sz w:val="24"/>
          <w:szCs w:val="24"/>
        </w:rPr>
        <w:t xml:space="preserve"> que presentan los recursos. Asimismo, mejorar la calidad de vida en la ciudad, a través de la ubicación estratégica de áreas verdes, favoreciendo corredores continuos y áreas mayores a 1 hectárea</w:t>
      </w:r>
      <w:r w:rsidRPr="00DF54B0">
        <w:rPr>
          <w:rFonts w:ascii="Times New Roman" w:hAnsi="Times New Roman" w:cs="Times New Roman"/>
          <w:sz w:val="24"/>
          <w:szCs w:val="24"/>
        </w:rPr>
        <w:t>.</w:t>
      </w:r>
    </w:p>
    <w:p w:rsidR="00FB1877" w:rsidRPr="00DF54B0" w:rsidRDefault="00FB1877" w:rsidP="00DF54B0">
      <w:pPr>
        <w:spacing w:after="0" w:line="360" w:lineRule="auto"/>
        <w:rPr>
          <w:rFonts w:ascii="Times New Roman" w:hAnsi="Times New Roman" w:cs="Times New Roman"/>
          <w:sz w:val="24"/>
          <w:szCs w:val="24"/>
        </w:rPr>
      </w:pPr>
      <w:r w:rsidRPr="00DF54B0">
        <w:rPr>
          <w:rFonts w:ascii="Times New Roman" w:hAnsi="Times New Roman" w:cs="Times New Roman"/>
          <w:sz w:val="24"/>
          <w:szCs w:val="24"/>
        </w:rPr>
        <w:t>De acuerdo a la información de la Memoria Explicativa, se identifican los siguientes Factores Críticos de Decisión, con el alcance del mismo:</w:t>
      </w:r>
    </w:p>
    <w:p w:rsidR="00FB1877" w:rsidRPr="00DF54B0" w:rsidRDefault="00FB1877" w:rsidP="00DF54B0">
      <w:pPr>
        <w:spacing w:after="0" w:line="360" w:lineRule="auto"/>
        <w:jc w:val="both"/>
        <w:rPr>
          <w:rFonts w:ascii="Times New Roman" w:hAnsi="Times New Roman" w:cs="Times New Roman"/>
          <w:sz w:val="24"/>
          <w:szCs w:val="24"/>
        </w:rPr>
      </w:pPr>
      <w:r w:rsidRPr="00DF54B0">
        <w:rPr>
          <w:rFonts w:ascii="Times New Roman" w:hAnsi="Times New Roman" w:cs="Times New Roman"/>
          <w:sz w:val="24"/>
          <w:szCs w:val="24"/>
          <w:u w:val="single"/>
        </w:rPr>
        <w:t>Necesidad de planificar la ciudad</w:t>
      </w:r>
      <w:r w:rsidRPr="00DF54B0">
        <w:rPr>
          <w:rFonts w:ascii="Times New Roman" w:hAnsi="Times New Roman" w:cs="Times New Roman"/>
          <w:sz w:val="24"/>
          <w:szCs w:val="24"/>
          <w:u w:val="single"/>
        </w:rPr>
        <w:t>:</w:t>
      </w:r>
      <w:r w:rsidRPr="00DF54B0">
        <w:rPr>
          <w:rFonts w:ascii="Times New Roman" w:hAnsi="Times New Roman" w:cs="Times New Roman"/>
          <w:sz w:val="24"/>
          <w:szCs w:val="24"/>
        </w:rPr>
        <w:t xml:space="preserve"> </w:t>
      </w:r>
      <w:r w:rsidRPr="00DF54B0">
        <w:rPr>
          <w:rFonts w:ascii="Times New Roman" w:hAnsi="Times New Roman" w:cs="Times New Roman"/>
          <w:sz w:val="24"/>
          <w:szCs w:val="24"/>
        </w:rPr>
        <w:t>Evaluar el tipo de planificación de la ciudad y su interacción con problemas de transporte, medio ambiente y segregación</w:t>
      </w:r>
      <w:r w:rsidRPr="00DF54B0">
        <w:rPr>
          <w:rFonts w:ascii="Times New Roman" w:hAnsi="Times New Roman" w:cs="Times New Roman"/>
          <w:sz w:val="24"/>
          <w:szCs w:val="24"/>
        </w:rPr>
        <w:t>.</w:t>
      </w:r>
    </w:p>
    <w:p w:rsidR="00FB1877" w:rsidRPr="00DF54B0" w:rsidRDefault="00FB1877" w:rsidP="00DF54B0">
      <w:pPr>
        <w:spacing w:after="0" w:line="360" w:lineRule="auto"/>
        <w:jc w:val="both"/>
        <w:rPr>
          <w:rFonts w:ascii="Times New Roman" w:hAnsi="Times New Roman" w:cs="Times New Roman"/>
          <w:sz w:val="24"/>
          <w:szCs w:val="24"/>
        </w:rPr>
      </w:pPr>
      <w:r w:rsidRPr="00DF54B0">
        <w:rPr>
          <w:rFonts w:ascii="Times New Roman" w:hAnsi="Times New Roman" w:cs="Times New Roman"/>
          <w:sz w:val="24"/>
          <w:szCs w:val="24"/>
          <w:u w:val="single"/>
        </w:rPr>
        <w:t>La ciudad debe equilibrarse</w:t>
      </w:r>
      <w:r w:rsidRPr="00DF54B0">
        <w:rPr>
          <w:rFonts w:ascii="Times New Roman" w:hAnsi="Times New Roman" w:cs="Times New Roman"/>
          <w:sz w:val="24"/>
          <w:szCs w:val="24"/>
          <w:u w:val="single"/>
        </w:rPr>
        <w:t>:</w:t>
      </w:r>
      <w:r w:rsidRPr="00DF54B0">
        <w:rPr>
          <w:rFonts w:ascii="Times New Roman" w:hAnsi="Times New Roman" w:cs="Times New Roman"/>
          <w:sz w:val="24"/>
          <w:szCs w:val="24"/>
        </w:rPr>
        <w:t xml:space="preserve"> </w:t>
      </w:r>
      <w:r w:rsidRPr="00DF54B0">
        <w:rPr>
          <w:rFonts w:ascii="Times New Roman" w:hAnsi="Times New Roman" w:cs="Times New Roman"/>
          <w:sz w:val="24"/>
          <w:szCs w:val="24"/>
        </w:rPr>
        <w:t>Evaluar la contribución al equilibro de la ciudad, el tipo de crecimiento, desde la perspectiva de la oferta de servicios, la incorporación de atributos naturales al desarrollo de la ciudad (ríos, cerros islas, parques)</w:t>
      </w:r>
    </w:p>
    <w:p w:rsidR="00FB1877" w:rsidRPr="00DF54B0" w:rsidRDefault="00FB1877" w:rsidP="00DF54B0">
      <w:pPr>
        <w:spacing w:after="0" w:line="360" w:lineRule="auto"/>
        <w:jc w:val="both"/>
        <w:rPr>
          <w:rFonts w:ascii="Times New Roman" w:hAnsi="Times New Roman" w:cs="Times New Roman"/>
          <w:sz w:val="24"/>
          <w:szCs w:val="24"/>
        </w:rPr>
      </w:pPr>
      <w:r w:rsidRPr="00DF54B0">
        <w:rPr>
          <w:rFonts w:ascii="Times New Roman" w:hAnsi="Times New Roman" w:cs="Times New Roman"/>
          <w:sz w:val="24"/>
          <w:szCs w:val="24"/>
          <w:u w:val="single"/>
        </w:rPr>
        <w:t>Costo ambiental</w:t>
      </w:r>
      <w:r w:rsidRPr="00DF54B0">
        <w:rPr>
          <w:rFonts w:ascii="Times New Roman" w:hAnsi="Times New Roman" w:cs="Times New Roman"/>
          <w:sz w:val="24"/>
          <w:szCs w:val="24"/>
          <w:u w:val="single"/>
        </w:rPr>
        <w:t>:</w:t>
      </w:r>
      <w:r w:rsidRPr="00DF54B0">
        <w:rPr>
          <w:rFonts w:ascii="Times New Roman" w:hAnsi="Times New Roman" w:cs="Times New Roman"/>
          <w:sz w:val="24"/>
          <w:szCs w:val="24"/>
        </w:rPr>
        <w:t xml:space="preserve"> </w:t>
      </w:r>
      <w:r w:rsidRPr="00DF54B0">
        <w:rPr>
          <w:rFonts w:ascii="Times New Roman" w:hAnsi="Times New Roman" w:cs="Times New Roman"/>
          <w:sz w:val="24"/>
          <w:szCs w:val="24"/>
        </w:rPr>
        <w:t>Evaluar la contribución del tipo de crecimiento al deterioro ambiental de la ciudad</w:t>
      </w:r>
      <w:r w:rsidRPr="00DF54B0">
        <w:rPr>
          <w:rFonts w:ascii="Times New Roman" w:hAnsi="Times New Roman" w:cs="Times New Roman"/>
          <w:sz w:val="24"/>
          <w:szCs w:val="24"/>
        </w:rPr>
        <w:t>.</w:t>
      </w:r>
    </w:p>
    <w:p w:rsidR="00FB1877" w:rsidRPr="00DF54B0" w:rsidRDefault="00FB1877" w:rsidP="00DF54B0">
      <w:pPr>
        <w:spacing w:after="0" w:line="360" w:lineRule="auto"/>
        <w:jc w:val="both"/>
        <w:rPr>
          <w:rFonts w:ascii="Times New Roman" w:hAnsi="Times New Roman" w:cs="Times New Roman"/>
          <w:sz w:val="24"/>
          <w:szCs w:val="24"/>
          <w:u w:val="single"/>
        </w:rPr>
      </w:pPr>
      <w:r w:rsidRPr="00DF54B0">
        <w:rPr>
          <w:rFonts w:ascii="Times New Roman" w:hAnsi="Times New Roman" w:cs="Times New Roman"/>
          <w:sz w:val="24"/>
          <w:szCs w:val="24"/>
          <w:u w:val="single"/>
        </w:rPr>
        <w:t>Desarrollo económico y social</w:t>
      </w:r>
      <w:r w:rsidRPr="00DF54B0">
        <w:rPr>
          <w:rFonts w:ascii="Times New Roman" w:hAnsi="Times New Roman" w:cs="Times New Roman"/>
          <w:sz w:val="24"/>
          <w:szCs w:val="24"/>
          <w:u w:val="single"/>
        </w:rPr>
        <w:t>:</w:t>
      </w:r>
      <w:r w:rsidRPr="00DF54B0">
        <w:rPr>
          <w:rFonts w:ascii="Times New Roman" w:hAnsi="Times New Roman" w:cs="Times New Roman"/>
          <w:sz w:val="24"/>
          <w:szCs w:val="24"/>
        </w:rPr>
        <w:t xml:space="preserve"> </w:t>
      </w:r>
      <w:r w:rsidRPr="00DF54B0">
        <w:rPr>
          <w:rFonts w:ascii="Times New Roman" w:hAnsi="Times New Roman" w:cs="Times New Roman"/>
          <w:sz w:val="24"/>
          <w:szCs w:val="24"/>
        </w:rPr>
        <w:t>Evaluar si el tipo de crecimiento multiplica el desarrollo social y económico para sus habitantes</w:t>
      </w:r>
    </w:p>
    <w:p w:rsidR="00010D18" w:rsidRDefault="00010D18" w:rsidP="00010D18">
      <w:pPr>
        <w:pStyle w:val="Epgrafe"/>
        <w:keepNext/>
        <w:jc w:val="center"/>
      </w:pPr>
      <w:r>
        <w:t xml:space="preserve">Cuadro </w:t>
      </w:r>
      <w:r>
        <w:fldChar w:fldCharType="begin"/>
      </w:r>
      <w:r>
        <w:instrText xml:space="preserve"> SEQ Cuadro \* ARABIC </w:instrText>
      </w:r>
      <w:r>
        <w:fldChar w:fldCharType="separate"/>
      </w:r>
      <w:r>
        <w:rPr>
          <w:noProof/>
        </w:rPr>
        <w:t>1</w:t>
      </w:r>
      <w:r>
        <w:fldChar w:fldCharType="end"/>
      </w:r>
      <w:r>
        <w:t>. Elementos de evaluación de la propuesta y Conclusiones principales</w:t>
      </w:r>
    </w:p>
    <w:tbl>
      <w:tblPr>
        <w:tblStyle w:val="Tablaconcuadrcula"/>
        <w:tblW w:w="5000" w:type="pct"/>
        <w:tblLook w:val="04A0" w:firstRow="1" w:lastRow="0" w:firstColumn="1" w:lastColumn="0" w:noHBand="0" w:noVBand="1"/>
      </w:tblPr>
      <w:tblGrid>
        <w:gridCol w:w="4644"/>
        <w:gridCol w:w="4645"/>
      </w:tblGrid>
      <w:tr w:rsidR="00DF54B0" w:rsidRPr="00DF54B0" w:rsidTr="00DF54B0">
        <w:tc>
          <w:tcPr>
            <w:tcW w:w="2500" w:type="pct"/>
          </w:tcPr>
          <w:p w:rsidR="00DF54B0" w:rsidRPr="00DF54B0" w:rsidRDefault="00010D18" w:rsidP="00010D18">
            <w:pPr>
              <w:spacing w:line="360" w:lineRule="auto"/>
              <w:jc w:val="center"/>
              <w:rPr>
                <w:rFonts w:ascii="Times New Roman" w:hAnsi="Times New Roman" w:cs="Times New Roman"/>
                <w:sz w:val="24"/>
                <w:szCs w:val="24"/>
              </w:rPr>
            </w:pPr>
            <w:r>
              <w:rPr>
                <w:rFonts w:ascii="Times New Roman" w:hAnsi="Times New Roman" w:cs="Times New Roman"/>
                <w:sz w:val="24"/>
                <w:szCs w:val="24"/>
              </w:rPr>
              <w:t>Elemento</w:t>
            </w:r>
          </w:p>
        </w:tc>
        <w:tc>
          <w:tcPr>
            <w:tcW w:w="2500" w:type="pct"/>
          </w:tcPr>
          <w:p w:rsidR="00DF54B0" w:rsidRPr="00DF54B0" w:rsidRDefault="00010D18" w:rsidP="00010D18">
            <w:pPr>
              <w:spacing w:line="360" w:lineRule="auto"/>
              <w:jc w:val="center"/>
              <w:rPr>
                <w:rFonts w:ascii="Times New Roman" w:hAnsi="Times New Roman" w:cs="Times New Roman"/>
                <w:sz w:val="24"/>
                <w:szCs w:val="24"/>
              </w:rPr>
            </w:pPr>
            <w:r>
              <w:rPr>
                <w:rFonts w:ascii="Times New Roman" w:hAnsi="Times New Roman" w:cs="Times New Roman"/>
                <w:sz w:val="24"/>
                <w:szCs w:val="24"/>
              </w:rPr>
              <w:t>Conclusión</w:t>
            </w:r>
          </w:p>
        </w:tc>
      </w:tr>
      <w:tr w:rsidR="00010D18" w:rsidRPr="00DF54B0" w:rsidTr="00010D18">
        <w:tc>
          <w:tcPr>
            <w:tcW w:w="5000" w:type="pct"/>
            <w:gridSpan w:val="2"/>
          </w:tcPr>
          <w:p w:rsidR="00010D18" w:rsidRDefault="00010D18" w:rsidP="00010D18">
            <w:pPr>
              <w:spacing w:line="360" w:lineRule="auto"/>
              <w:rPr>
                <w:rFonts w:ascii="Times New Roman" w:hAnsi="Times New Roman" w:cs="Times New Roman"/>
                <w:sz w:val="24"/>
                <w:szCs w:val="24"/>
              </w:rPr>
            </w:pPr>
            <w:r>
              <w:rPr>
                <w:rFonts w:ascii="Times New Roman" w:hAnsi="Times New Roman" w:cs="Times New Roman"/>
                <w:sz w:val="24"/>
                <w:szCs w:val="24"/>
              </w:rPr>
              <w:t>Objetivo ambiental</w:t>
            </w:r>
          </w:p>
        </w:tc>
      </w:tr>
      <w:tr w:rsidR="00DF54B0" w:rsidRPr="00DF54B0" w:rsidTr="00DF54B0">
        <w:tc>
          <w:tcPr>
            <w:tcW w:w="2500" w:type="pct"/>
          </w:tcPr>
          <w:p w:rsidR="00DF54B0" w:rsidRPr="00DF54B0" w:rsidRDefault="00DF54B0" w:rsidP="00010D18">
            <w:pPr>
              <w:autoSpaceDE w:val="0"/>
              <w:autoSpaceDN w:val="0"/>
              <w:adjustRightInd w:val="0"/>
              <w:spacing w:line="360" w:lineRule="auto"/>
              <w:jc w:val="both"/>
              <w:rPr>
                <w:rFonts w:ascii="Times New Roman" w:hAnsi="Times New Roman" w:cs="Times New Roman"/>
                <w:sz w:val="24"/>
                <w:szCs w:val="24"/>
              </w:rPr>
            </w:pPr>
            <w:r w:rsidRPr="00DF54B0">
              <w:rPr>
                <w:rFonts w:ascii="Times New Roman" w:hAnsi="Times New Roman" w:cs="Times New Roman"/>
                <w:sz w:val="24"/>
                <w:szCs w:val="24"/>
              </w:rPr>
              <w:t xml:space="preserve">Urbanizar considerando la minimización de la segregación socio-ambiental-espacial y garantizando el acceso equitativo a los bienes públicos urbanos (i.e. áreas verdes). </w:t>
            </w:r>
          </w:p>
          <w:p w:rsidR="00DF54B0" w:rsidRPr="00DF54B0" w:rsidRDefault="00DF54B0" w:rsidP="00010D18">
            <w:pPr>
              <w:spacing w:line="360" w:lineRule="auto"/>
              <w:jc w:val="both"/>
              <w:rPr>
                <w:rFonts w:ascii="Times New Roman" w:hAnsi="Times New Roman" w:cs="Times New Roman"/>
                <w:sz w:val="24"/>
                <w:szCs w:val="24"/>
              </w:rPr>
            </w:pPr>
          </w:p>
        </w:tc>
        <w:tc>
          <w:tcPr>
            <w:tcW w:w="2500" w:type="pct"/>
          </w:tcPr>
          <w:p w:rsidR="00DF54B0" w:rsidRPr="00DF54B0" w:rsidRDefault="00DF54B0" w:rsidP="00010D18">
            <w:pPr>
              <w:spacing w:line="360" w:lineRule="auto"/>
              <w:jc w:val="both"/>
              <w:rPr>
                <w:rFonts w:ascii="Times New Roman" w:hAnsi="Times New Roman" w:cs="Times New Roman"/>
                <w:sz w:val="24"/>
                <w:szCs w:val="24"/>
              </w:rPr>
            </w:pPr>
            <w:r w:rsidRPr="00DF54B0">
              <w:rPr>
                <w:rFonts w:ascii="Times New Roman" w:hAnsi="Times New Roman" w:cs="Times New Roman"/>
                <w:sz w:val="24"/>
                <w:szCs w:val="24"/>
              </w:rPr>
              <w:t>Se densifican comunas que se encuentran segregadas y vulnerables, sin grandes ofertas de empleo y educación, por lo que se acentuarán los problemas de movilidad urbana.</w:t>
            </w:r>
          </w:p>
        </w:tc>
      </w:tr>
      <w:tr w:rsidR="00010D18" w:rsidRPr="00DF54B0" w:rsidTr="00010D18">
        <w:tc>
          <w:tcPr>
            <w:tcW w:w="5000" w:type="pct"/>
            <w:gridSpan w:val="2"/>
          </w:tcPr>
          <w:p w:rsidR="00010D18" w:rsidRPr="00DF54B0" w:rsidRDefault="00010D18" w:rsidP="00010D18">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Criterios de desarrollo sustentable</w:t>
            </w:r>
          </w:p>
        </w:tc>
      </w:tr>
      <w:tr w:rsidR="00DF54B0" w:rsidRPr="00DF54B0" w:rsidTr="00DF54B0">
        <w:tc>
          <w:tcPr>
            <w:tcW w:w="2500" w:type="pct"/>
          </w:tcPr>
          <w:p w:rsidR="00010D18" w:rsidRDefault="00010D18" w:rsidP="00010D18">
            <w:pPr>
              <w:spacing w:line="360" w:lineRule="auto"/>
              <w:jc w:val="both"/>
              <w:rPr>
                <w:rFonts w:ascii="Times New Roman" w:hAnsi="Times New Roman" w:cs="Times New Roman"/>
                <w:sz w:val="24"/>
                <w:szCs w:val="24"/>
              </w:rPr>
            </w:pPr>
            <w:r>
              <w:rPr>
                <w:rFonts w:ascii="Times New Roman" w:hAnsi="Times New Roman" w:cs="Times New Roman"/>
                <w:sz w:val="24"/>
                <w:szCs w:val="24"/>
                <w:u w:val="single"/>
                <w:lang w:val="es-ES_tradnl"/>
              </w:rPr>
              <w:t xml:space="preserve">Desarrollo </w:t>
            </w:r>
            <w:r w:rsidR="00DF54B0" w:rsidRPr="00DF54B0">
              <w:rPr>
                <w:rFonts w:ascii="Times New Roman" w:hAnsi="Times New Roman" w:cs="Times New Roman"/>
                <w:sz w:val="24"/>
                <w:szCs w:val="24"/>
                <w:u w:val="single"/>
                <w:lang w:val="es-ES_tradnl"/>
              </w:rPr>
              <w:t>urbano equilibrado:</w:t>
            </w:r>
            <w:r w:rsidR="00DF54B0" w:rsidRPr="00DF54B0">
              <w:rPr>
                <w:rFonts w:ascii="Times New Roman" w:hAnsi="Times New Roman" w:cs="Times New Roman"/>
                <w:sz w:val="24"/>
                <w:szCs w:val="24"/>
              </w:rPr>
              <w:t xml:space="preserve"> </w:t>
            </w:r>
          </w:p>
          <w:p w:rsidR="00010D18" w:rsidRDefault="00010D18" w:rsidP="00010D18">
            <w:pPr>
              <w:spacing w:line="360" w:lineRule="auto"/>
              <w:jc w:val="both"/>
              <w:rPr>
                <w:rFonts w:ascii="Times New Roman" w:hAnsi="Times New Roman" w:cs="Times New Roman"/>
                <w:sz w:val="24"/>
                <w:szCs w:val="24"/>
              </w:rPr>
            </w:pPr>
            <w:r>
              <w:rPr>
                <w:rFonts w:ascii="Times New Roman" w:hAnsi="Times New Roman" w:cs="Times New Roman"/>
                <w:sz w:val="24"/>
                <w:szCs w:val="24"/>
              </w:rPr>
              <w:t>Disminución de</w:t>
            </w:r>
            <w:r w:rsidR="00DF54B0" w:rsidRPr="00DF54B0">
              <w:rPr>
                <w:rFonts w:ascii="Times New Roman" w:hAnsi="Times New Roman" w:cs="Times New Roman"/>
                <w:sz w:val="24"/>
                <w:szCs w:val="24"/>
              </w:rPr>
              <w:t xml:space="preserve"> la presión sobre el transporte urbano y evitar la radicalización de la segregación socio-espacial</w:t>
            </w:r>
            <w:r w:rsidRPr="00DF54B0">
              <w:rPr>
                <w:rFonts w:ascii="Times New Roman" w:hAnsi="Times New Roman" w:cs="Times New Roman"/>
                <w:sz w:val="24"/>
                <w:szCs w:val="24"/>
              </w:rPr>
              <w:t xml:space="preserve"> </w:t>
            </w:r>
          </w:p>
          <w:p w:rsidR="00010D18" w:rsidRDefault="00010D18" w:rsidP="00010D18">
            <w:pPr>
              <w:spacing w:line="360" w:lineRule="auto"/>
              <w:jc w:val="both"/>
              <w:rPr>
                <w:rFonts w:ascii="Times New Roman" w:hAnsi="Times New Roman" w:cs="Times New Roman"/>
                <w:sz w:val="24"/>
                <w:szCs w:val="24"/>
              </w:rPr>
            </w:pPr>
            <w:r w:rsidRPr="00DF54B0">
              <w:rPr>
                <w:rFonts w:ascii="Times New Roman" w:hAnsi="Times New Roman" w:cs="Times New Roman"/>
                <w:sz w:val="24"/>
                <w:szCs w:val="24"/>
              </w:rPr>
              <w:t>Localización estratégica de las viviendas, optimizando su cercanía a centros de desarrollo consolidados y favoreciendo la proliferación de barrios mixtos.</w:t>
            </w:r>
            <w:r w:rsidRPr="00DF54B0">
              <w:rPr>
                <w:rFonts w:ascii="Times New Roman" w:hAnsi="Times New Roman" w:cs="Times New Roman"/>
                <w:sz w:val="24"/>
                <w:szCs w:val="24"/>
              </w:rPr>
              <w:t xml:space="preserve"> </w:t>
            </w:r>
          </w:p>
          <w:p w:rsidR="00DF54B0" w:rsidRPr="00DF54B0" w:rsidRDefault="00010D18" w:rsidP="00010D18">
            <w:pPr>
              <w:spacing w:line="360" w:lineRule="auto"/>
              <w:jc w:val="both"/>
              <w:rPr>
                <w:rFonts w:ascii="Times New Roman" w:hAnsi="Times New Roman" w:cs="Times New Roman"/>
                <w:sz w:val="24"/>
                <w:szCs w:val="24"/>
              </w:rPr>
            </w:pPr>
            <w:r w:rsidRPr="00DF54B0">
              <w:rPr>
                <w:rFonts w:ascii="Times New Roman" w:hAnsi="Times New Roman" w:cs="Times New Roman"/>
                <w:sz w:val="24"/>
                <w:szCs w:val="24"/>
              </w:rPr>
              <w:t>Fomento de un modelo urbano descentralizado en el empleo a través de la disponibilidad de suelo productivo en diferentes puntos del territorio, priorizando la armonía con el uso habitacional y la calidad de vida de los ciudadanos, desincentivando los desplazamientos centro-periferia de fines laborales</w:t>
            </w:r>
          </w:p>
        </w:tc>
        <w:tc>
          <w:tcPr>
            <w:tcW w:w="2500" w:type="pct"/>
          </w:tcPr>
          <w:p w:rsidR="00010D18" w:rsidRDefault="00010D18" w:rsidP="00010D18">
            <w:pPr>
              <w:spacing w:line="360" w:lineRule="auto"/>
              <w:jc w:val="both"/>
              <w:rPr>
                <w:rFonts w:ascii="Times New Roman" w:hAnsi="Times New Roman" w:cs="Times New Roman"/>
                <w:sz w:val="24"/>
                <w:szCs w:val="24"/>
              </w:rPr>
            </w:pPr>
          </w:p>
          <w:p w:rsidR="00DF54B0" w:rsidRDefault="00DF54B0" w:rsidP="00010D18">
            <w:pPr>
              <w:spacing w:line="360" w:lineRule="auto"/>
              <w:jc w:val="both"/>
              <w:rPr>
                <w:rFonts w:ascii="Times New Roman" w:hAnsi="Times New Roman" w:cs="Times New Roman"/>
                <w:sz w:val="24"/>
                <w:szCs w:val="24"/>
              </w:rPr>
            </w:pPr>
            <w:r w:rsidRPr="00DF54B0">
              <w:rPr>
                <w:rFonts w:ascii="Times New Roman" w:hAnsi="Times New Roman" w:cs="Times New Roman"/>
                <w:sz w:val="24"/>
                <w:szCs w:val="24"/>
              </w:rPr>
              <w:t>Propuesta no prolifera el desarrollo de barrios más mixtos y, por el contrario, contribuye a la radicalización de la segregación socio-espacial.</w:t>
            </w:r>
          </w:p>
          <w:p w:rsidR="00010D18" w:rsidRDefault="00010D18" w:rsidP="00010D18">
            <w:pPr>
              <w:spacing w:line="360" w:lineRule="auto"/>
              <w:jc w:val="both"/>
              <w:rPr>
                <w:rFonts w:ascii="Times New Roman" w:hAnsi="Times New Roman" w:cs="Times New Roman"/>
                <w:sz w:val="24"/>
                <w:szCs w:val="24"/>
              </w:rPr>
            </w:pPr>
            <w:r w:rsidRPr="00DF54B0">
              <w:rPr>
                <w:rFonts w:ascii="Times New Roman" w:hAnsi="Times New Roman" w:cs="Times New Roman"/>
                <w:sz w:val="24"/>
                <w:szCs w:val="24"/>
              </w:rPr>
              <w:t>Se densifican comunas que se encuentran segregadas y vulnerables, sin grandes ofertas de empleo y educación, por lo que se acentuarán los problemas de movilidad urbana.</w:t>
            </w:r>
          </w:p>
          <w:p w:rsidR="00010D18" w:rsidRPr="00DF54B0" w:rsidRDefault="00010D18" w:rsidP="00010D18">
            <w:pPr>
              <w:spacing w:line="360" w:lineRule="auto"/>
              <w:jc w:val="both"/>
              <w:rPr>
                <w:rFonts w:ascii="Times New Roman" w:hAnsi="Times New Roman" w:cs="Times New Roman"/>
                <w:sz w:val="24"/>
                <w:szCs w:val="24"/>
              </w:rPr>
            </w:pPr>
          </w:p>
        </w:tc>
      </w:tr>
      <w:tr w:rsidR="00DF54B0" w:rsidRPr="00DF54B0" w:rsidTr="00DF54B0">
        <w:tc>
          <w:tcPr>
            <w:tcW w:w="2500" w:type="pct"/>
          </w:tcPr>
          <w:p w:rsidR="00DF54B0" w:rsidRPr="00DF54B0" w:rsidRDefault="00DF54B0" w:rsidP="00010D18">
            <w:pPr>
              <w:autoSpaceDE w:val="0"/>
              <w:autoSpaceDN w:val="0"/>
              <w:adjustRightInd w:val="0"/>
              <w:spacing w:line="360" w:lineRule="auto"/>
              <w:jc w:val="both"/>
              <w:rPr>
                <w:rFonts w:ascii="Times New Roman" w:hAnsi="Times New Roman" w:cs="Times New Roman"/>
                <w:sz w:val="24"/>
                <w:szCs w:val="24"/>
                <w:u w:val="single"/>
              </w:rPr>
            </w:pPr>
            <w:r w:rsidRPr="00DF54B0">
              <w:rPr>
                <w:rFonts w:ascii="Times New Roman" w:hAnsi="Times New Roman" w:cs="Times New Roman"/>
                <w:sz w:val="24"/>
                <w:szCs w:val="24"/>
                <w:u w:val="single"/>
              </w:rPr>
              <w:t xml:space="preserve">Resguardo de los servicios </w:t>
            </w:r>
            <w:proofErr w:type="spellStart"/>
            <w:r w:rsidRPr="00DF54B0">
              <w:rPr>
                <w:rFonts w:ascii="Times New Roman" w:hAnsi="Times New Roman" w:cs="Times New Roman"/>
                <w:sz w:val="24"/>
                <w:szCs w:val="24"/>
                <w:u w:val="single"/>
              </w:rPr>
              <w:t>ecosistémicos</w:t>
            </w:r>
            <w:proofErr w:type="spellEnd"/>
            <w:r w:rsidRPr="00DF54B0">
              <w:rPr>
                <w:rFonts w:ascii="Times New Roman" w:hAnsi="Times New Roman" w:cs="Times New Roman"/>
                <w:sz w:val="24"/>
                <w:szCs w:val="24"/>
                <w:u w:val="single"/>
              </w:rPr>
              <w:t>:</w:t>
            </w:r>
            <w:r w:rsidRPr="00DF54B0">
              <w:rPr>
                <w:rFonts w:ascii="Times New Roman" w:hAnsi="Times New Roman" w:cs="Times New Roman"/>
                <w:sz w:val="24"/>
                <w:szCs w:val="24"/>
              </w:rPr>
              <w:t xml:space="preserve"> través de la generación de zonas de protección y/o amortiguamiento entre dichos espacios y las zonas urbanas de mayor densidad, considerando el tipo y calidad de los servicios </w:t>
            </w:r>
            <w:proofErr w:type="spellStart"/>
            <w:r w:rsidRPr="00DF54B0">
              <w:rPr>
                <w:rFonts w:ascii="Times New Roman" w:hAnsi="Times New Roman" w:cs="Times New Roman"/>
                <w:sz w:val="24"/>
                <w:szCs w:val="24"/>
              </w:rPr>
              <w:t>ecosistémicos</w:t>
            </w:r>
            <w:proofErr w:type="spellEnd"/>
            <w:r w:rsidRPr="00DF54B0">
              <w:rPr>
                <w:rFonts w:ascii="Times New Roman" w:hAnsi="Times New Roman" w:cs="Times New Roman"/>
                <w:sz w:val="24"/>
                <w:szCs w:val="24"/>
              </w:rPr>
              <w:t xml:space="preserve"> que presentan los recursos. Asimismo, mejorar la calidad de vida en la ciudad, a través de la ubicación estratégica de áreas verdes, favoreciendo corredores continuos y áreas mayores a 1 hectárea.</w:t>
            </w:r>
          </w:p>
        </w:tc>
        <w:tc>
          <w:tcPr>
            <w:tcW w:w="2500" w:type="pct"/>
          </w:tcPr>
          <w:p w:rsidR="00010D18" w:rsidRDefault="00010D18" w:rsidP="00010D18">
            <w:pPr>
              <w:spacing w:line="360" w:lineRule="auto"/>
              <w:rPr>
                <w:rFonts w:ascii="Times New Roman" w:hAnsi="Times New Roman" w:cs="Times New Roman"/>
                <w:sz w:val="24"/>
                <w:szCs w:val="24"/>
              </w:rPr>
            </w:pPr>
          </w:p>
          <w:p w:rsidR="00DF54B0" w:rsidRPr="00DF54B0" w:rsidRDefault="00DF54B0" w:rsidP="00010D18">
            <w:pPr>
              <w:spacing w:line="360" w:lineRule="auto"/>
              <w:rPr>
                <w:rFonts w:ascii="Times New Roman" w:hAnsi="Times New Roman" w:cs="Times New Roman"/>
                <w:sz w:val="24"/>
                <w:szCs w:val="24"/>
              </w:rPr>
            </w:pPr>
            <w:r w:rsidRPr="00DF54B0">
              <w:rPr>
                <w:rFonts w:ascii="Times New Roman" w:hAnsi="Times New Roman" w:cs="Times New Roman"/>
                <w:sz w:val="24"/>
                <w:szCs w:val="24"/>
              </w:rPr>
              <w:t>Se consideran las riberas de los ríos como áreas vulnerables, sin embargo, no se consideran en la planificación todas las áreas de riesgo que han sido diagnosticadas por estudios externos, generando vulnerabilidad en la población establecida en esos territorios, ya que al no incluirse los riesgos, tampoco se consideran las posibles situaciones de emergencia que pueden provocarse. Se aumentan las áreas verdes, pero sin un criterio de superficie mínima que garantice la multiplicidad de usos que benefician la calidad de vida ambiental de la población</w:t>
            </w:r>
          </w:p>
        </w:tc>
      </w:tr>
      <w:tr w:rsidR="00010D18" w:rsidRPr="00DF54B0" w:rsidTr="00010D18">
        <w:tc>
          <w:tcPr>
            <w:tcW w:w="5000" w:type="pct"/>
            <w:gridSpan w:val="2"/>
          </w:tcPr>
          <w:p w:rsidR="00010D18" w:rsidRDefault="00010D18" w:rsidP="00010D18">
            <w:pPr>
              <w:spacing w:line="360" w:lineRule="auto"/>
              <w:rPr>
                <w:rFonts w:ascii="Times New Roman" w:hAnsi="Times New Roman" w:cs="Times New Roman"/>
                <w:sz w:val="24"/>
                <w:szCs w:val="24"/>
              </w:rPr>
            </w:pPr>
            <w:r>
              <w:rPr>
                <w:rFonts w:ascii="Times New Roman" w:hAnsi="Times New Roman" w:cs="Times New Roman"/>
                <w:sz w:val="24"/>
                <w:szCs w:val="24"/>
              </w:rPr>
              <w:t>FCD declarados por la Memoria Explicativa</w:t>
            </w:r>
          </w:p>
        </w:tc>
      </w:tr>
      <w:tr w:rsidR="00DF54B0" w:rsidRPr="00DF54B0" w:rsidTr="00DF54B0">
        <w:tc>
          <w:tcPr>
            <w:tcW w:w="2500" w:type="pct"/>
          </w:tcPr>
          <w:p w:rsidR="00DF54B0" w:rsidRPr="00DF54B0" w:rsidRDefault="00DF54B0" w:rsidP="00010D18">
            <w:pPr>
              <w:spacing w:line="360" w:lineRule="auto"/>
              <w:jc w:val="both"/>
              <w:rPr>
                <w:rFonts w:ascii="Times New Roman" w:hAnsi="Times New Roman" w:cs="Times New Roman"/>
                <w:sz w:val="24"/>
                <w:szCs w:val="24"/>
              </w:rPr>
            </w:pPr>
            <w:r w:rsidRPr="00DF54B0">
              <w:rPr>
                <w:rFonts w:ascii="Times New Roman" w:hAnsi="Times New Roman" w:cs="Times New Roman"/>
                <w:sz w:val="24"/>
                <w:szCs w:val="24"/>
                <w:u w:val="single"/>
              </w:rPr>
              <w:t>Necesidad de planificar la ciudad:</w:t>
            </w:r>
            <w:r w:rsidRPr="00DF54B0">
              <w:rPr>
                <w:rFonts w:ascii="Times New Roman" w:hAnsi="Times New Roman" w:cs="Times New Roman"/>
                <w:sz w:val="24"/>
                <w:szCs w:val="24"/>
              </w:rPr>
              <w:t xml:space="preserve"> Evaluar el </w:t>
            </w:r>
            <w:r w:rsidRPr="00DF54B0">
              <w:rPr>
                <w:rFonts w:ascii="Times New Roman" w:hAnsi="Times New Roman" w:cs="Times New Roman"/>
                <w:sz w:val="24"/>
                <w:szCs w:val="24"/>
              </w:rPr>
              <w:lastRenderedPageBreak/>
              <w:t>tipo de planificación de la ciudad y su interacción con problemas de transporte, medio ambiente y segregación</w:t>
            </w:r>
            <w:r w:rsidRPr="00DF54B0">
              <w:rPr>
                <w:rFonts w:ascii="Times New Roman" w:hAnsi="Times New Roman" w:cs="Times New Roman"/>
                <w:sz w:val="24"/>
                <w:szCs w:val="24"/>
              </w:rPr>
              <w:t>.</w:t>
            </w:r>
          </w:p>
        </w:tc>
        <w:tc>
          <w:tcPr>
            <w:tcW w:w="2500" w:type="pct"/>
          </w:tcPr>
          <w:p w:rsidR="00DF54B0" w:rsidRPr="00DF54B0" w:rsidRDefault="00010D18" w:rsidP="00010D18">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La propuesta no resuelve el problema de las </w:t>
            </w:r>
            <w:r>
              <w:rPr>
                <w:rFonts w:ascii="Times New Roman" w:hAnsi="Times New Roman" w:cs="Times New Roman"/>
                <w:sz w:val="24"/>
                <w:szCs w:val="24"/>
              </w:rPr>
              <w:lastRenderedPageBreak/>
              <w:t>ineficiencias de transporte. La metodología de selección no incorpora una visión de ciudad sustentable.</w:t>
            </w:r>
          </w:p>
          <w:p w:rsidR="00DF54B0" w:rsidRPr="00DF54B0" w:rsidRDefault="00DF54B0" w:rsidP="00010D18">
            <w:pPr>
              <w:spacing w:line="360" w:lineRule="auto"/>
              <w:rPr>
                <w:rFonts w:ascii="Times New Roman" w:hAnsi="Times New Roman" w:cs="Times New Roman"/>
                <w:sz w:val="24"/>
                <w:szCs w:val="24"/>
              </w:rPr>
            </w:pPr>
          </w:p>
        </w:tc>
      </w:tr>
      <w:tr w:rsidR="00DF54B0" w:rsidRPr="00DF54B0" w:rsidTr="00DF54B0">
        <w:tc>
          <w:tcPr>
            <w:tcW w:w="2500" w:type="pct"/>
          </w:tcPr>
          <w:p w:rsidR="00DF54B0" w:rsidRPr="00DF54B0" w:rsidRDefault="00DF54B0" w:rsidP="00010D18">
            <w:pPr>
              <w:spacing w:line="360" w:lineRule="auto"/>
              <w:jc w:val="both"/>
              <w:rPr>
                <w:rFonts w:ascii="Times New Roman" w:hAnsi="Times New Roman" w:cs="Times New Roman"/>
                <w:sz w:val="24"/>
                <w:szCs w:val="24"/>
                <w:u w:val="single"/>
              </w:rPr>
            </w:pPr>
            <w:r w:rsidRPr="00DF54B0">
              <w:rPr>
                <w:rFonts w:ascii="Times New Roman" w:hAnsi="Times New Roman" w:cs="Times New Roman"/>
                <w:sz w:val="24"/>
                <w:szCs w:val="24"/>
                <w:u w:val="single"/>
              </w:rPr>
              <w:lastRenderedPageBreak/>
              <w:t>La ciudad debe equilibrarse:</w:t>
            </w:r>
            <w:r w:rsidRPr="00DF54B0">
              <w:rPr>
                <w:rFonts w:ascii="Times New Roman" w:hAnsi="Times New Roman" w:cs="Times New Roman"/>
                <w:sz w:val="24"/>
                <w:szCs w:val="24"/>
              </w:rPr>
              <w:t xml:space="preserve"> Evaluar la contribución al equilibro de la ciudad, el tipo de crecimiento, desde la perspectiva de la oferta de servicios, la incorporación de atributos naturales al desarrollo de la ciudad (ríos, cerros islas, parques)</w:t>
            </w:r>
          </w:p>
        </w:tc>
        <w:tc>
          <w:tcPr>
            <w:tcW w:w="2500" w:type="pct"/>
          </w:tcPr>
          <w:p w:rsidR="00DF54B0" w:rsidRPr="00DF54B0" w:rsidRDefault="00010D18" w:rsidP="00010D18">
            <w:pPr>
              <w:spacing w:line="360" w:lineRule="auto"/>
              <w:rPr>
                <w:rFonts w:ascii="Times New Roman" w:hAnsi="Times New Roman" w:cs="Times New Roman"/>
                <w:sz w:val="24"/>
                <w:szCs w:val="24"/>
              </w:rPr>
            </w:pPr>
            <w:r>
              <w:rPr>
                <w:rFonts w:ascii="Times New Roman" w:hAnsi="Times New Roman" w:cs="Times New Roman"/>
                <w:sz w:val="24"/>
                <w:szCs w:val="24"/>
              </w:rPr>
              <w:t>El PRMS no tiene una propuesta de ciudad. La modificación no genera equilibrio.</w:t>
            </w:r>
          </w:p>
        </w:tc>
      </w:tr>
      <w:tr w:rsidR="00DF54B0" w:rsidRPr="00DF54B0" w:rsidTr="00DF54B0">
        <w:tc>
          <w:tcPr>
            <w:tcW w:w="2500" w:type="pct"/>
          </w:tcPr>
          <w:p w:rsidR="00DF54B0" w:rsidRPr="00DF54B0" w:rsidRDefault="00DF54B0" w:rsidP="00010D18">
            <w:pPr>
              <w:spacing w:line="360" w:lineRule="auto"/>
              <w:jc w:val="both"/>
              <w:rPr>
                <w:rFonts w:ascii="Times New Roman" w:hAnsi="Times New Roman" w:cs="Times New Roman"/>
                <w:sz w:val="24"/>
                <w:szCs w:val="24"/>
              </w:rPr>
            </w:pPr>
            <w:r w:rsidRPr="00DF54B0">
              <w:rPr>
                <w:rFonts w:ascii="Times New Roman" w:hAnsi="Times New Roman" w:cs="Times New Roman"/>
                <w:sz w:val="24"/>
                <w:szCs w:val="24"/>
                <w:u w:val="single"/>
              </w:rPr>
              <w:t>Costo ambiental:</w:t>
            </w:r>
            <w:r w:rsidRPr="00DF54B0">
              <w:rPr>
                <w:rFonts w:ascii="Times New Roman" w:hAnsi="Times New Roman" w:cs="Times New Roman"/>
                <w:sz w:val="24"/>
                <w:szCs w:val="24"/>
              </w:rPr>
              <w:t xml:space="preserve"> Evaluar la contribución del tipo de crecimiento al deterioro ambiental de la ciudad</w:t>
            </w:r>
            <w:r w:rsidRPr="00DF54B0">
              <w:rPr>
                <w:rFonts w:ascii="Times New Roman" w:hAnsi="Times New Roman" w:cs="Times New Roman"/>
                <w:sz w:val="24"/>
                <w:szCs w:val="24"/>
              </w:rPr>
              <w:t>.</w:t>
            </w:r>
          </w:p>
        </w:tc>
        <w:tc>
          <w:tcPr>
            <w:tcW w:w="2500" w:type="pct"/>
          </w:tcPr>
          <w:p w:rsidR="00DF54B0" w:rsidRPr="00DF54B0" w:rsidRDefault="00DF54B0" w:rsidP="00010D18">
            <w:pPr>
              <w:spacing w:line="360" w:lineRule="auto"/>
              <w:rPr>
                <w:rFonts w:ascii="Times New Roman" w:hAnsi="Times New Roman" w:cs="Times New Roman"/>
                <w:sz w:val="24"/>
                <w:szCs w:val="24"/>
              </w:rPr>
            </w:pPr>
            <w:r w:rsidRPr="00DF54B0">
              <w:rPr>
                <w:rFonts w:ascii="Times New Roman" w:hAnsi="Times New Roman" w:cs="Times New Roman"/>
                <w:sz w:val="24"/>
                <w:szCs w:val="24"/>
              </w:rPr>
              <w:t>Se consideran las áreas de protección ya anteriormente establecidas y se reconoce la importancia de la ribera de los ríos, por lo que se planifica su forestación.</w:t>
            </w:r>
            <w:r w:rsidRPr="00DF54B0">
              <w:rPr>
                <w:rFonts w:ascii="Times New Roman" w:hAnsi="Times New Roman" w:cs="Times New Roman"/>
                <w:sz w:val="24"/>
                <w:szCs w:val="24"/>
              </w:rPr>
              <w:t xml:space="preserve"> </w:t>
            </w:r>
            <w:r w:rsidRPr="00DF54B0">
              <w:rPr>
                <w:rFonts w:ascii="Times New Roman" w:hAnsi="Times New Roman" w:cs="Times New Roman"/>
                <w:sz w:val="24"/>
                <w:szCs w:val="24"/>
              </w:rPr>
              <w:t>No existe una valoración del paisaje en la propuesta de planificación</w:t>
            </w:r>
          </w:p>
        </w:tc>
      </w:tr>
      <w:tr w:rsidR="00DF54B0" w:rsidRPr="00DF54B0" w:rsidTr="00DF54B0">
        <w:tc>
          <w:tcPr>
            <w:tcW w:w="2500" w:type="pct"/>
          </w:tcPr>
          <w:p w:rsidR="00DF54B0" w:rsidRPr="00DF54B0" w:rsidRDefault="00DF54B0" w:rsidP="00010D18">
            <w:pPr>
              <w:spacing w:line="360" w:lineRule="auto"/>
              <w:jc w:val="both"/>
              <w:rPr>
                <w:rFonts w:ascii="Times New Roman" w:hAnsi="Times New Roman" w:cs="Times New Roman"/>
                <w:sz w:val="24"/>
                <w:szCs w:val="24"/>
                <w:u w:val="single"/>
              </w:rPr>
            </w:pPr>
            <w:r w:rsidRPr="00DF54B0">
              <w:rPr>
                <w:rFonts w:ascii="Times New Roman" w:hAnsi="Times New Roman" w:cs="Times New Roman"/>
                <w:sz w:val="24"/>
                <w:szCs w:val="24"/>
                <w:u w:val="single"/>
              </w:rPr>
              <w:t>Desarrollo económico y social:</w:t>
            </w:r>
            <w:r w:rsidRPr="00DF54B0">
              <w:rPr>
                <w:rFonts w:ascii="Times New Roman" w:hAnsi="Times New Roman" w:cs="Times New Roman"/>
                <w:sz w:val="24"/>
                <w:szCs w:val="24"/>
              </w:rPr>
              <w:t xml:space="preserve"> Evaluar si el tipo de crecimiento multiplica el desarrollo social y económico para sus habitantes</w:t>
            </w:r>
          </w:p>
        </w:tc>
        <w:tc>
          <w:tcPr>
            <w:tcW w:w="2500" w:type="pct"/>
          </w:tcPr>
          <w:p w:rsidR="00DF54B0" w:rsidRPr="00DF54B0" w:rsidRDefault="00DF54B0" w:rsidP="00010D18">
            <w:pPr>
              <w:spacing w:line="360" w:lineRule="auto"/>
              <w:rPr>
                <w:rFonts w:ascii="Times New Roman" w:hAnsi="Times New Roman" w:cs="Times New Roman"/>
                <w:sz w:val="24"/>
                <w:szCs w:val="24"/>
              </w:rPr>
            </w:pPr>
            <w:r w:rsidRPr="00DF54B0">
              <w:rPr>
                <w:rFonts w:ascii="Times New Roman" w:hAnsi="Times New Roman" w:cs="Times New Roman"/>
                <w:sz w:val="24"/>
                <w:szCs w:val="24"/>
              </w:rPr>
              <w:t>Propuesta potencia los desplazamiento centro-periferia al densificar las zonas que tienen mayor número de viajes por motivo de estudio o trabajo, y no aborda dicha problemática desde el diagnóstico, y por tanto, tampoco desde la propuesta.</w:t>
            </w:r>
          </w:p>
        </w:tc>
      </w:tr>
    </w:tbl>
    <w:p w:rsidR="0063677C" w:rsidRDefault="00010D18" w:rsidP="00010D1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Fuente: Elaboración propia</w:t>
      </w:r>
    </w:p>
    <w:p w:rsidR="00255765" w:rsidRPr="00255765" w:rsidRDefault="00010D18" w:rsidP="0025576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El PRMS carece de visión de ciudad. Los objetivos planteados no son coherentes con la propuesta final aprobada el año 2013, ya que no resuelven las problemáticas que se propone abordar, sin embargo, su aprobación está marcada por el lobby político, tal cual lo describe Serra (2010), quien </w:t>
      </w:r>
      <w:bookmarkEnd w:id="5"/>
      <w:r w:rsidR="0063677C" w:rsidRPr="00DF54B0">
        <w:rPr>
          <w:rFonts w:ascii="Times New Roman" w:hAnsi="Times New Roman" w:cs="Times New Roman"/>
          <w:sz w:val="24"/>
          <w:szCs w:val="24"/>
        </w:rPr>
        <w:t>analiza el proceso de elaboración y aprobación del PRMS 100 para su tesis de Magister en Gestión y Políticas Públ</w:t>
      </w:r>
      <w:r w:rsidR="00255765">
        <w:rPr>
          <w:rFonts w:ascii="Times New Roman" w:hAnsi="Times New Roman" w:cs="Times New Roman"/>
          <w:sz w:val="24"/>
          <w:szCs w:val="24"/>
        </w:rPr>
        <w:t>icas de la Universidad de Chile. Este</w:t>
      </w:r>
      <w:r w:rsidR="0063677C" w:rsidRPr="00DF54B0">
        <w:rPr>
          <w:rFonts w:ascii="Times New Roman" w:hAnsi="Times New Roman" w:cs="Times New Roman"/>
          <w:sz w:val="24"/>
          <w:szCs w:val="24"/>
        </w:rPr>
        <w:t xml:space="preserve"> trabajo </w:t>
      </w:r>
      <w:r w:rsidR="00255765">
        <w:rPr>
          <w:rFonts w:ascii="Times New Roman" w:hAnsi="Times New Roman" w:cs="Times New Roman"/>
          <w:sz w:val="24"/>
          <w:szCs w:val="24"/>
        </w:rPr>
        <w:t xml:space="preserve">es </w:t>
      </w:r>
      <w:r w:rsidR="0063677C" w:rsidRPr="00DF54B0">
        <w:rPr>
          <w:rFonts w:ascii="Times New Roman" w:hAnsi="Times New Roman" w:cs="Times New Roman"/>
          <w:sz w:val="24"/>
          <w:szCs w:val="24"/>
        </w:rPr>
        <w:lastRenderedPageBreak/>
        <w:t>utilizado para abordar el análisis de actores con la mayor profundidad</w:t>
      </w:r>
      <w:r w:rsidR="00255765">
        <w:rPr>
          <w:rFonts w:ascii="Times New Roman" w:hAnsi="Times New Roman" w:cs="Times New Roman"/>
          <w:sz w:val="24"/>
          <w:szCs w:val="24"/>
        </w:rPr>
        <w:t>.</w:t>
      </w:r>
      <w:r w:rsidR="00DE5A2B" w:rsidRPr="00DF54B0">
        <w:rPr>
          <w:rFonts w:ascii="Times New Roman" w:hAnsi="Times New Roman" w:cs="Times New Roman"/>
          <w:noProof/>
          <w:sz w:val="24"/>
          <w:szCs w:val="24"/>
          <w:lang w:eastAsia="es-CL"/>
        </w:rPr>
        <w:drawing>
          <wp:inline distT="0" distB="0" distL="0" distR="0" wp14:anchorId="29A64DB6" wp14:editId="6C000BFE">
            <wp:extent cx="5874589" cy="3148642"/>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3928" t="11588" r="6408" b="12469"/>
                    <a:stretch/>
                  </pic:blipFill>
                  <pic:spPr bwMode="auto">
                    <a:xfrm>
                      <a:off x="0" y="0"/>
                      <a:ext cx="5893065" cy="3158545"/>
                    </a:xfrm>
                    <a:prstGeom prst="rect">
                      <a:avLst/>
                    </a:prstGeom>
                    <a:ln>
                      <a:noFill/>
                    </a:ln>
                    <a:extLst>
                      <a:ext uri="{53640926-AAD7-44D8-BBD7-CCE9431645EC}">
                        <a14:shadowObscured xmlns:a14="http://schemas.microsoft.com/office/drawing/2010/main"/>
                      </a:ext>
                    </a:extLst>
                  </pic:spPr>
                </pic:pic>
              </a:graphicData>
            </a:graphic>
          </wp:inline>
        </w:drawing>
      </w:r>
    </w:p>
    <w:p w:rsidR="00DE5A2B" w:rsidRDefault="00255765" w:rsidP="00255765">
      <w:pPr>
        <w:pStyle w:val="Epgrafe"/>
        <w:jc w:val="center"/>
        <w:rPr>
          <w:szCs w:val="24"/>
        </w:rPr>
      </w:pPr>
      <w:r>
        <w:t xml:space="preserve">Figura </w:t>
      </w:r>
      <w:r>
        <w:fldChar w:fldCharType="begin"/>
      </w:r>
      <w:r>
        <w:instrText xml:space="preserve"> SEQ Figura \* ARABIC </w:instrText>
      </w:r>
      <w:r>
        <w:fldChar w:fldCharType="separate"/>
      </w:r>
      <w:r>
        <w:rPr>
          <w:noProof/>
        </w:rPr>
        <w:t>4</w:t>
      </w:r>
      <w:r>
        <w:fldChar w:fldCharType="end"/>
      </w:r>
      <w:r>
        <w:t xml:space="preserve">. </w:t>
      </w:r>
      <w:r w:rsidRPr="00DF54B0">
        <w:rPr>
          <w:szCs w:val="24"/>
        </w:rPr>
        <w:t>Actores, posición, intereses e influencias.</w:t>
      </w:r>
      <w:r>
        <w:rPr>
          <w:szCs w:val="24"/>
        </w:rPr>
        <w:t xml:space="preserve"> Fuente: Serra (2010)</w:t>
      </w:r>
    </w:p>
    <w:p w:rsidR="00255765" w:rsidRPr="00255765" w:rsidRDefault="00255765" w:rsidP="00255765">
      <w:pPr>
        <w:rPr>
          <w:lang w:val="es-ES"/>
        </w:rPr>
      </w:pPr>
    </w:p>
    <w:p w:rsidR="00DE5A2B" w:rsidRPr="00DF54B0" w:rsidRDefault="00DE5A2B" w:rsidP="00DF54B0">
      <w:pPr>
        <w:spacing w:after="0" w:line="360" w:lineRule="auto"/>
        <w:jc w:val="both"/>
        <w:rPr>
          <w:rFonts w:ascii="Times New Roman" w:hAnsi="Times New Roman" w:cs="Times New Roman"/>
          <w:sz w:val="24"/>
          <w:szCs w:val="24"/>
          <w:lang w:val="es-ES_tradnl"/>
        </w:rPr>
      </w:pPr>
      <w:r w:rsidRPr="00DF54B0">
        <w:rPr>
          <w:rFonts w:ascii="Times New Roman" w:hAnsi="Times New Roman" w:cs="Times New Roman"/>
          <w:sz w:val="24"/>
          <w:szCs w:val="24"/>
          <w:lang w:val="es-ES_tradnl"/>
        </w:rPr>
        <w:t>Del análisis realizado, Serra (2010) concluye que, “la mayoría de los actores decisores que aprobaron el proyecto de actualización no relacionaron su argumentación con una postura clara de construcción de ciudad, sus discursos no tuvieron una ideología que los sustentara”. Indica el mercado y la política sectorial focalizada como determinantes de la aprobación del instrumento. Responsabiliza al mecanismo de elección indirecta de autoridades que guían y aprueban el proceso como generador de conflictos que repercuten en el grado de transparencia del proceso. También, indica que existió “una correlación entre el nivel de centralización de la toma de decisión, la consolidación de la institucionalidad, el control de la información y la especificidad de los intereses y su grado de factibilidad, lo que repercutió finalmente, en el grado de influencia de cada actor durante el proceso”. “A mayor centralización, mayor consolidación institucional, mayor control de la información, los objetivos y metas buscados fueron más específicos, cuantificables y medibles, lo que generó que la estrategia que se implementó fuera más fácil de consolidar”. “Al contrario, a escala local, menor institucionalidad, menor control de la información, los objetivos y metas se construyen a partir de diversas variables que no lograron identificar unidades identificables”. “Estas características de los principales sectores generaron que el proceso de discusión y negociación entre los actores fuera desigual”.</w:t>
      </w:r>
    </w:p>
    <w:p w:rsidR="00DE5A2B" w:rsidRPr="00DF54B0" w:rsidRDefault="00DE5A2B" w:rsidP="00DF54B0">
      <w:pPr>
        <w:autoSpaceDE w:val="0"/>
        <w:autoSpaceDN w:val="0"/>
        <w:adjustRightInd w:val="0"/>
        <w:spacing w:after="0" w:line="360" w:lineRule="auto"/>
        <w:jc w:val="both"/>
        <w:rPr>
          <w:rFonts w:ascii="Times New Roman" w:hAnsi="Times New Roman" w:cs="Times New Roman"/>
          <w:sz w:val="24"/>
          <w:szCs w:val="24"/>
          <w:lang w:val="es-ES_tradnl"/>
        </w:rPr>
      </w:pPr>
    </w:p>
    <w:p w:rsidR="00DE5A2B" w:rsidRPr="00DF54B0" w:rsidRDefault="00DE5A2B" w:rsidP="00DF54B0">
      <w:pPr>
        <w:pStyle w:val="Ttulo2"/>
        <w:spacing w:before="0" w:line="360" w:lineRule="auto"/>
        <w:rPr>
          <w:szCs w:val="24"/>
        </w:rPr>
      </w:pPr>
      <w:r w:rsidRPr="00DF54B0">
        <w:rPr>
          <w:szCs w:val="24"/>
        </w:rPr>
        <w:lastRenderedPageBreak/>
        <w:t>Conclusiones</w:t>
      </w:r>
    </w:p>
    <w:p w:rsidR="00061936" w:rsidRPr="00DF54B0" w:rsidRDefault="00255765" w:rsidP="00DF54B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EL PRMS 100</w:t>
      </w:r>
      <w:r w:rsidR="00AA50BE" w:rsidRPr="00DF54B0">
        <w:rPr>
          <w:rFonts w:ascii="Times New Roman" w:hAnsi="Times New Roman" w:cs="Times New Roman"/>
          <w:sz w:val="24"/>
          <w:szCs w:val="24"/>
        </w:rPr>
        <w:t xml:space="preserve"> se impulsa para acoger la población al año 2030 en la ciudad de Santiago, sin embargo, el área de estudio no contempla toda la unidad urbana de la ciudad, sino la correspondiente al Plan del año 1994. Esto ya genera una visión poco estratégica de la ciudad ya que si bien el límite urbano puede delimitarse en el plano, no ocurre lo mismo con las interacciones urbanas, las que influirán en el modelo de desarrollo. </w:t>
      </w:r>
    </w:p>
    <w:p w:rsidR="00255765" w:rsidRDefault="00AA50BE" w:rsidP="00DF54B0">
      <w:pPr>
        <w:spacing w:after="0" w:line="360" w:lineRule="auto"/>
        <w:jc w:val="both"/>
        <w:rPr>
          <w:rFonts w:ascii="Times New Roman" w:hAnsi="Times New Roman" w:cs="Times New Roman"/>
          <w:sz w:val="24"/>
          <w:szCs w:val="24"/>
        </w:rPr>
      </w:pPr>
      <w:r w:rsidRPr="00DF54B0">
        <w:rPr>
          <w:rFonts w:ascii="Times New Roman" w:hAnsi="Times New Roman" w:cs="Times New Roman"/>
          <w:sz w:val="24"/>
          <w:szCs w:val="24"/>
        </w:rPr>
        <w:t xml:space="preserve">La Memoria </w:t>
      </w:r>
      <w:r w:rsidR="005A69B0" w:rsidRPr="00DF54B0">
        <w:rPr>
          <w:rFonts w:ascii="Times New Roman" w:hAnsi="Times New Roman" w:cs="Times New Roman"/>
          <w:sz w:val="24"/>
          <w:szCs w:val="24"/>
        </w:rPr>
        <w:t xml:space="preserve">Explicativa presentada por el Ministerio de </w:t>
      </w:r>
      <w:r w:rsidR="00255765">
        <w:rPr>
          <w:rFonts w:ascii="Times New Roman" w:hAnsi="Times New Roman" w:cs="Times New Roman"/>
          <w:sz w:val="24"/>
          <w:szCs w:val="24"/>
        </w:rPr>
        <w:t>Vivienda y Urbanismo</w:t>
      </w:r>
      <w:r w:rsidR="005A69B0" w:rsidRPr="00DF54B0">
        <w:rPr>
          <w:rFonts w:ascii="Times New Roman" w:hAnsi="Times New Roman" w:cs="Times New Roman"/>
          <w:sz w:val="24"/>
          <w:szCs w:val="24"/>
        </w:rPr>
        <w:t xml:space="preserve"> dice que no es necesario discutir el modelo de ciudad que se desarrolla, pues lo que importa son las condiciones del urbanismo, sin embargo, es a este Ministerio a quien corresponde la urbanización de la ciudad y el tipo de desarrollo que propone. No discutir el tema es una evasión de la responsabilidad del Ministerio. </w:t>
      </w:r>
    </w:p>
    <w:p w:rsidR="00AA50BE" w:rsidRPr="00DF54B0" w:rsidRDefault="005A69B0" w:rsidP="00DF54B0">
      <w:pPr>
        <w:spacing w:after="0" w:line="360" w:lineRule="auto"/>
        <w:jc w:val="both"/>
        <w:rPr>
          <w:rFonts w:ascii="Times New Roman" w:hAnsi="Times New Roman" w:cs="Times New Roman"/>
          <w:sz w:val="24"/>
          <w:szCs w:val="24"/>
        </w:rPr>
      </w:pPr>
      <w:r w:rsidRPr="00DF54B0">
        <w:rPr>
          <w:rFonts w:ascii="Times New Roman" w:hAnsi="Times New Roman" w:cs="Times New Roman"/>
          <w:sz w:val="24"/>
          <w:szCs w:val="24"/>
        </w:rPr>
        <w:t>De los actores responsables de la aprobación del Plan, aquellos relacionados con el desarrollo inmobiliario fueron los que tuvieron más influencia, y en extremo,</w:t>
      </w:r>
      <w:r w:rsidR="00936A7C" w:rsidRPr="00DF54B0">
        <w:rPr>
          <w:rFonts w:ascii="Times New Roman" w:hAnsi="Times New Roman" w:cs="Times New Roman"/>
          <w:sz w:val="24"/>
          <w:szCs w:val="24"/>
        </w:rPr>
        <w:t xml:space="preserve"> el doble rol presentado por</w:t>
      </w:r>
      <w:r w:rsidRPr="00DF54B0">
        <w:rPr>
          <w:rFonts w:ascii="Times New Roman" w:hAnsi="Times New Roman" w:cs="Times New Roman"/>
          <w:sz w:val="24"/>
          <w:szCs w:val="24"/>
        </w:rPr>
        <w:t xml:space="preserve"> el Intendente Metropolitano</w:t>
      </w:r>
      <w:r w:rsidR="00936A7C" w:rsidRPr="00DF54B0">
        <w:rPr>
          <w:rFonts w:ascii="Times New Roman" w:hAnsi="Times New Roman" w:cs="Times New Roman"/>
          <w:sz w:val="24"/>
          <w:szCs w:val="24"/>
        </w:rPr>
        <w:t xml:space="preserve"> en el cargo cuando fue aprobado el PRMS 100, quien tenía una responsabilidad pública pero también participación en el mercado inmobiliario.</w:t>
      </w:r>
      <w:r w:rsidRPr="00DF54B0">
        <w:rPr>
          <w:rFonts w:ascii="Times New Roman" w:hAnsi="Times New Roman" w:cs="Times New Roman"/>
          <w:sz w:val="24"/>
          <w:szCs w:val="24"/>
        </w:rPr>
        <w:t xml:space="preserve"> </w:t>
      </w:r>
    </w:p>
    <w:p w:rsidR="00936A7C" w:rsidRPr="00DF54B0" w:rsidRDefault="00936A7C" w:rsidP="00DF54B0">
      <w:pPr>
        <w:spacing w:after="0" w:line="360" w:lineRule="auto"/>
        <w:jc w:val="both"/>
        <w:rPr>
          <w:rFonts w:ascii="Times New Roman" w:hAnsi="Times New Roman" w:cs="Times New Roman"/>
          <w:sz w:val="24"/>
          <w:szCs w:val="24"/>
        </w:rPr>
      </w:pPr>
      <w:r w:rsidRPr="00DF54B0">
        <w:rPr>
          <w:rFonts w:ascii="Times New Roman" w:hAnsi="Times New Roman" w:cs="Times New Roman"/>
          <w:sz w:val="24"/>
          <w:szCs w:val="24"/>
        </w:rPr>
        <w:t>El PRMS 100 reconoce problemas en la ineficiencia del transporte, declarando que ello afecta la calidad de vida de los habitantes de la ciudad, si n embargo, no propone un modelo de desarrollo que permita afrontar esta problemática, por el contrario, sólo genera kilómetros de vías, pero sin una visión estratégica de descongestionar la ciudad, ya que esto solo puede abordarse con una mirada integral del territorio.</w:t>
      </w:r>
    </w:p>
    <w:p w:rsidR="00936A7C" w:rsidRPr="00DF54B0" w:rsidRDefault="00936A7C" w:rsidP="00DF54B0">
      <w:pPr>
        <w:spacing w:after="0" w:line="360" w:lineRule="auto"/>
        <w:jc w:val="both"/>
        <w:rPr>
          <w:rFonts w:ascii="Times New Roman" w:hAnsi="Times New Roman" w:cs="Times New Roman"/>
          <w:sz w:val="24"/>
          <w:szCs w:val="24"/>
        </w:rPr>
      </w:pPr>
      <w:r w:rsidRPr="00DF54B0">
        <w:rPr>
          <w:rFonts w:ascii="Times New Roman" w:hAnsi="Times New Roman" w:cs="Times New Roman"/>
          <w:sz w:val="24"/>
          <w:szCs w:val="24"/>
        </w:rPr>
        <w:t>La segregación es radicalizada por el Plan, ya que finalmente urbaniza en las comunas con menores ingresos y carentes de servicios.</w:t>
      </w:r>
    </w:p>
    <w:p w:rsidR="00FB25E5" w:rsidRDefault="00FB25E5" w:rsidP="00DF54B0">
      <w:pPr>
        <w:spacing w:after="0" w:line="360" w:lineRule="auto"/>
        <w:jc w:val="both"/>
        <w:rPr>
          <w:rFonts w:ascii="Times New Roman" w:hAnsi="Times New Roman" w:cs="Times New Roman"/>
          <w:sz w:val="24"/>
          <w:szCs w:val="24"/>
        </w:rPr>
      </w:pPr>
      <w:r w:rsidRPr="00DF54B0">
        <w:rPr>
          <w:rFonts w:ascii="Times New Roman" w:hAnsi="Times New Roman" w:cs="Times New Roman"/>
          <w:sz w:val="24"/>
          <w:szCs w:val="24"/>
        </w:rPr>
        <w:t>La aplicación de la EAE no garantiza que la dimensión ambiental sea incorporada de la manera más óptima en el instrumento, ya que ello dependerá también de las capacidades y voluntades del equipo responsable</w:t>
      </w:r>
      <w:r w:rsidR="00255765">
        <w:rPr>
          <w:rFonts w:ascii="Times New Roman" w:hAnsi="Times New Roman" w:cs="Times New Roman"/>
          <w:sz w:val="24"/>
          <w:szCs w:val="24"/>
        </w:rPr>
        <w:t>;</w:t>
      </w:r>
      <w:r w:rsidRPr="00DF54B0">
        <w:rPr>
          <w:rFonts w:ascii="Times New Roman" w:hAnsi="Times New Roman" w:cs="Times New Roman"/>
          <w:sz w:val="24"/>
          <w:szCs w:val="24"/>
        </w:rPr>
        <w:t xml:space="preserve"> sin embargo, su aplicación</w:t>
      </w:r>
      <w:r w:rsidR="00255765">
        <w:rPr>
          <w:rFonts w:ascii="Times New Roman" w:hAnsi="Times New Roman" w:cs="Times New Roman"/>
          <w:sz w:val="24"/>
          <w:szCs w:val="24"/>
        </w:rPr>
        <w:t xml:space="preserve"> siempre mejorará el Plan, </w:t>
      </w:r>
      <w:r w:rsidRPr="00DF54B0">
        <w:rPr>
          <w:rFonts w:ascii="Times New Roman" w:hAnsi="Times New Roman" w:cs="Times New Roman"/>
          <w:sz w:val="24"/>
          <w:szCs w:val="24"/>
        </w:rPr>
        <w:t>ya que otorga una mirada más amplia del sistema a intervenir, entendiendo que es un territorio que sustenta relaciones, diná</w:t>
      </w:r>
      <w:r w:rsidR="00255765">
        <w:rPr>
          <w:rFonts w:ascii="Times New Roman" w:hAnsi="Times New Roman" w:cs="Times New Roman"/>
          <w:sz w:val="24"/>
          <w:szCs w:val="24"/>
        </w:rPr>
        <w:t>micas y</w:t>
      </w:r>
      <w:r w:rsidRPr="00DF54B0">
        <w:rPr>
          <w:rFonts w:ascii="Times New Roman" w:hAnsi="Times New Roman" w:cs="Times New Roman"/>
          <w:sz w:val="24"/>
          <w:szCs w:val="24"/>
        </w:rPr>
        <w:t xml:space="preserve"> procesos. </w:t>
      </w:r>
    </w:p>
    <w:p w:rsidR="008D3DF8" w:rsidRPr="00DF54B0" w:rsidRDefault="008D3DF8" w:rsidP="00DF54B0">
      <w:pPr>
        <w:spacing w:after="0" w:line="360" w:lineRule="auto"/>
        <w:jc w:val="both"/>
        <w:rPr>
          <w:rFonts w:ascii="Times New Roman" w:hAnsi="Times New Roman" w:cs="Times New Roman"/>
          <w:sz w:val="24"/>
          <w:szCs w:val="24"/>
        </w:rPr>
      </w:pPr>
    </w:p>
    <w:p w:rsidR="003D1868" w:rsidRPr="008D3DF8" w:rsidRDefault="003D1868" w:rsidP="008D3DF8">
      <w:pPr>
        <w:pStyle w:val="Ttulo2"/>
        <w:spacing w:before="0" w:line="360" w:lineRule="auto"/>
        <w:rPr>
          <w:szCs w:val="24"/>
        </w:rPr>
      </w:pPr>
      <w:r w:rsidRPr="008D3DF8">
        <w:rPr>
          <w:szCs w:val="24"/>
        </w:rPr>
        <w:t>Bibliografía</w:t>
      </w:r>
    </w:p>
    <w:p w:rsidR="00622891" w:rsidRDefault="00622891" w:rsidP="008D3DF8">
      <w:pPr>
        <w:spacing w:after="0" w:line="360" w:lineRule="auto"/>
        <w:ind w:firstLine="708"/>
        <w:jc w:val="both"/>
        <w:rPr>
          <w:rFonts w:ascii="Times New Roman" w:hAnsi="Times New Roman" w:cs="Times New Roman"/>
          <w:sz w:val="24"/>
          <w:szCs w:val="24"/>
          <w:shd w:val="clear" w:color="auto" w:fill="FFFFFF"/>
          <w:lang w:val="en-US"/>
        </w:rPr>
      </w:pPr>
      <w:r w:rsidRPr="008D3DF8">
        <w:rPr>
          <w:rFonts w:ascii="Times New Roman" w:hAnsi="Times New Roman" w:cs="Times New Roman"/>
          <w:sz w:val="24"/>
          <w:szCs w:val="24"/>
          <w:shd w:val="clear" w:color="auto" w:fill="FFFFFF"/>
          <w:lang w:val="en-US"/>
        </w:rPr>
        <w:t>B</w:t>
      </w:r>
      <w:r w:rsidR="008D3DF8">
        <w:rPr>
          <w:rFonts w:ascii="Times New Roman" w:hAnsi="Times New Roman" w:cs="Times New Roman"/>
          <w:sz w:val="24"/>
          <w:szCs w:val="24"/>
          <w:shd w:val="clear" w:color="auto" w:fill="FFFFFF"/>
          <w:lang w:val="en-US"/>
        </w:rPr>
        <w:t>arnett</w:t>
      </w:r>
      <w:r w:rsidRPr="008D3DF8">
        <w:rPr>
          <w:rFonts w:ascii="Times New Roman" w:hAnsi="Times New Roman" w:cs="Times New Roman"/>
          <w:sz w:val="24"/>
          <w:szCs w:val="24"/>
          <w:shd w:val="clear" w:color="auto" w:fill="FFFFFF"/>
          <w:lang w:val="en-US"/>
        </w:rPr>
        <w:t xml:space="preserve">, Jonathan. </w:t>
      </w:r>
      <w:proofErr w:type="gramStart"/>
      <w:r w:rsidRPr="008D3DF8">
        <w:rPr>
          <w:rFonts w:ascii="Times New Roman" w:hAnsi="Times New Roman" w:cs="Times New Roman"/>
          <w:sz w:val="24"/>
          <w:szCs w:val="24"/>
          <w:shd w:val="clear" w:color="auto" w:fill="FFFFFF"/>
          <w:lang w:val="en-US"/>
        </w:rPr>
        <w:t>An introduction to urban design.</w:t>
      </w:r>
      <w:proofErr w:type="gramEnd"/>
      <w:r w:rsidRPr="008D3DF8">
        <w:rPr>
          <w:rFonts w:ascii="Times New Roman" w:hAnsi="Times New Roman" w:cs="Times New Roman"/>
          <w:sz w:val="24"/>
          <w:szCs w:val="24"/>
          <w:shd w:val="clear" w:color="auto" w:fill="FFFFFF"/>
          <w:lang w:val="en-US"/>
        </w:rPr>
        <w:t xml:space="preserve"> </w:t>
      </w:r>
      <w:proofErr w:type="gramStart"/>
      <w:r w:rsidRPr="008D3DF8">
        <w:rPr>
          <w:rFonts w:ascii="Times New Roman" w:hAnsi="Times New Roman" w:cs="Times New Roman"/>
          <w:sz w:val="24"/>
          <w:szCs w:val="24"/>
          <w:shd w:val="clear" w:color="auto" w:fill="FFFFFF"/>
          <w:lang w:val="en-US"/>
        </w:rPr>
        <w:t>New York, Harper &amp; Row.</w:t>
      </w:r>
      <w:proofErr w:type="gramEnd"/>
      <w:r w:rsidRPr="008D3DF8">
        <w:rPr>
          <w:rFonts w:ascii="Times New Roman" w:hAnsi="Times New Roman" w:cs="Times New Roman"/>
          <w:sz w:val="24"/>
          <w:szCs w:val="24"/>
          <w:shd w:val="clear" w:color="auto" w:fill="FFFFFF"/>
          <w:lang w:val="en-US"/>
        </w:rPr>
        <w:t xml:space="preserve"> 1982. 260 p. ISBN 0-06-430376-4.</w:t>
      </w:r>
    </w:p>
    <w:p w:rsidR="00901C76" w:rsidRDefault="00901C76" w:rsidP="008D3DF8">
      <w:pPr>
        <w:spacing w:after="0" w:line="360" w:lineRule="auto"/>
        <w:ind w:firstLine="708"/>
        <w:jc w:val="both"/>
        <w:rPr>
          <w:rFonts w:ascii="Times New Roman" w:hAnsi="Times New Roman" w:cs="Times New Roman"/>
          <w:sz w:val="24"/>
          <w:szCs w:val="24"/>
          <w:shd w:val="clear" w:color="auto" w:fill="FFFFFF"/>
        </w:rPr>
      </w:pPr>
      <w:r w:rsidRPr="00901C76">
        <w:rPr>
          <w:rFonts w:ascii="Times New Roman" w:hAnsi="Times New Roman" w:cs="Times New Roman"/>
          <w:sz w:val="24"/>
          <w:szCs w:val="24"/>
          <w:shd w:val="clear" w:color="auto" w:fill="FFFFFF"/>
        </w:rPr>
        <w:t>D.F.L. 458, 1975. Ley General de Urbanism</w:t>
      </w:r>
      <w:r>
        <w:rPr>
          <w:rFonts w:ascii="Times New Roman" w:hAnsi="Times New Roman" w:cs="Times New Roman"/>
          <w:sz w:val="24"/>
          <w:szCs w:val="24"/>
          <w:shd w:val="clear" w:color="auto" w:fill="FFFFFF"/>
        </w:rPr>
        <w:t>o y Construcciones. Ministerio de Vivienda y Urbanismo. Santiago, Chile.</w:t>
      </w:r>
    </w:p>
    <w:p w:rsidR="00901C76" w:rsidRDefault="00901C76" w:rsidP="008D3DF8">
      <w:pPr>
        <w:spacing w:after="0" w:line="36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D.L. 3.516, 1980. Establece normas sobre División de Predio Rústicos. Ministerio de Agricultura. Santiago, Chile.</w:t>
      </w:r>
    </w:p>
    <w:p w:rsidR="00277B1F" w:rsidRDefault="00277B1F" w:rsidP="008D3DF8">
      <w:pPr>
        <w:spacing w:after="0" w:line="36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Estrategia Regional de Desarrollo (ERD, 2012). Gobierno Regional Metropolitano de Santiago. Santiago, Chile. 118p.</w:t>
      </w:r>
    </w:p>
    <w:p w:rsidR="006510BC" w:rsidRPr="00901C76" w:rsidRDefault="006510BC" w:rsidP="008D3DF8">
      <w:pPr>
        <w:spacing w:after="0" w:line="360" w:lineRule="auto"/>
        <w:ind w:firstLine="708"/>
        <w:jc w:val="both"/>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GeoSantiago</w:t>
      </w:r>
      <w:proofErr w:type="spellEnd"/>
      <w:r>
        <w:rPr>
          <w:rFonts w:ascii="Times New Roman" w:hAnsi="Times New Roman" w:cs="Times New Roman"/>
          <w:sz w:val="24"/>
          <w:szCs w:val="24"/>
          <w:shd w:val="clear" w:color="auto" w:fill="FFFFFF"/>
        </w:rPr>
        <w:t>, 2003. Perspectivas del Medio ambiente Urbano. Programa de las Naciones Unidas para el Medio Ambiente. Pontificia Universidad Católica de Chile. Santiago, Chile. 148p.</w:t>
      </w:r>
    </w:p>
    <w:p w:rsidR="008D3DF8" w:rsidRPr="008D3DF8" w:rsidRDefault="008D3DF8" w:rsidP="008D3DF8">
      <w:pPr>
        <w:ind w:firstLine="708"/>
        <w:rPr>
          <w:rFonts w:ascii="Times New Roman" w:hAnsi="Times New Roman" w:cs="Times New Roman"/>
          <w:sz w:val="24"/>
          <w:szCs w:val="24"/>
          <w:shd w:val="clear" w:color="auto" w:fill="FFFFFF"/>
          <w:lang w:val="en-US"/>
        </w:rPr>
      </w:pPr>
      <w:r w:rsidRPr="008D3DF8">
        <w:rPr>
          <w:rFonts w:ascii="Times New Roman" w:hAnsi="Times New Roman" w:cs="Times New Roman"/>
          <w:sz w:val="24"/>
          <w:szCs w:val="24"/>
          <w:shd w:val="clear" w:color="auto" w:fill="FFFFFF"/>
        </w:rPr>
        <w:t xml:space="preserve">Guevara, J.F., Pérez, Francisco, Serrano, L., 2015. </w:t>
      </w:r>
      <w:r w:rsidRPr="006510BC">
        <w:rPr>
          <w:rFonts w:ascii="Times New Roman" w:hAnsi="Times New Roman" w:cs="Times New Roman"/>
          <w:sz w:val="24"/>
          <w:szCs w:val="24"/>
          <w:shd w:val="clear" w:color="auto" w:fill="FFFFFF"/>
        </w:rPr>
        <w:t xml:space="preserve">Crisis económica, confianza y capital social. Fundación BBVA. Madrid, </w:t>
      </w:r>
      <w:proofErr w:type="spellStart"/>
      <w:r w:rsidRPr="006510BC">
        <w:rPr>
          <w:rFonts w:ascii="Times New Roman" w:hAnsi="Times New Roman" w:cs="Times New Roman"/>
          <w:sz w:val="24"/>
          <w:szCs w:val="24"/>
          <w:shd w:val="clear" w:color="auto" w:fill="FFFFFF"/>
        </w:rPr>
        <w:t>Espa</w:t>
      </w:r>
      <w:r w:rsidRPr="008D3DF8">
        <w:rPr>
          <w:rFonts w:ascii="Times New Roman" w:hAnsi="Times New Roman" w:cs="Times New Roman"/>
          <w:sz w:val="24"/>
          <w:szCs w:val="24"/>
          <w:shd w:val="clear" w:color="auto" w:fill="FFFFFF"/>
          <w:lang w:val="en-US"/>
        </w:rPr>
        <w:t>ña</w:t>
      </w:r>
      <w:proofErr w:type="spellEnd"/>
      <w:r w:rsidRPr="008D3DF8">
        <w:rPr>
          <w:rFonts w:ascii="Times New Roman" w:hAnsi="Times New Roman" w:cs="Times New Roman"/>
          <w:sz w:val="24"/>
          <w:szCs w:val="24"/>
          <w:shd w:val="clear" w:color="auto" w:fill="FFFFFF"/>
          <w:lang w:val="en-US"/>
        </w:rPr>
        <w:t>. Pp.</w:t>
      </w:r>
    </w:p>
    <w:p w:rsidR="008D3DF8" w:rsidRPr="008D3DF8" w:rsidRDefault="008D3DF8" w:rsidP="008D3DF8">
      <w:pPr>
        <w:spacing w:after="0" w:line="360" w:lineRule="auto"/>
        <w:ind w:firstLine="708"/>
        <w:jc w:val="both"/>
        <w:rPr>
          <w:rFonts w:ascii="Times New Roman" w:hAnsi="Times New Roman" w:cs="Times New Roman"/>
          <w:sz w:val="24"/>
          <w:szCs w:val="24"/>
        </w:rPr>
      </w:pPr>
      <w:r w:rsidRPr="008D3DF8">
        <w:rPr>
          <w:rFonts w:ascii="Times New Roman" w:hAnsi="Times New Roman" w:cs="Times New Roman"/>
          <w:sz w:val="24"/>
          <w:szCs w:val="24"/>
          <w:shd w:val="clear" w:color="auto" w:fill="FFFFFF"/>
        </w:rPr>
        <w:t>Gonzáles, L., 2011. Gestión del Territorio. Un método para la intervención territorial. Santiago, Chile. 93pp.</w:t>
      </w:r>
    </w:p>
    <w:p w:rsidR="00622891" w:rsidRDefault="00622891" w:rsidP="00B63B34">
      <w:pPr>
        <w:spacing w:after="0" w:line="360" w:lineRule="auto"/>
        <w:ind w:firstLine="708"/>
        <w:jc w:val="both"/>
        <w:rPr>
          <w:rFonts w:ascii="Times New Roman" w:hAnsi="Times New Roman" w:cs="Times New Roman"/>
          <w:sz w:val="24"/>
          <w:szCs w:val="24"/>
        </w:rPr>
      </w:pPr>
      <w:proofErr w:type="spellStart"/>
      <w:r w:rsidRPr="008D3DF8">
        <w:rPr>
          <w:rFonts w:ascii="Times New Roman" w:hAnsi="Times New Roman" w:cs="Times New Roman"/>
          <w:sz w:val="24"/>
          <w:szCs w:val="24"/>
          <w:lang w:val="en-US"/>
        </w:rPr>
        <w:t>Heinrichs</w:t>
      </w:r>
      <w:proofErr w:type="spellEnd"/>
      <w:r w:rsidRPr="008D3DF8">
        <w:rPr>
          <w:rFonts w:ascii="Times New Roman" w:hAnsi="Times New Roman" w:cs="Times New Roman"/>
          <w:sz w:val="24"/>
          <w:szCs w:val="24"/>
          <w:lang w:val="en-US"/>
        </w:rPr>
        <w:t xml:space="preserve">, D., Henning, N., Rodríguez, C., 2009. </w:t>
      </w:r>
      <w:r w:rsidRPr="008D3DF8">
        <w:rPr>
          <w:rFonts w:ascii="Times New Roman" w:hAnsi="Times New Roman" w:cs="Times New Roman"/>
          <w:sz w:val="24"/>
          <w:szCs w:val="24"/>
        </w:rPr>
        <w:t>Dispersión urbana y nuevos desafíos para la gobernanza (metropolitana) en América Latina: el caso de Santiago de Chile. Revista Eure, Vol. XXXV, N°104, pp29-46. Santiago, Chile.</w:t>
      </w:r>
    </w:p>
    <w:p w:rsidR="00B63B34" w:rsidRPr="008D3DF8" w:rsidRDefault="00B63B34" w:rsidP="00B63B3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Ley 20.417, 2010. Crea el Ministerio de Medio Ambiente, el Servicio de </w:t>
      </w:r>
      <w:proofErr w:type="spellStart"/>
      <w:r>
        <w:rPr>
          <w:rFonts w:ascii="Times New Roman" w:hAnsi="Times New Roman" w:cs="Times New Roman"/>
          <w:sz w:val="24"/>
          <w:szCs w:val="24"/>
        </w:rPr>
        <w:t>Evaluaciòn</w:t>
      </w:r>
      <w:proofErr w:type="spellEnd"/>
      <w:r>
        <w:rPr>
          <w:rFonts w:ascii="Times New Roman" w:hAnsi="Times New Roman" w:cs="Times New Roman"/>
          <w:sz w:val="24"/>
          <w:szCs w:val="24"/>
        </w:rPr>
        <w:t xml:space="preserve"> Ambiental y la superintendencia de Medio Ambiente. Ministerio Secretaría General de la Presidencia. Santiago, Chile.</w:t>
      </w:r>
    </w:p>
    <w:p w:rsidR="00622891" w:rsidRPr="008D3DF8" w:rsidRDefault="00622891" w:rsidP="00B63B34">
      <w:pPr>
        <w:spacing w:after="0" w:line="360" w:lineRule="auto"/>
        <w:ind w:firstLine="708"/>
        <w:jc w:val="both"/>
        <w:rPr>
          <w:rFonts w:ascii="Times New Roman" w:hAnsi="Times New Roman" w:cs="Times New Roman"/>
          <w:sz w:val="24"/>
          <w:szCs w:val="24"/>
        </w:rPr>
      </w:pPr>
      <w:r w:rsidRPr="008D3DF8">
        <w:rPr>
          <w:rFonts w:ascii="Times New Roman" w:hAnsi="Times New Roman" w:cs="Times New Roman"/>
          <w:sz w:val="24"/>
          <w:szCs w:val="24"/>
        </w:rPr>
        <w:t xml:space="preserve">Mayorga, J., 2012. Capital social, segregación y equipamientos colectivos. Disponible en: </w:t>
      </w:r>
      <w:hyperlink r:id="rId18" w:history="1">
        <w:r w:rsidRPr="008D3DF8">
          <w:rPr>
            <w:rStyle w:val="Hipervnculo"/>
            <w:rFonts w:ascii="Times New Roman" w:hAnsi="Times New Roman" w:cs="Times New Roman"/>
            <w:color w:val="auto"/>
            <w:sz w:val="24"/>
            <w:szCs w:val="24"/>
            <w:u w:val="none"/>
          </w:rPr>
          <w:t>http://dearq.uniandes.edu.co/sites/default/files/articles/attachments/dearq_11_02_jm_mayorga.pdf</w:t>
        </w:r>
      </w:hyperlink>
      <w:r w:rsidRPr="008D3DF8">
        <w:rPr>
          <w:rFonts w:ascii="Times New Roman" w:hAnsi="Times New Roman" w:cs="Times New Roman"/>
          <w:sz w:val="24"/>
          <w:szCs w:val="24"/>
        </w:rPr>
        <w:t xml:space="preserve"> .</w:t>
      </w:r>
    </w:p>
    <w:p w:rsidR="008D3DF8" w:rsidRDefault="008D3DF8" w:rsidP="00B63B34">
      <w:pPr>
        <w:spacing w:after="0" w:line="360" w:lineRule="auto"/>
        <w:ind w:firstLine="708"/>
        <w:jc w:val="both"/>
        <w:rPr>
          <w:rFonts w:ascii="Times New Roman" w:hAnsi="Times New Roman" w:cs="Times New Roman"/>
          <w:sz w:val="24"/>
          <w:szCs w:val="24"/>
        </w:rPr>
      </w:pPr>
      <w:r w:rsidRPr="008D3DF8">
        <w:rPr>
          <w:rFonts w:ascii="Times New Roman" w:hAnsi="Times New Roman" w:cs="Times New Roman"/>
          <w:sz w:val="24"/>
          <w:szCs w:val="24"/>
        </w:rPr>
        <w:t>Ministerio de Medio Ambiente</w:t>
      </w:r>
      <w:r w:rsidR="00B63B34">
        <w:rPr>
          <w:rFonts w:ascii="Times New Roman" w:hAnsi="Times New Roman" w:cs="Times New Roman"/>
          <w:sz w:val="24"/>
          <w:szCs w:val="24"/>
        </w:rPr>
        <w:t>n (MMA)</w:t>
      </w:r>
      <w:r w:rsidRPr="008D3DF8">
        <w:rPr>
          <w:rFonts w:ascii="Times New Roman" w:hAnsi="Times New Roman" w:cs="Times New Roman"/>
          <w:sz w:val="24"/>
          <w:szCs w:val="24"/>
        </w:rPr>
        <w:t xml:space="preserve">, 2015. </w:t>
      </w:r>
      <w:r w:rsidRPr="006510BC">
        <w:rPr>
          <w:rFonts w:ascii="Times New Roman" w:hAnsi="Times New Roman" w:cs="Times New Roman"/>
          <w:sz w:val="24"/>
          <w:szCs w:val="24"/>
        </w:rPr>
        <w:t>Guía de orientación para el uso de la evaluación ambiental estratégica en Chile</w:t>
      </w:r>
      <w:r w:rsidRPr="006510BC">
        <w:rPr>
          <w:rFonts w:ascii="Times New Roman" w:hAnsi="Times New Roman" w:cs="Times New Roman"/>
          <w:sz w:val="24"/>
          <w:szCs w:val="24"/>
        </w:rPr>
        <w:t>. Santiago, Chile. 78pp.</w:t>
      </w:r>
    </w:p>
    <w:p w:rsidR="006510BC" w:rsidRPr="006510BC" w:rsidRDefault="006510BC" w:rsidP="006510BC">
      <w:pPr>
        <w:ind w:firstLine="708"/>
        <w:rPr>
          <w:rFonts w:ascii="Times New Roman" w:hAnsi="Times New Roman" w:cs="Times New Roman"/>
          <w:sz w:val="24"/>
          <w:szCs w:val="24"/>
        </w:rPr>
      </w:pPr>
      <w:r w:rsidRPr="006510BC">
        <w:rPr>
          <w:rFonts w:ascii="Times New Roman" w:hAnsi="Times New Roman" w:cs="Times New Roman"/>
          <w:sz w:val="24"/>
          <w:szCs w:val="24"/>
        </w:rPr>
        <w:t>Palma, C, 2008. Capital social, pobreza, trabajo y segregación residencial. Santiago, Chile. 162p.</w:t>
      </w:r>
    </w:p>
    <w:p w:rsidR="006510BC" w:rsidRPr="006510BC" w:rsidRDefault="006510BC" w:rsidP="006510BC">
      <w:pPr>
        <w:autoSpaceDE w:val="0"/>
        <w:autoSpaceDN w:val="0"/>
        <w:adjustRightInd w:val="0"/>
        <w:spacing w:before="120" w:after="120"/>
        <w:ind w:firstLine="708"/>
        <w:jc w:val="both"/>
        <w:rPr>
          <w:rFonts w:ascii="Times New Roman" w:hAnsi="Times New Roman" w:cs="Times New Roman"/>
          <w:sz w:val="24"/>
          <w:szCs w:val="24"/>
        </w:rPr>
      </w:pPr>
      <w:r w:rsidRPr="006510BC">
        <w:rPr>
          <w:rFonts w:ascii="Times New Roman" w:hAnsi="Times New Roman" w:cs="Times New Roman"/>
          <w:sz w:val="24"/>
          <w:szCs w:val="24"/>
        </w:rPr>
        <w:t>Romero, H.  Ordenes, F., 2008 El Crecimiento Espacial de la Ciudad de Santiago entre 1989 y 2003 y sus Efectos sobre la Pérdida de Servicios Ambientales.</w:t>
      </w:r>
    </w:p>
    <w:p w:rsidR="00622891" w:rsidRPr="008D3DF8" w:rsidRDefault="00622891" w:rsidP="00B63B34">
      <w:pPr>
        <w:spacing w:after="0" w:line="360" w:lineRule="auto"/>
        <w:ind w:firstLine="708"/>
        <w:jc w:val="both"/>
        <w:rPr>
          <w:rFonts w:ascii="Times New Roman" w:hAnsi="Times New Roman" w:cs="Times New Roman"/>
          <w:sz w:val="24"/>
          <w:szCs w:val="24"/>
        </w:rPr>
      </w:pPr>
      <w:r w:rsidRPr="008D3DF8">
        <w:rPr>
          <w:rFonts w:ascii="Times New Roman" w:hAnsi="Times New Roman" w:cs="Times New Roman"/>
          <w:sz w:val="24"/>
          <w:szCs w:val="24"/>
        </w:rPr>
        <w:t>S</w:t>
      </w:r>
      <w:r w:rsidR="00B63B34">
        <w:rPr>
          <w:rFonts w:ascii="Times New Roman" w:hAnsi="Times New Roman" w:cs="Times New Roman"/>
          <w:sz w:val="24"/>
          <w:szCs w:val="24"/>
        </w:rPr>
        <w:t>abatini</w:t>
      </w:r>
      <w:r w:rsidRPr="008D3DF8">
        <w:rPr>
          <w:rFonts w:ascii="Times New Roman" w:hAnsi="Times New Roman" w:cs="Times New Roman"/>
          <w:sz w:val="24"/>
          <w:szCs w:val="24"/>
        </w:rPr>
        <w:t>, F</w:t>
      </w:r>
      <w:r w:rsidR="00B63B34">
        <w:rPr>
          <w:rFonts w:ascii="Times New Roman" w:hAnsi="Times New Roman" w:cs="Times New Roman"/>
          <w:sz w:val="24"/>
          <w:szCs w:val="24"/>
        </w:rPr>
        <w:t>.</w:t>
      </w:r>
      <w:r w:rsidRPr="008D3DF8">
        <w:rPr>
          <w:rFonts w:ascii="Times New Roman" w:hAnsi="Times New Roman" w:cs="Times New Roman"/>
          <w:sz w:val="24"/>
          <w:szCs w:val="24"/>
        </w:rPr>
        <w:t xml:space="preserve"> y A</w:t>
      </w:r>
      <w:r w:rsidR="00B63B34">
        <w:rPr>
          <w:rFonts w:ascii="Times New Roman" w:hAnsi="Times New Roman" w:cs="Times New Roman"/>
          <w:sz w:val="24"/>
          <w:szCs w:val="24"/>
        </w:rPr>
        <w:t>rena</w:t>
      </w:r>
      <w:r w:rsidRPr="008D3DF8">
        <w:rPr>
          <w:rFonts w:ascii="Times New Roman" w:hAnsi="Times New Roman" w:cs="Times New Roman"/>
          <w:sz w:val="24"/>
          <w:szCs w:val="24"/>
        </w:rPr>
        <w:t>, F</w:t>
      </w:r>
      <w:r w:rsidR="00B63B34">
        <w:rPr>
          <w:rFonts w:ascii="Times New Roman" w:hAnsi="Times New Roman" w:cs="Times New Roman"/>
          <w:sz w:val="24"/>
          <w:szCs w:val="24"/>
        </w:rPr>
        <w:t>., 2000.</w:t>
      </w:r>
      <w:r w:rsidRPr="008D3DF8">
        <w:rPr>
          <w:rFonts w:ascii="Times New Roman" w:hAnsi="Times New Roman" w:cs="Times New Roman"/>
          <w:sz w:val="24"/>
          <w:szCs w:val="24"/>
        </w:rPr>
        <w:t xml:space="preserve"> </w:t>
      </w:r>
      <w:r w:rsidRPr="008D3DF8">
        <w:rPr>
          <w:rFonts w:ascii="Times New Roman" w:hAnsi="Times New Roman" w:cs="Times New Roman"/>
          <w:bCs/>
          <w:sz w:val="24"/>
          <w:szCs w:val="24"/>
        </w:rPr>
        <w:t>Entre el Estado y el mercado: resonancias geográficas y sustentabilidad social en Santiago de Chile</w:t>
      </w:r>
      <w:r w:rsidRPr="008D3DF8">
        <w:rPr>
          <w:rFonts w:ascii="Times New Roman" w:hAnsi="Times New Roman" w:cs="Times New Roman"/>
          <w:sz w:val="24"/>
          <w:szCs w:val="24"/>
        </w:rPr>
        <w:t xml:space="preserve">. </w:t>
      </w:r>
      <w:r w:rsidRPr="008D3DF8">
        <w:rPr>
          <w:rFonts w:ascii="Times New Roman" w:hAnsi="Times New Roman" w:cs="Times New Roman"/>
          <w:i/>
          <w:iCs/>
          <w:sz w:val="24"/>
          <w:szCs w:val="24"/>
        </w:rPr>
        <w:t>EURE (Santiago)</w:t>
      </w:r>
      <w:r w:rsidRPr="008D3DF8">
        <w:rPr>
          <w:rFonts w:ascii="Times New Roman" w:hAnsi="Times New Roman" w:cs="Times New Roman"/>
          <w:sz w:val="24"/>
          <w:szCs w:val="24"/>
        </w:rPr>
        <w:t>,</w:t>
      </w:r>
      <w:r w:rsidR="00B63B34">
        <w:rPr>
          <w:rFonts w:ascii="Times New Roman" w:hAnsi="Times New Roman" w:cs="Times New Roman"/>
          <w:sz w:val="24"/>
          <w:szCs w:val="24"/>
        </w:rPr>
        <w:t xml:space="preserve"> dic.</w:t>
      </w:r>
      <w:r w:rsidRPr="008D3DF8">
        <w:rPr>
          <w:rFonts w:ascii="Times New Roman" w:hAnsi="Times New Roman" w:cs="Times New Roman"/>
          <w:sz w:val="24"/>
          <w:szCs w:val="24"/>
        </w:rPr>
        <w:t xml:space="preserve">, vol.26, no.79, p.95-113. </w:t>
      </w:r>
    </w:p>
    <w:p w:rsidR="008D3DF8" w:rsidRPr="00255765" w:rsidRDefault="008D3DF8" w:rsidP="00B63B34">
      <w:pPr>
        <w:spacing w:after="0" w:line="360" w:lineRule="auto"/>
        <w:ind w:firstLine="708"/>
        <w:jc w:val="both"/>
        <w:rPr>
          <w:rFonts w:ascii="Times New Roman" w:hAnsi="Times New Roman" w:cs="Times New Roman"/>
          <w:sz w:val="24"/>
          <w:szCs w:val="24"/>
          <w:shd w:val="clear" w:color="auto" w:fill="FFFFFF"/>
          <w:lang w:val="en-US"/>
        </w:rPr>
      </w:pPr>
      <w:r w:rsidRPr="008D3DF8">
        <w:rPr>
          <w:rFonts w:ascii="Times New Roman" w:hAnsi="Times New Roman" w:cs="Times New Roman"/>
          <w:sz w:val="24"/>
          <w:szCs w:val="24"/>
        </w:rPr>
        <w:t>S</w:t>
      </w:r>
      <w:r w:rsidR="00B63B34">
        <w:rPr>
          <w:rFonts w:ascii="Times New Roman" w:hAnsi="Times New Roman" w:cs="Times New Roman"/>
          <w:sz w:val="24"/>
          <w:szCs w:val="24"/>
        </w:rPr>
        <w:t>ecretaría Regional Ministerial de</w:t>
      </w:r>
      <w:r w:rsidRPr="008D3DF8">
        <w:rPr>
          <w:rFonts w:ascii="Times New Roman" w:hAnsi="Times New Roman" w:cs="Times New Roman"/>
          <w:sz w:val="24"/>
          <w:szCs w:val="24"/>
        </w:rPr>
        <w:t xml:space="preserve"> V</w:t>
      </w:r>
      <w:r w:rsidR="00B63B34">
        <w:rPr>
          <w:rFonts w:ascii="Times New Roman" w:hAnsi="Times New Roman" w:cs="Times New Roman"/>
          <w:sz w:val="24"/>
          <w:szCs w:val="24"/>
        </w:rPr>
        <w:t>ivienda y Urbanismo (SEREMI V. y U.),</w:t>
      </w:r>
      <w:r w:rsidRPr="008D3DF8">
        <w:rPr>
          <w:rFonts w:ascii="Times New Roman" w:hAnsi="Times New Roman" w:cs="Times New Roman"/>
          <w:sz w:val="24"/>
          <w:szCs w:val="24"/>
        </w:rPr>
        <w:t xml:space="preserve"> 2013. Memoria Explicativa Modificación Plan Regulador Metropolitano de Santiago MPRMS 100 “Actualización </w:t>
      </w:r>
      <w:r w:rsidRPr="00255765">
        <w:rPr>
          <w:rFonts w:ascii="Times New Roman" w:hAnsi="Times New Roman" w:cs="Times New Roman"/>
          <w:sz w:val="24"/>
          <w:szCs w:val="24"/>
          <w:shd w:val="clear" w:color="auto" w:fill="FFFFFF"/>
          <w:lang w:val="en-US"/>
        </w:rPr>
        <w:t>Áreas de Extensión Urbana y Reconversión. Gobierno de Chile. Santiago, Chile. 95p</w:t>
      </w:r>
      <w:proofErr w:type="gramStart"/>
      <w:r w:rsidRPr="00255765">
        <w:rPr>
          <w:rFonts w:ascii="Times New Roman" w:hAnsi="Times New Roman" w:cs="Times New Roman"/>
          <w:sz w:val="24"/>
          <w:szCs w:val="24"/>
          <w:shd w:val="clear" w:color="auto" w:fill="FFFFFF"/>
          <w:lang w:val="en-US"/>
        </w:rPr>
        <w:t>.  [</w:t>
      </w:r>
      <w:proofErr w:type="gramEnd"/>
      <w:r w:rsidRPr="00255765">
        <w:rPr>
          <w:rFonts w:ascii="Times New Roman" w:hAnsi="Times New Roman" w:cs="Times New Roman"/>
          <w:sz w:val="24"/>
          <w:szCs w:val="24"/>
          <w:shd w:val="clear" w:color="auto" w:fill="FFFFFF"/>
          <w:lang w:val="en-US"/>
        </w:rPr>
        <w:t>Consultado el 07 de mayo de 2015].</w:t>
      </w:r>
    </w:p>
    <w:p w:rsidR="00255765" w:rsidRPr="00255765" w:rsidRDefault="00255765" w:rsidP="00255765">
      <w:pPr>
        <w:autoSpaceDE w:val="0"/>
        <w:autoSpaceDN w:val="0"/>
        <w:adjustRightInd w:val="0"/>
        <w:spacing w:before="120" w:after="120"/>
        <w:ind w:firstLine="708"/>
        <w:jc w:val="both"/>
        <w:rPr>
          <w:rFonts w:ascii="Times New Roman" w:hAnsi="Times New Roman" w:cs="Times New Roman"/>
          <w:sz w:val="24"/>
          <w:szCs w:val="24"/>
          <w:shd w:val="clear" w:color="auto" w:fill="FFFFFF"/>
          <w:lang w:val="en-US"/>
        </w:rPr>
      </w:pPr>
      <w:r w:rsidRPr="00255765">
        <w:rPr>
          <w:rFonts w:ascii="Times New Roman" w:hAnsi="Times New Roman" w:cs="Times New Roman"/>
          <w:sz w:val="24"/>
          <w:szCs w:val="24"/>
          <w:shd w:val="clear" w:color="auto" w:fill="FFFFFF"/>
          <w:lang w:val="en-US"/>
        </w:rPr>
        <w:lastRenderedPageBreak/>
        <w:t>Serra, I., 2012. Análisis del Proceso de Elaboración y Aprobación del PRMS 100. Tesis para optar al grado de Magíster en Gestión y Políticas Públicas. Departamento de Ingeniería Industrial. Facultad de Ciencias Físicas y Matemáticas. Universidad de Chile. Santiago. Chile. 136p.</w:t>
      </w:r>
    </w:p>
    <w:p w:rsidR="00622891" w:rsidRPr="00B63B34" w:rsidRDefault="00622891" w:rsidP="00B63B34">
      <w:pPr>
        <w:spacing w:after="0" w:line="360" w:lineRule="auto"/>
        <w:ind w:firstLine="708"/>
        <w:jc w:val="both"/>
        <w:rPr>
          <w:rFonts w:ascii="Times New Roman" w:hAnsi="Times New Roman" w:cs="Times New Roman"/>
          <w:sz w:val="24"/>
          <w:szCs w:val="24"/>
        </w:rPr>
      </w:pPr>
      <w:proofErr w:type="spellStart"/>
      <w:r w:rsidRPr="00B63B34">
        <w:rPr>
          <w:rFonts w:ascii="Times New Roman" w:hAnsi="Times New Roman" w:cs="Times New Roman"/>
          <w:sz w:val="24"/>
          <w:szCs w:val="24"/>
          <w:shd w:val="clear" w:color="auto" w:fill="FFFFFF"/>
          <w:lang w:val="en-US"/>
        </w:rPr>
        <w:t>T</w:t>
      </w:r>
      <w:r w:rsidR="00B63B34" w:rsidRPr="00B63B34">
        <w:rPr>
          <w:rFonts w:ascii="Times New Roman" w:hAnsi="Times New Roman" w:cs="Times New Roman"/>
          <w:sz w:val="24"/>
          <w:szCs w:val="24"/>
          <w:shd w:val="clear" w:color="auto" w:fill="FFFFFF"/>
          <w:lang w:val="en-US"/>
        </w:rPr>
        <w:t>hedore</w:t>
      </w:r>
      <w:proofErr w:type="spellEnd"/>
      <w:r w:rsidR="00B63B34" w:rsidRPr="00B63B34">
        <w:rPr>
          <w:rFonts w:ascii="Times New Roman" w:hAnsi="Times New Roman" w:cs="Times New Roman"/>
          <w:sz w:val="24"/>
          <w:szCs w:val="24"/>
          <w:shd w:val="clear" w:color="auto" w:fill="FFFFFF"/>
          <w:lang w:val="en-US"/>
        </w:rPr>
        <w:t xml:space="preserve">, N., Peck, J., Brenner, N., 2009. </w:t>
      </w:r>
      <w:r w:rsidRPr="00B63B34">
        <w:rPr>
          <w:rFonts w:ascii="Times New Roman" w:hAnsi="Times New Roman" w:cs="Times New Roman"/>
          <w:sz w:val="24"/>
          <w:szCs w:val="24"/>
          <w:shd w:val="clear" w:color="auto" w:fill="FFFFFF"/>
        </w:rPr>
        <w:t>Urbanismo neoliberal: la ciudad y el imperio de los mercados.</w:t>
      </w:r>
      <w:r w:rsidR="00B63B34">
        <w:rPr>
          <w:rFonts w:ascii="Times New Roman" w:hAnsi="Times New Roman" w:cs="Times New Roman"/>
          <w:sz w:val="24"/>
          <w:szCs w:val="24"/>
          <w:shd w:val="clear" w:color="auto" w:fill="FFFFFF"/>
        </w:rPr>
        <w:t xml:space="preserve"> </w:t>
      </w:r>
      <w:r w:rsidR="00B63B34">
        <w:rPr>
          <w:rFonts w:ascii="Times New Roman" w:hAnsi="Times New Roman" w:cs="Times New Roman"/>
          <w:sz w:val="24"/>
          <w:szCs w:val="24"/>
          <w:shd w:val="clear" w:color="auto" w:fill="FFFFFF"/>
        </w:rPr>
        <w:t>[</w:t>
      </w:r>
      <w:r w:rsidR="00B63B34">
        <w:rPr>
          <w:rFonts w:ascii="Times New Roman" w:hAnsi="Times New Roman" w:cs="Times New Roman"/>
          <w:sz w:val="24"/>
          <w:szCs w:val="24"/>
          <w:shd w:val="clear" w:color="auto" w:fill="FFFFFF"/>
        </w:rPr>
        <w:t>En línea</w:t>
      </w:r>
      <w:r w:rsidR="00B63B34">
        <w:rPr>
          <w:rFonts w:ascii="Times New Roman" w:hAnsi="Times New Roman" w:cs="Times New Roman"/>
          <w:sz w:val="24"/>
          <w:szCs w:val="24"/>
          <w:shd w:val="clear" w:color="auto" w:fill="FFFFFF"/>
        </w:rPr>
        <w:t>]</w:t>
      </w:r>
      <w:r w:rsidR="00B63B34" w:rsidRPr="00B63B34">
        <w:rPr>
          <w:rStyle w:val="nfasis"/>
          <w:rFonts w:ascii="Times New Roman" w:hAnsi="Times New Roman" w:cs="Times New Roman"/>
          <w:sz w:val="24"/>
          <w:szCs w:val="24"/>
          <w:shd w:val="clear" w:color="auto" w:fill="FFFFFF"/>
        </w:rPr>
        <w:t xml:space="preserve"> </w:t>
      </w:r>
      <w:r w:rsidRPr="00B63B34">
        <w:rPr>
          <w:rStyle w:val="nfasis"/>
          <w:rFonts w:ascii="Times New Roman" w:hAnsi="Times New Roman" w:cs="Times New Roman"/>
          <w:i w:val="0"/>
          <w:sz w:val="24"/>
          <w:szCs w:val="24"/>
          <w:shd w:val="clear" w:color="auto" w:fill="FFFFFF"/>
        </w:rPr>
        <w:t>Temas Sociales</w:t>
      </w:r>
      <w:r w:rsidR="00B63B34">
        <w:rPr>
          <w:rFonts w:ascii="Times New Roman" w:hAnsi="Times New Roman" w:cs="Times New Roman"/>
          <w:i/>
          <w:sz w:val="24"/>
          <w:szCs w:val="24"/>
          <w:shd w:val="clear" w:color="auto" w:fill="FFFFFF"/>
        </w:rPr>
        <w:t xml:space="preserve"> </w:t>
      </w:r>
      <w:r w:rsidR="00B63B34" w:rsidRPr="00B63B34">
        <w:rPr>
          <w:rFonts w:ascii="Times New Roman" w:hAnsi="Times New Roman" w:cs="Times New Roman"/>
          <w:sz w:val="24"/>
          <w:szCs w:val="24"/>
          <w:shd w:val="clear" w:color="auto" w:fill="FFFFFF"/>
        </w:rPr>
        <w:t xml:space="preserve"> </w:t>
      </w:r>
      <w:r w:rsidR="00B63B34">
        <w:rPr>
          <w:rFonts w:ascii="Times New Roman" w:hAnsi="Times New Roman" w:cs="Times New Roman"/>
          <w:sz w:val="24"/>
          <w:szCs w:val="24"/>
          <w:shd w:val="clear" w:color="auto" w:fill="FFFFFF"/>
        </w:rPr>
        <w:t>[66]</w:t>
      </w:r>
      <w:r w:rsidR="00B63B34" w:rsidRPr="00B63B34">
        <w:rPr>
          <w:rFonts w:ascii="Times New Roman" w:hAnsi="Times New Roman" w:cs="Times New Roman"/>
          <w:sz w:val="24"/>
          <w:szCs w:val="24"/>
          <w:shd w:val="clear" w:color="auto" w:fill="FFFFFF"/>
        </w:rPr>
        <w:t>.</w:t>
      </w:r>
    </w:p>
    <w:p w:rsidR="00622891" w:rsidRPr="008D3DF8" w:rsidRDefault="00622891" w:rsidP="00B63B34">
      <w:pPr>
        <w:spacing w:after="0" w:line="360" w:lineRule="auto"/>
        <w:ind w:firstLine="708"/>
        <w:jc w:val="both"/>
        <w:rPr>
          <w:rFonts w:ascii="Times New Roman" w:hAnsi="Times New Roman" w:cs="Times New Roman"/>
          <w:sz w:val="24"/>
          <w:szCs w:val="24"/>
        </w:rPr>
      </w:pPr>
      <w:proofErr w:type="spellStart"/>
      <w:r w:rsidRPr="008D3DF8">
        <w:rPr>
          <w:rFonts w:ascii="Times New Roman" w:hAnsi="Times New Roman" w:cs="Times New Roman"/>
          <w:sz w:val="24"/>
          <w:szCs w:val="24"/>
        </w:rPr>
        <w:t>Trivelli</w:t>
      </w:r>
      <w:proofErr w:type="spellEnd"/>
      <w:r w:rsidRPr="008D3DF8">
        <w:rPr>
          <w:rFonts w:ascii="Times New Roman" w:hAnsi="Times New Roman" w:cs="Times New Roman"/>
          <w:sz w:val="24"/>
          <w:szCs w:val="24"/>
        </w:rPr>
        <w:t>, 2011. La propuesta de modificación del Plan Regulador Metropolitano de Santiago PRMS 100 requiere una justificación más sólida. Revista Eure.pp179-184.</w:t>
      </w:r>
    </w:p>
    <w:p w:rsidR="00622891" w:rsidRPr="008D3DF8" w:rsidRDefault="00622891" w:rsidP="00B63B34">
      <w:pPr>
        <w:autoSpaceDE w:val="0"/>
        <w:autoSpaceDN w:val="0"/>
        <w:adjustRightInd w:val="0"/>
        <w:spacing w:after="0" w:line="360" w:lineRule="auto"/>
        <w:ind w:firstLine="708"/>
        <w:jc w:val="both"/>
        <w:rPr>
          <w:rFonts w:ascii="Times New Roman" w:hAnsi="Times New Roman" w:cs="Times New Roman"/>
          <w:sz w:val="24"/>
          <w:szCs w:val="24"/>
        </w:rPr>
      </w:pPr>
      <w:r w:rsidRPr="008D3DF8">
        <w:rPr>
          <w:rFonts w:ascii="Times New Roman" w:hAnsi="Times New Roman" w:cs="Times New Roman"/>
          <w:sz w:val="24"/>
          <w:szCs w:val="24"/>
        </w:rPr>
        <w:t xml:space="preserve">Vicuña del Río, M., 2013. El marco regulatorio en el contexto de la gestión </w:t>
      </w:r>
      <w:proofErr w:type="spellStart"/>
      <w:r w:rsidRPr="008D3DF8">
        <w:rPr>
          <w:rFonts w:ascii="Times New Roman" w:hAnsi="Times New Roman" w:cs="Times New Roman"/>
          <w:sz w:val="24"/>
          <w:szCs w:val="24"/>
        </w:rPr>
        <w:t>empresarialista</w:t>
      </w:r>
      <w:proofErr w:type="spellEnd"/>
      <w:r w:rsidRPr="008D3DF8">
        <w:rPr>
          <w:rFonts w:ascii="Times New Roman" w:hAnsi="Times New Roman" w:cs="Times New Roman"/>
          <w:sz w:val="24"/>
          <w:szCs w:val="24"/>
        </w:rPr>
        <w:t xml:space="preserve"> y la mercantilización del desarrollo urbano del Gran Santiago, Chile. Revista INVI. </w:t>
      </w:r>
      <w:proofErr w:type="spellStart"/>
      <w:r w:rsidRPr="008D3DF8">
        <w:rPr>
          <w:rFonts w:ascii="Times New Roman" w:hAnsi="Times New Roman" w:cs="Times New Roman"/>
          <w:sz w:val="24"/>
          <w:szCs w:val="24"/>
        </w:rPr>
        <w:t>Vol</w:t>
      </w:r>
      <w:proofErr w:type="spellEnd"/>
      <w:r w:rsidRPr="008D3DF8">
        <w:rPr>
          <w:rFonts w:ascii="Times New Roman" w:hAnsi="Times New Roman" w:cs="Times New Roman"/>
          <w:sz w:val="24"/>
          <w:szCs w:val="24"/>
        </w:rPr>
        <w:t xml:space="preserve"> 28. </w:t>
      </w:r>
      <w:proofErr w:type="spellStart"/>
      <w:r w:rsidRPr="008D3DF8">
        <w:rPr>
          <w:rFonts w:ascii="Times New Roman" w:hAnsi="Times New Roman" w:cs="Times New Roman"/>
          <w:sz w:val="24"/>
          <w:szCs w:val="24"/>
        </w:rPr>
        <w:t>Num</w:t>
      </w:r>
      <w:proofErr w:type="spellEnd"/>
      <w:r w:rsidRPr="008D3DF8">
        <w:rPr>
          <w:rFonts w:ascii="Times New Roman" w:hAnsi="Times New Roman" w:cs="Times New Roman"/>
          <w:sz w:val="24"/>
          <w:szCs w:val="24"/>
        </w:rPr>
        <w:t xml:space="preserve"> 78. http://www.revistainvi.uchile.cl/index.php/INVI/article/view/761/1100</w:t>
      </w:r>
    </w:p>
    <w:p w:rsidR="003D1868" w:rsidRPr="008D3DF8" w:rsidRDefault="003D1868" w:rsidP="008D3DF8">
      <w:pPr>
        <w:spacing w:after="0" w:line="360" w:lineRule="auto"/>
        <w:jc w:val="both"/>
        <w:rPr>
          <w:rFonts w:ascii="Times New Roman" w:hAnsi="Times New Roman" w:cs="Times New Roman"/>
          <w:sz w:val="24"/>
          <w:szCs w:val="24"/>
        </w:rPr>
      </w:pPr>
      <w:bookmarkStart w:id="6" w:name="_GoBack"/>
      <w:bookmarkEnd w:id="6"/>
    </w:p>
    <w:sectPr w:rsidR="003D1868" w:rsidRPr="008D3DF8" w:rsidSect="0097412A">
      <w:pgSz w:w="11907" w:h="16839" w:code="9"/>
      <w:pgMar w:top="1417" w:right="1417" w:bottom="1417" w:left="1417"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4F7F" w:rsidRDefault="00C84F7F" w:rsidP="006E6A27">
      <w:pPr>
        <w:spacing w:after="0" w:line="240" w:lineRule="auto"/>
      </w:pPr>
      <w:r>
        <w:separator/>
      </w:r>
    </w:p>
  </w:endnote>
  <w:endnote w:type="continuationSeparator" w:id="0">
    <w:p w:rsidR="00C84F7F" w:rsidRDefault="00C84F7F" w:rsidP="006E6A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4F7F" w:rsidRDefault="00C84F7F" w:rsidP="006E6A27">
      <w:pPr>
        <w:spacing w:after="0" w:line="240" w:lineRule="auto"/>
      </w:pPr>
      <w:r>
        <w:separator/>
      </w:r>
    </w:p>
  </w:footnote>
  <w:footnote w:type="continuationSeparator" w:id="0">
    <w:p w:rsidR="00C84F7F" w:rsidRDefault="00C84F7F" w:rsidP="006E6A27">
      <w:pPr>
        <w:spacing w:after="0" w:line="240" w:lineRule="auto"/>
      </w:pPr>
      <w:r>
        <w:continuationSeparator/>
      </w:r>
    </w:p>
  </w:footnote>
  <w:footnote w:id="1">
    <w:p w:rsidR="00061936" w:rsidRPr="00061936" w:rsidRDefault="00061936" w:rsidP="00061936">
      <w:pPr>
        <w:spacing w:after="0"/>
        <w:jc w:val="both"/>
        <w:rPr>
          <w:rFonts w:ascii="Times New Roman" w:hAnsi="Times New Roman" w:cs="Times New Roman"/>
        </w:rPr>
      </w:pPr>
      <w:r w:rsidRPr="00061936">
        <w:rPr>
          <w:rStyle w:val="Refdenotaalpie"/>
          <w:rFonts w:ascii="Times New Roman" w:hAnsi="Times New Roman" w:cs="Times New Roman"/>
        </w:rPr>
        <w:footnoteRef/>
      </w:r>
      <w:r w:rsidRPr="00061936">
        <w:rPr>
          <w:rFonts w:ascii="Times New Roman" w:hAnsi="Times New Roman" w:cs="Times New Roman"/>
        </w:rPr>
        <w:t xml:space="preserve"> </w:t>
      </w:r>
      <w:r w:rsidRPr="00061936">
        <w:rPr>
          <w:rFonts w:ascii="Times New Roman" w:hAnsi="Times New Roman" w:cs="Times New Roman"/>
          <w:sz w:val="20"/>
          <w:szCs w:val="20"/>
        </w:rPr>
        <w:t>La L</w:t>
      </w:r>
      <w:r w:rsidR="008D3DF8">
        <w:rPr>
          <w:rFonts w:ascii="Times New Roman" w:hAnsi="Times New Roman" w:cs="Times New Roman"/>
          <w:sz w:val="20"/>
          <w:szCs w:val="20"/>
        </w:rPr>
        <w:t>ey General de Urbanismo y construcciones (LGUC) y la Ordenanza General de Urbanismo y Construcciones (O</w:t>
      </w:r>
      <w:r w:rsidRPr="00061936">
        <w:rPr>
          <w:rFonts w:ascii="Times New Roman" w:hAnsi="Times New Roman" w:cs="Times New Roman"/>
          <w:sz w:val="20"/>
          <w:szCs w:val="20"/>
        </w:rPr>
        <w:t>GUC</w:t>
      </w:r>
      <w:r w:rsidR="008D3DF8">
        <w:rPr>
          <w:rFonts w:ascii="Times New Roman" w:hAnsi="Times New Roman" w:cs="Times New Roman"/>
          <w:sz w:val="20"/>
          <w:szCs w:val="20"/>
        </w:rPr>
        <w:t xml:space="preserve">) </w:t>
      </w:r>
      <w:r w:rsidRPr="00061936">
        <w:rPr>
          <w:rFonts w:ascii="Times New Roman" w:hAnsi="Times New Roman" w:cs="Times New Roman"/>
          <w:sz w:val="20"/>
          <w:szCs w:val="20"/>
        </w:rPr>
        <w:t xml:space="preserve">se refieren a la urbanización como el proceso de urbanizar, siendo esto el ejecutar, ampliar o modificar “el pavimento de las calles y pasajes, las plantaciones y obras de ornato, las instalaciones sanitarias y energéticas, con sus obras de alimentación y desagües de aguas servidas y de aguas lluvias, y las obras de defensa y de servicio de terreno” (OGUC). </w:t>
      </w:r>
    </w:p>
  </w:footnote>
  <w:footnote w:id="2">
    <w:p w:rsidR="00061936" w:rsidRPr="00061936" w:rsidRDefault="00061936" w:rsidP="00061936">
      <w:pPr>
        <w:pStyle w:val="Textonotapie"/>
        <w:jc w:val="both"/>
        <w:rPr>
          <w:rFonts w:ascii="Times New Roman" w:hAnsi="Times New Roman" w:cs="Times New Roman"/>
        </w:rPr>
      </w:pPr>
      <w:r w:rsidRPr="00061936">
        <w:rPr>
          <w:rStyle w:val="Refdenotaalpie"/>
          <w:rFonts w:ascii="Times New Roman" w:hAnsi="Times New Roman" w:cs="Times New Roman"/>
        </w:rPr>
        <w:footnoteRef/>
      </w:r>
      <w:r w:rsidRPr="00061936">
        <w:rPr>
          <w:rFonts w:ascii="Times New Roman" w:hAnsi="Times New Roman" w:cs="Times New Roman"/>
        </w:rPr>
        <w:t xml:space="preserve"> Frente a la acumulación de capital social, los costes de transacción se reducen, los Gobiernos pueden conseguir con menor dificultad sus objetivos, las organizaciones son más eficientes y la acción colectiva es más fluida. (Guevara et a., 2015).</w:t>
      </w:r>
    </w:p>
  </w:footnote>
  <w:footnote w:id="3">
    <w:p w:rsidR="00061936" w:rsidRPr="00061936" w:rsidRDefault="00061936" w:rsidP="00061936">
      <w:pPr>
        <w:spacing w:after="0"/>
        <w:jc w:val="both"/>
        <w:rPr>
          <w:rFonts w:ascii="Times New Roman" w:hAnsi="Times New Roman" w:cs="Times New Roman"/>
        </w:rPr>
      </w:pPr>
      <w:r w:rsidRPr="00061936">
        <w:rPr>
          <w:rStyle w:val="Refdenotaalpie"/>
          <w:rFonts w:ascii="Times New Roman" w:hAnsi="Times New Roman" w:cs="Times New Roman"/>
        </w:rPr>
        <w:footnoteRef/>
      </w:r>
      <w:r w:rsidRPr="00061936">
        <w:rPr>
          <w:rFonts w:ascii="Times New Roman" w:hAnsi="Times New Roman" w:cs="Times New Roman"/>
        </w:rPr>
        <w:t xml:space="preserve"> </w:t>
      </w:r>
      <w:r w:rsidRPr="00061936">
        <w:rPr>
          <w:rFonts w:ascii="Times New Roman" w:hAnsi="Times New Roman" w:cs="Times New Roman"/>
          <w:sz w:val="20"/>
          <w:szCs w:val="20"/>
        </w:rPr>
        <w:t xml:space="preserve">Las funciones </w:t>
      </w:r>
      <w:proofErr w:type="spellStart"/>
      <w:r w:rsidRPr="00061936">
        <w:rPr>
          <w:rFonts w:ascii="Times New Roman" w:hAnsi="Times New Roman" w:cs="Times New Roman"/>
          <w:sz w:val="20"/>
          <w:szCs w:val="20"/>
        </w:rPr>
        <w:t>ecosistémicas</w:t>
      </w:r>
      <w:proofErr w:type="spellEnd"/>
      <w:r w:rsidRPr="00061936">
        <w:rPr>
          <w:rFonts w:ascii="Times New Roman" w:hAnsi="Times New Roman" w:cs="Times New Roman"/>
          <w:sz w:val="20"/>
          <w:szCs w:val="20"/>
        </w:rPr>
        <w:t xml:space="preserve"> se refieren a la capacidad de un ecosistema de llevar a cabo procesos de captura, almacenaje y transferencia de energía, dióxido de carbono, nutrientes y agua (</w:t>
      </w:r>
      <w:proofErr w:type="spellStart"/>
      <w:r w:rsidRPr="00061936">
        <w:rPr>
          <w:rFonts w:ascii="Times New Roman" w:hAnsi="Times New Roman" w:cs="Times New Roman"/>
          <w:sz w:val="20"/>
          <w:szCs w:val="20"/>
        </w:rPr>
        <w:t>Solbrig</w:t>
      </w:r>
      <w:proofErr w:type="spellEnd"/>
      <w:r w:rsidRPr="00061936">
        <w:rPr>
          <w:rFonts w:ascii="Times New Roman" w:hAnsi="Times New Roman" w:cs="Times New Roman"/>
          <w:sz w:val="20"/>
          <w:szCs w:val="20"/>
        </w:rPr>
        <w:t xml:space="preserve"> 1992) (Geo Santiago, 2003).</w:t>
      </w:r>
    </w:p>
    <w:p w:rsidR="00061936" w:rsidRPr="00D22BCF" w:rsidRDefault="00061936" w:rsidP="00061936">
      <w:pPr>
        <w:pStyle w:val="Textonotapie"/>
        <w:rPr>
          <w:lang w:val="es-ES"/>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9874C0"/>
    <w:multiLevelType w:val="hybridMultilevel"/>
    <w:tmpl w:val="80C812E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20592127"/>
    <w:multiLevelType w:val="hybridMultilevel"/>
    <w:tmpl w:val="29C8464E"/>
    <w:lvl w:ilvl="0" w:tplc="50DC63E2">
      <w:start w:val="1"/>
      <w:numFmt w:val="decimal"/>
      <w:lvlText w:val="%1."/>
      <w:lvlJc w:val="left"/>
      <w:pPr>
        <w:ind w:left="1065" w:hanging="360"/>
      </w:pPr>
      <w:rPr>
        <w:rFonts w:ascii="Times New Roman" w:eastAsia="Calibri" w:hAnsi="Times New Roman" w:cs="Times New Roman"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2">
    <w:nsid w:val="3B52735D"/>
    <w:multiLevelType w:val="hybridMultilevel"/>
    <w:tmpl w:val="680E447E"/>
    <w:lvl w:ilvl="0" w:tplc="BD7004FA">
      <w:start w:val="3"/>
      <w:numFmt w:val="bullet"/>
      <w:lvlText w:val="-"/>
      <w:lvlJc w:val="left"/>
      <w:pPr>
        <w:ind w:left="720" w:hanging="360"/>
      </w:pPr>
      <w:rPr>
        <w:rFonts w:ascii="Times New Roman" w:eastAsia="Times New Roman" w:hAnsi="Times New Roman"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3E975A74"/>
    <w:multiLevelType w:val="hybridMultilevel"/>
    <w:tmpl w:val="E6F25386"/>
    <w:lvl w:ilvl="0" w:tplc="D2A0C06C">
      <w:start w:val="1"/>
      <w:numFmt w:val="bullet"/>
      <w:lvlText w:val="-"/>
      <w:lvlJc w:val="left"/>
      <w:pPr>
        <w:ind w:left="720" w:hanging="360"/>
      </w:pPr>
      <w:rPr>
        <w:rFonts w:ascii="Calibri" w:eastAsia="Times New Roman" w:hAnsi="Calibri" w:cs="Helvetica"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46C41F1E"/>
    <w:multiLevelType w:val="multilevel"/>
    <w:tmpl w:val="AD8EC56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52AC65AA"/>
    <w:multiLevelType w:val="hybridMultilevel"/>
    <w:tmpl w:val="905232D8"/>
    <w:lvl w:ilvl="0" w:tplc="D7149B88">
      <w:start w:val="1"/>
      <w:numFmt w:val="lowerLetter"/>
      <w:lvlText w:val="%1)"/>
      <w:lvlJc w:val="left"/>
      <w:pPr>
        <w:ind w:left="720" w:hanging="360"/>
      </w:pPr>
      <w:rPr>
        <w:rFonts w:hint="default"/>
        <w:i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571F17EB"/>
    <w:multiLevelType w:val="hybridMultilevel"/>
    <w:tmpl w:val="AACA7B48"/>
    <w:lvl w:ilvl="0" w:tplc="008673F4">
      <w:start w:val="1"/>
      <w:numFmt w:val="lowerRoman"/>
      <w:lvlText w:val="%1)"/>
      <w:lvlJc w:val="left"/>
      <w:pPr>
        <w:ind w:left="1440" w:hanging="720"/>
      </w:pPr>
      <w:rPr>
        <w:rFonts w:hint="default"/>
        <w:u w:val="none"/>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
    <w:nsid w:val="58E049D8"/>
    <w:multiLevelType w:val="hybridMultilevel"/>
    <w:tmpl w:val="23A6D8B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6"/>
  </w:num>
  <w:num w:numId="2">
    <w:abstractNumId w:val="2"/>
  </w:num>
  <w:num w:numId="3">
    <w:abstractNumId w:val="0"/>
  </w:num>
  <w:num w:numId="4">
    <w:abstractNumId w:val="7"/>
  </w:num>
  <w:num w:numId="5">
    <w:abstractNumId w:val="4"/>
  </w:num>
  <w:num w:numId="6">
    <w:abstractNumId w:val="1"/>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3E72"/>
    <w:rsid w:val="000079E6"/>
    <w:rsid w:val="00010D18"/>
    <w:rsid w:val="00030675"/>
    <w:rsid w:val="00030FEA"/>
    <w:rsid w:val="000355D4"/>
    <w:rsid w:val="000406C0"/>
    <w:rsid w:val="00052C4C"/>
    <w:rsid w:val="00061936"/>
    <w:rsid w:val="00072DBB"/>
    <w:rsid w:val="00081097"/>
    <w:rsid w:val="000848CE"/>
    <w:rsid w:val="0009650D"/>
    <w:rsid w:val="000A4B98"/>
    <w:rsid w:val="000C3A86"/>
    <w:rsid w:val="000D2C72"/>
    <w:rsid w:val="000F484F"/>
    <w:rsid w:val="0012616D"/>
    <w:rsid w:val="00156318"/>
    <w:rsid w:val="001F3DD5"/>
    <w:rsid w:val="00202BCD"/>
    <w:rsid w:val="00202FEB"/>
    <w:rsid w:val="00207B93"/>
    <w:rsid w:val="00215C12"/>
    <w:rsid w:val="00223214"/>
    <w:rsid w:val="00245895"/>
    <w:rsid w:val="00255765"/>
    <w:rsid w:val="0026749B"/>
    <w:rsid w:val="00277B1F"/>
    <w:rsid w:val="002A22F1"/>
    <w:rsid w:val="002B2E80"/>
    <w:rsid w:val="002D4365"/>
    <w:rsid w:val="00333E72"/>
    <w:rsid w:val="00342469"/>
    <w:rsid w:val="00375552"/>
    <w:rsid w:val="00385236"/>
    <w:rsid w:val="003A6042"/>
    <w:rsid w:val="003C76A4"/>
    <w:rsid w:val="003D1868"/>
    <w:rsid w:val="00431FCB"/>
    <w:rsid w:val="00434F34"/>
    <w:rsid w:val="00457711"/>
    <w:rsid w:val="004C1837"/>
    <w:rsid w:val="004E505B"/>
    <w:rsid w:val="00557E7B"/>
    <w:rsid w:val="00591235"/>
    <w:rsid w:val="00593510"/>
    <w:rsid w:val="00596460"/>
    <w:rsid w:val="005A69B0"/>
    <w:rsid w:val="005C28A7"/>
    <w:rsid w:val="005E4C7C"/>
    <w:rsid w:val="005F31B8"/>
    <w:rsid w:val="00622891"/>
    <w:rsid w:val="0063270D"/>
    <w:rsid w:val="0063677C"/>
    <w:rsid w:val="006510BC"/>
    <w:rsid w:val="006645ED"/>
    <w:rsid w:val="00674D90"/>
    <w:rsid w:val="006E6A27"/>
    <w:rsid w:val="006F67AC"/>
    <w:rsid w:val="007064A9"/>
    <w:rsid w:val="0072081B"/>
    <w:rsid w:val="007744CC"/>
    <w:rsid w:val="007E0484"/>
    <w:rsid w:val="007F4ABF"/>
    <w:rsid w:val="008178F9"/>
    <w:rsid w:val="00826B74"/>
    <w:rsid w:val="00831F5F"/>
    <w:rsid w:val="00893237"/>
    <w:rsid w:val="008B0EFB"/>
    <w:rsid w:val="008D3DF8"/>
    <w:rsid w:val="008D5D0F"/>
    <w:rsid w:val="008D759A"/>
    <w:rsid w:val="00901C76"/>
    <w:rsid w:val="00927616"/>
    <w:rsid w:val="00936A7C"/>
    <w:rsid w:val="00940E9F"/>
    <w:rsid w:val="00941C6F"/>
    <w:rsid w:val="009536BB"/>
    <w:rsid w:val="009640BB"/>
    <w:rsid w:val="0097412A"/>
    <w:rsid w:val="00976D12"/>
    <w:rsid w:val="00992D49"/>
    <w:rsid w:val="009A29A8"/>
    <w:rsid w:val="009A7E11"/>
    <w:rsid w:val="00A277C8"/>
    <w:rsid w:val="00A535D1"/>
    <w:rsid w:val="00A53AB3"/>
    <w:rsid w:val="00A57626"/>
    <w:rsid w:val="00A85B79"/>
    <w:rsid w:val="00A87430"/>
    <w:rsid w:val="00A95508"/>
    <w:rsid w:val="00A95E1E"/>
    <w:rsid w:val="00AA50BE"/>
    <w:rsid w:val="00AC3D56"/>
    <w:rsid w:val="00AD53E4"/>
    <w:rsid w:val="00AD6839"/>
    <w:rsid w:val="00AD7E15"/>
    <w:rsid w:val="00AE2B6E"/>
    <w:rsid w:val="00B17EF4"/>
    <w:rsid w:val="00B20402"/>
    <w:rsid w:val="00B41856"/>
    <w:rsid w:val="00B47832"/>
    <w:rsid w:val="00B52787"/>
    <w:rsid w:val="00B63B34"/>
    <w:rsid w:val="00B75D2B"/>
    <w:rsid w:val="00B77657"/>
    <w:rsid w:val="00B8448F"/>
    <w:rsid w:val="00BD0240"/>
    <w:rsid w:val="00BE3BAA"/>
    <w:rsid w:val="00BF3912"/>
    <w:rsid w:val="00C1520C"/>
    <w:rsid w:val="00C22CDC"/>
    <w:rsid w:val="00C370E0"/>
    <w:rsid w:val="00C5744F"/>
    <w:rsid w:val="00C67F14"/>
    <w:rsid w:val="00C84F7F"/>
    <w:rsid w:val="00CB598A"/>
    <w:rsid w:val="00D350FA"/>
    <w:rsid w:val="00D35126"/>
    <w:rsid w:val="00D55B60"/>
    <w:rsid w:val="00D878F8"/>
    <w:rsid w:val="00DA4576"/>
    <w:rsid w:val="00DD71F6"/>
    <w:rsid w:val="00DE5A2B"/>
    <w:rsid w:val="00DF54B0"/>
    <w:rsid w:val="00DF6541"/>
    <w:rsid w:val="00E27C9B"/>
    <w:rsid w:val="00E45994"/>
    <w:rsid w:val="00E9331E"/>
    <w:rsid w:val="00EC300D"/>
    <w:rsid w:val="00EF6161"/>
    <w:rsid w:val="00F5116E"/>
    <w:rsid w:val="00F77A81"/>
    <w:rsid w:val="00F86A62"/>
    <w:rsid w:val="00FA5692"/>
    <w:rsid w:val="00FA5F68"/>
    <w:rsid w:val="00FB1877"/>
    <w:rsid w:val="00FB25E5"/>
    <w:rsid w:val="00FE52C1"/>
    <w:rsid w:val="00FF371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nhideWhenUsed/>
    <w:qFormat/>
    <w:rsid w:val="00202FEB"/>
    <w:pPr>
      <w:keepNext/>
      <w:keepLines/>
      <w:spacing w:before="200" w:after="0" w:line="240" w:lineRule="auto"/>
      <w:jc w:val="center"/>
      <w:outlineLvl w:val="1"/>
    </w:pPr>
    <w:rPr>
      <w:rFonts w:ascii="Times New Roman" w:eastAsia="Times New Roman" w:hAnsi="Times New Roman" w:cs="Times New Roman"/>
      <w:b/>
      <w:bCs/>
      <w:sz w:val="24"/>
      <w:szCs w:val="26"/>
      <w:lang w:val="es-ES"/>
    </w:rPr>
  </w:style>
  <w:style w:type="paragraph" w:styleId="Ttulo3">
    <w:name w:val="heading 3"/>
    <w:basedOn w:val="Normal"/>
    <w:next w:val="Normal"/>
    <w:link w:val="Ttulo3Car"/>
    <w:uiPriority w:val="9"/>
    <w:semiHidden/>
    <w:unhideWhenUsed/>
    <w:qFormat/>
    <w:rsid w:val="00223214"/>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E6A2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E6A27"/>
  </w:style>
  <w:style w:type="paragraph" w:styleId="Piedepgina">
    <w:name w:val="footer"/>
    <w:basedOn w:val="Normal"/>
    <w:link w:val="PiedepginaCar"/>
    <w:uiPriority w:val="99"/>
    <w:unhideWhenUsed/>
    <w:rsid w:val="006E6A2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E6A27"/>
  </w:style>
  <w:style w:type="paragraph" w:styleId="Textodeglobo">
    <w:name w:val="Balloon Text"/>
    <w:basedOn w:val="Normal"/>
    <w:link w:val="TextodegloboCar"/>
    <w:uiPriority w:val="99"/>
    <w:semiHidden/>
    <w:unhideWhenUsed/>
    <w:rsid w:val="006E6A2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6A27"/>
    <w:rPr>
      <w:rFonts w:ascii="Tahoma" w:hAnsi="Tahoma" w:cs="Tahoma"/>
      <w:sz w:val="16"/>
      <w:szCs w:val="16"/>
    </w:rPr>
  </w:style>
  <w:style w:type="paragraph" w:styleId="Textonotapie">
    <w:name w:val="footnote text"/>
    <w:basedOn w:val="Normal"/>
    <w:link w:val="TextonotapieCar"/>
    <w:unhideWhenUsed/>
    <w:rsid w:val="00DF6541"/>
    <w:pPr>
      <w:spacing w:after="0" w:line="240" w:lineRule="auto"/>
    </w:pPr>
    <w:rPr>
      <w:sz w:val="20"/>
      <w:szCs w:val="20"/>
    </w:rPr>
  </w:style>
  <w:style w:type="character" w:customStyle="1" w:styleId="TextonotapieCar">
    <w:name w:val="Texto nota pie Car"/>
    <w:basedOn w:val="Fuentedeprrafopredeter"/>
    <w:link w:val="Textonotapie"/>
    <w:rsid w:val="00DF6541"/>
    <w:rPr>
      <w:sz w:val="20"/>
      <w:szCs w:val="20"/>
    </w:rPr>
  </w:style>
  <w:style w:type="character" w:styleId="Refdenotaalpie">
    <w:name w:val="footnote reference"/>
    <w:basedOn w:val="Fuentedeprrafopredeter"/>
    <w:unhideWhenUsed/>
    <w:rsid w:val="00DF6541"/>
    <w:rPr>
      <w:vertAlign w:val="superscript"/>
    </w:rPr>
  </w:style>
  <w:style w:type="character" w:customStyle="1" w:styleId="Ttulo2Car">
    <w:name w:val="Título 2 Car"/>
    <w:basedOn w:val="Fuentedeprrafopredeter"/>
    <w:link w:val="Ttulo2"/>
    <w:rsid w:val="00202FEB"/>
    <w:rPr>
      <w:rFonts w:ascii="Times New Roman" w:eastAsia="Times New Roman" w:hAnsi="Times New Roman" w:cs="Times New Roman"/>
      <w:b/>
      <w:bCs/>
      <w:sz w:val="24"/>
      <w:szCs w:val="26"/>
      <w:lang w:val="es-ES"/>
    </w:rPr>
  </w:style>
  <w:style w:type="paragraph" w:styleId="HTMLconformatoprevio">
    <w:name w:val="HTML Preformatted"/>
    <w:basedOn w:val="Normal"/>
    <w:link w:val="HTMLconformatoprevioCar"/>
    <w:uiPriority w:val="99"/>
    <w:unhideWhenUsed/>
    <w:rsid w:val="00202F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CL"/>
    </w:rPr>
  </w:style>
  <w:style w:type="character" w:customStyle="1" w:styleId="HTMLconformatoprevioCar">
    <w:name w:val="HTML con formato previo Car"/>
    <w:basedOn w:val="Fuentedeprrafopredeter"/>
    <w:link w:val="HTMLconformatoprevio"/>
    <w:uiPriority w:val="99"/>
    <w:rsid w:val="00202FEB"/>
    <w:rPr>
      <w:rFonts w:ascii="Courier New" w:eastAsia="Times New Roman" w:hAnsi="Courier New" w:cs="Courier New"/>
      <w:sz w:val="20"/>
      <w:szCs w:val="20"/>
      <w:lang w:eastAsia="es-CL"/>
    </w:rPr>
  </w:style>
  <w:style w:type="paragraph" w:styleId="Prrafodelista">
    <w:name w:val="List Paragraph"/>
    <w:basedOn w:val="Normal"/>
    <w:uiPriority w:val="34"/>
    <w:qFormat/>
    <w:rsid w:val="00A87430"/>
    <w:pPr>
      <w:spacing w:before="200" w:line="240" w:lineRule="auto"/>
      <w:ind w:left="720"/>
      <w:contextualSpacing/>
      <w:jc w:val="both"/>
    </w:pPr>
    <w:rPr>
      <w:rFonts w:ascii="Times New Roman" w:eastAsia="Calibri" w:hAnsi="Times New Roman" w:cs="Times New Roman"/>
      <w:sz w:val="24"/>
      <w:lang w:val="es-ES"/>
    </w:rPr>
  </w:style>
  <w:style w:type="character" w:customStyle="1" w:styleId="Ttulo3Car">
    <w:name w:val="Título 3 Car"/>
    <w:basedOn w:val="Fuentedeprrafopredeter"/>
    <w:link w:val="Ttulo3"/>
    <w:uiPriority w:val="9"/>
    <w:semiHidden/>
    <w:rsid w:val="00223214"/>
    <w:rPr>
      <w:rFonts w:asciiTheme="majorHAnsi" w:eastAsiaTheme="majorEastAsia" w:hAnsiTheme="majorHAnsi" w:cstheme="majorBidi"/>
      <w:b/>
      <w:bCs/>
      <w:color w:val="4F81BD" w:themeColor="accent1"/>
    </w:rPr>
  </w:style>
  <w:style w:type="paragraph" w:styleId="Epgrafe">
    <w:name w:val="caption"/>
    <w:basedOn w:val="Normal"/>
    <w:next w:val="Normal"/>
    <w:unhideWhenUsed/>
    <w:qFormat/>
    <w:rsid w:val="00223214"/>
    <w:pPr>
      <w:spacing w:after="0" w:line="240" w:lineRule="auto"/>
      <w:jc w:val="both"/>
    </w:pPr>
    <w:rPr>
      <w:rFonts w:ascii="Times New Roman" w:eastAsia="Calibri" w:hAnsi="Times New Roman" w:cs="Times New Roman"/>
      <w:bCs/>
      <w:color w:val="000000"/>
      <w:sz w:val="24"/>
      <w:szCs w:val="18"/>
      <w:lang w:val="es-ES"/>
    </w:rPr>
  </w:style>
  <w:style w:type="table" w:styleId="Tablaconcuadrcula">
    <w:name w:val="Table Grid"/>
    <w:basedOn w:val="Tablanormal"/>
    <w:uiPriority w:val="59"/>
    <w:rsid w:val="00DF54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unhideWhenUsed/>
    <w:rsid w:val="00622891"/>
    <w:rPr>
      <w:color w:val="0000FF"/>
      <w:u w:val="single"/>
    </w:rPr>
  </w:style>
  <w:style w:type="character" w:styleId="nfasis">
    <w:name w:val="Emphasis"/>
    <w:basedOn w:val="Fuentedeprrafopredeter"/>
    <w:uiPriority w:val="20"/>
    <w:qFormat/>
    <w:rsid w:val="0062289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nhideWhenUsed/>
    <w:qFormat/>
    <w:rsid w:val="00202FEB"/>
    <w:pPr>
      <w:keepNext/>
      <w:keepLines/>
      <w:spacing w:before="200" w:after="0" w:line="240" w:lineRule="auto"/>
      <w:jc w:val="center"/>
      <w:outlineLvl w:val="1"/>
    </w:pPr>
    <w:rPr>
      <w:rFonts w:ascii="Times New Roman" w:eastAsia="Times New Roman" w:hAnsi="Times New Roman" w:cs="Times New Roman"/>
      <w:b/>
      <w:bCs/>
      <w:sz w:val="24"/>
      <w:szCs w:val="26"/>
      <w:lang w:val="es-ES"/>
    </w:rPr>
  </w:style>
  <w:style w:type="paragraph" w:styleId="Ttulo3">
    <w:name w:val="heading 3"/>
    <w:basedOn w:val="Normal"/>
    <w:next w:val="Normal"/>
    <w:link w:val="Ttulo3Car"/>
    <w:uiPriority w:val="9"/>
    <w:semiHidden/>
    <w:unhideWhenUsed/>
    <w:qFormat/>
    <w:rsid w:val="00223214"/>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E6A2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E6A27"/>
  </w:style>
  <w:style w:type="paragraph" w:styleId="Piedepgina">
    <w:name w:val="footer"/>
    <w:basedOn w:val="Normal"/>
    <w:link w:val="PiedepginaCar"/>
    <w:uiPriority w:val="99"/>
    <w:unhideWhenUsed/>
    <w:rsid w:val="006E6A2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E6A27"/>
  </w:style>
  <w:style w:type="paragraph" w:styleId="Textodeglobo">
    <w:name w:val="Balloon Text"/>
    <w:basedOn w:val="Normal"/>
    <w:link w:val="TextodegloboCar"/>
    <w:uiPriority w:val="99"/>
    <w:semiHidden/>
    <w:unhideWhenUsed/>
    <w:rsid w:val="006E6A2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6A27"/>
    <w:rPr>
      <w:rFonts w:ascii="Tahoma" w:hAnsi="Tahoma" w:cs="Tahoma"/>
      <w:sz w:val="16"/>
      <w:szCs w:val="16"/>
    </w:rPr>
  </w:style>
  <w:style w:type="paragraph" w:styleId="Textonotapie">
    <w:name w:val="footnote text"/>
    <w:basedOn w:val="Normal"/>
    <w:link w:val="TextonotapieCar"/>
    <w:unhideWhenUsed/>
    <w:rsid w:val="00DF6541"/>
    <w:pPr>
      <w:spacing w:after="0" w:line="240" w:lineRule="auto"/>
    </w:pPr>
    <w:rPr>
      <w:sz w:val="20"/>
      <w:szCs w:val="20"/>
    </w:rPr>
  </w:style>
  <w:style w:type="character" w:customStyle="1" w:styleId="TextonotapieCar">
    <w:name w:val="Texto nota pie Car"/>
    <w:basedOn w:val="Fuentedeprrafopredeter"/>
    <w:link w:val="Textonotapie"/>
    <w:rsid w:val="00DF6541"/>
    <w:rPr>
      <w:sz w:val="20"/>
      <w:szCs w:val="20"/>
    </w:rPr>
  </w:style>
  <w:style w:type="character" w:styleId="Refdenotaalpie">
    <w:name w:val="footnote reference"/>
    <w:basedOn w:val="Fuentedeprrafopredeter"/>
    <w:unhideWhenUsed/>
    <w:rsid w:val="00DF6541"/>
    <w:rPr>
      <w:vertAlign w:val="superscript"/>
    </w:rPr>
  </w:style>
  <w:style w:type="character" w:customStyle="1" w:styleId="Ttulo2Car">
    <w:name w:val="Título 2 Car"/>
    <w:basedOn w:val="Fuentedeprrafopredeter"/>
    <w:link w:val="Ttulo2"/>
    <w:rsid w:val="00202FEB"/>
    <w:rPr>
      <w:rFonts w:ascii="Times New Roman" w:eastAsia="Times New Roman" w:hAnsi="Times New Roman" w:cs="Times New Roman"/>
      <w:b/>
      <w:bCs/>
      <w:sz w:val="24"/>
      <w:szCs w:val="26"/>
      <w:lang w:val="es-ES"/>
    </w:rPr>
  </w:style>
  <w:style w:type="paragraph" w:styleId="HTMLconformatoprevio">
    <w:name w:val="HTML Preformatted"/>
    <w:basedOn w:val="Normal"/>
    <w:link w:val="HTMLconformatoprevioCar"/>
    <w:uiPriority w:val="99"/>
    <w:unhideWhenUsed/>
    <w:rsid w:val="00202F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CL"/>
    </w:rPr>
  </w:style>
  <w:style w:type="character" w:customStyle="1" w:styleId="HTMLconformatoprevioCar">
    <w:name w:val="HTML con formato previo Car"/>
    <w:basedOn w:val="Fuentedeprrafopredeter"/>
    <w:link w:val="HTMLconformatoprevio"/>
    <w:uiPriority w:val="99"/>
    <w:rsid w:val="00202FEB"/>
    <w:rPr>
      <w:rFonts w:ascii="Courier New" w:eastAsia="Times New Roman" w:hAnsi="Courier New" w:cs="Courier New"/>
      <w:sz w:val="20"/>
      <w:szCs w:val="20"/>
      <w:lang w:eastAsia="es-CL"/>
    </w:rPr>
  </w:style>
  <w:style w:type="paragraph" w:styleId="Prrafodelista">
    <w:name w:val="List Paragraph"/>
    <w:basedOn w:val="Normal"/>
    <w:uiPriority w:val="34"/>
    <w:qFormat/>
    <w:rsid w:val="00A87430"/>
    <w:pPr>
      <w:spacing w:before="200" w:line="240" w:lineRule="auto"/>
      <w:ind w:left="720"/>
      <w:contextualSpacing/>
      <w:jc w:val="both"/>
    </w:pPr>
    <w:rPr>
      <w:rFonts w:ascii="Times New Roman" w:eastAsia="Calibri" w:hAnsi="Times New Roman" w:cs="Times New Roman"/>
      <w:sz w:val="24"/>
      <w:lang w:val="es-ES"/>
    </w:rPr>
  </w:style>
  <w:style w:type="character" w:customStyle="1" w:styleId="Ttulo3Car">
    <w:name w:val="Título 3 Car"/>
    <w:basedOn w:val="Fuentedeprrafopredeter"/>
    <w:link w:val="Ttulo3"/>
    <w:uiPriority w:val="9"/>
    <w:semiHidden/>
    <w:rsid w:val="00223214"/>
    <w:rPr>
      <w:rFonts w:asciiTheme="majorHAnsi" w:eastAsiaTheme="majorEastAsia" w:hAnsiTheme="majorHAnsi" w:cstheme="majorBidi"/>
      <w:b/>
      <w:bCs/>
      <w:color w:val="4F81BD" w:themeColor="accent1"/>
    </w:rPr>
  </w:style>
  <w:style w:type="paragraph" w:styleId="Epgrafe">
    <w:name w:val="caption"/>
    <w:basedOn w:val="Normal"/>
    <w:next w:val="Normal"/>
    <w:unhideWhenUsed/>
    <w:qFormat/>
    <w:rsid w:val="00223214"/>
    <w:pPr>
      <w:spacing w:after="0" w:line="240" w:lineRule="auto"/>
      <w:jc w:val="both"/>
    </w:pPr>
    <w:rPr>
      <w:rFonts w:ascii="Times New Roman" w:eastAsia="Calibri" w:hAnsi="Times New Roman" w:cs="Times New Roman"/>
      <w:bCs/>
      <w:color w:val="000000"/>
      <w:sz w:val="24"/>
      <w:szCs w:val="18"/>
      <w:lang w:val="es-ES"/>
    </w:rPr>
  </w:style>
  <w:style w:type="table" w:styleId="Tablaconcuadrcula">
    <w:name w:val="Table Grid"/>
    <w:basedOn w:val="Tablanormal"/>
    <w:uiPriority w:val="59"/>
    <w:rsid w:val="00DF54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unhideWhenUsed/>
    <w:rsid w:val="00622891"/>
    <w:rPr>
      <w:color w:val="0000FF"/>
      <w:u w:val="single"/>
    </w:rPr>
  </w:style>
  <w:style w:type="character" w:styleId="nfasis">
    <w:name w:val="Emphasis"/>
    <w:basedOn w:val="Fuentedeprrafopredeter"/>
    <w:uiPriority w:val="20"/>
    <w:qFormat/>
    <w:rsid w:val="0062289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dearq.uniandes.edu.co/sites/default/files/articles/attachments/dearq_11_02_jm_mayorga.pdf"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A97CA6-6AFC-41F5-906A-B8B229673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18</Pages>
  <Words>5959</Words>
  <Characters>32776</Characters>
  <Application>Microsoft Office Word</Application>
  <DocSecurity>0</DocSecurity>
  <Lines>273</Lines>
  <Paragraphs>77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38658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María Francisca</dc:creator>
  <cp:lastModifiedBy>Cristian</cp:lastModifiedBy>
  <cp:revision>25</cp:revision>
  <dcterms:created xsi:type="dcterms:W3CDTF">2017-08-18T20:32:00Z</dcterms:created>
  <dcterms:modified xsi:type="dcterms:W3CDTF">2017-08-19T02:29:00Z</dcterms:modified>
</cp:coreProperties>
</file>