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E1" w:rsidRPr="00323CE1" w:rsidRDefault="00323CE1" w:rsidP="00323CE1">
      <w:pPr>
        <w:spacing w:before="100" w:beforeAutospacing="1" w:after="100" w:afterAutospacing="1" w:line="240" w:lineRule="auto"/>
        <w:jc w:val="center"/>
        <w:rPr>
          <w:rFonts w:ascii="Times New Roman" w:eastAsia="Times New Roman" w:hAnsi="Times New Roman" w:cs="Times New Roman"/>
          <w:b/>
          <w:sz w:val="24"/>
          <w:szCs w:val="24"/>
          <w:lang w:eastAsia="es-AR"/>
        </w:rPr>
      </w:pPr>
      <w:r w:rsidRPr="00323CE1">
        <w:rPr>
          <w:rFonts w:ascii="Times New Roman" w:eastAsia="Times New Roman" w:hAnsi="Times New Roman" w:cs="Times New Roman"/>
          <w:b/>
          <w:sz w:val="24"/>
          <w:szCs w:val="24"/>
          <w:lang w:eastAsia="es-AR"/>
        </w:rPr>
        <w:t>IX Jornadas de Jóvenes Investigadores</w:t>
      </w:r>
    </w:p>
    <w:p w:rsidR="00323CE1" w:rsidRPr="00323CE1" w:rsidRDefault="00323CE1" w:rsidP="00323CE1">
      <w:pPr>
        <w:spacing w:before="100" w:beforeAutospacing="1" w:after="100" w:afterAutospacing="1" w:line="240" w:lineRule="auto"/>
        <w:jc w:val="center"/>
        <w:rPr>
          <w:rFonts w:ascii="Times New Roman" w:eastAsia="Times New Roman" w:hAnsi="Times New Roman" w:cs="Times New Roman"/>
          <w:b/>
          <w:sz w:val="24"/>
          <w:szCs w:val="24"/>
          <w:lang w:eastAsia="es-AR"/>
        </w:rPr>
      </w:pPr>
      <w:r w:rsidRPr="00323CE1">
        <w:rPr>
          <w:rFonts w:ascii="Times New Roman" w:eastAsia="Times New Roman" w:hAnsi="Times New Roman" w:cs="Times New Roman"/>
          <w:b/>
          <w:sz w:val="24"/>
          <w:szCs w:val="24"/>
          <w:lang w:eastAsia="es-AR"/>
        </w:rPr>
        <w:t>Instituto de Investigaciones Gino Germani</w:t>
      </w:r>
    </w:p>
    <w:p w:rsidR="00323CE1" w:rsidRPr="00323CE1" w:rsidRDefault="00323CE1" w:rsidP="00323CE1">
      <w:pPr>
        <w:spacing w:before="100" w:beforeAutospacing="1" w:after="100" w:afterAutospacing="1" w:line="240" w:lineRule="auto"/>
        <w:jc w:val="center"/>
        <w:rPr>
          <w:rFonts w:ascii="Times New Roman" w:eastAsia="Times New Roman" w:hAnsi="Times New Roman" w:cs="Times New Roman"/>
          <w:b/>
          <w:sz w:val="24"/>
          <w:szCs w:val="24"/>
          <w:lang w:eastAsia="es-AR"/>
        </w:rPr>
      </w:pPr>
      <w:r w:rsidRPr="00323CE1">
        <w:rPr>
          <w:rFonts w:ascii="Times New Roman" w:eastAsia="Times New Roman" w:hAnsi="Times New Roman" w:cs="Times New Roman"/>
          <w:b/>
          <w:sz w:val="24"/>
          <w:szCs w:val="24"/>
          <w:lang w:eastAsia="es-AR"/>
        </w:rPr>
        <w:t>1, 2 y 3 de Noviembre de 2017</w:t>
      </w:r>
    </w:p>
    <w:p w:rsidR="00323CE1" w:rsidRPr="00323CE1" w:rsidRDefault="00323CE1" w:rsidP="00EB60A0">
      <w:pPr>
        <w:spacing w:before="100" w:beforeAutospacing="1" w:after="100" w:afterAutospacing="1" w:line="240" w:lineRule="auto"/>
        <w:contextualSpacing/>
        <w:jc w:val="center"/>
        <w:rPr>
          <w:rFonts w:ascii="Times New Roman" w:eastAsia="Times New Roman" w:hAnsi="Times New Roman" w:cs="Times New Roman"/>
          <w:bCs/>
          <w:sz w:val="24"/>
          <w:szCs w:val="24"/>
          <w:lang w:eastAsia="es-AR"/>
        </w:rPr>
      </w:pPr>
      <w:r w:rsidRPr="00323CE1">
        <w:rPr>
          <w:rFonts w:ascii="Times New Roman" w:eastAsia="Times New Roman" w:hAnsi="Times New Roman" w:cs="Times New Roman"/>
          <w:bCs/>
          <w:sz w:val="24"/>
          <w:szCs w:val="24"/>
          <w:lang w:eastAsia="es-AR"/>
        </w:rPr>
        <w:t>Gonzalo Gutierrez Garbiero</w:t>
      </w:r>
    </w:p>
    <w:p w:rsidR="00323CE1" w:rsidRPr="00323CE1" w:rsidRDefault="00323CE1" w:rsidP="00EB60A0">
      <w:pPr>
        <w:spacing w:before="100" w:beforeAutospacing="1" w:after="100" w:afterAutospacing="1" w:line="240" w:lineRule="auto"/>
        <w:contextualSpacing/>
        <w:jc w:val="center"/>
        <w:rPr>
          <w:rFonts w:ascii="Times New Roman" w:eastAsia="Times New Roman" w:hAnsi="Times New Roman" w:cs="Times New Roman"/>
          <w:bCs/>
          <w:sz w:val="24"/>
          <w:szCs w:val="24"/>
          <w:lang w:eastAsia="es-AR"/>
        </w:rPr>
      </w:pPr>
      <w:r w:rsidRPr="00323CE1">
        <w:rPr>
          <w:rFonts w:ascii="Times New Roman" w:eastAsia="Times New Roman" w:hAnsi="Times New Roman" w:cs="Times New Roman"/>
          <w:bCs/>
          <w:sz w:val="24"/>
          <w:szCs w:val="24"/>
          <w:lang w:eastAsia="es-AR"/>
        </w:rPr>
        <w:t>Facultad de Ciencias Sociales, Universidad de Buenos Aires</w:t>
      </w:r>
    </w:p>
    <w:p w:rsidR="00323CE1" w:rsidRPr="00323CE1" w:rsidRDefault="00323CE1" w:rsidP="00EB60A0">
      <w:pPr>
        <w:spacing w:before="100" w:beforeAutospacing="1" w:after="100" w:afterAutospacing="1" w:line="240" w:lineRule="auto"/>
        <w:contextualSpacing/>
        <w:jc w:val="center"/>
        <w:rPr>
          <w:rFonts w:ascii="Times New Roman" w:eastAsia="Times New Roman" w:hAnsi="Times New Roman" w:cs="Times New Roman"/>
          <w:sz w:val="24"/>
          <w:szCs w:val="24"/>
          <w:lang w:eastAsia="es-AR"/>
        </w:rPr>
      </w:pPr>
      <w:r w:rsidRPr="00323CE1">
        <w:rPr>
          <w:rFonts w:ascii="Times New Roman" w:eastAsia="Times New Roman" w:hAnsi="Times New Roman" w:cs="Times New Roman"/>
          <w:sz w:val="24"/>
          <w:szCs w:val="24"/>
          <w:lang w:eastAsia="es-AR"/>
        </w:rPr>
        <w:t>Licenciado en Sociología</w:t>
      </w:r>
    </w:p>
    <w:p w:rsidR="00323CE1" w:rsidRPr="00323CE1" w:rsidRDefault="00323CE1" w:rsidP="00EB60A0">
      <w:pPr>
        <w:spacing w:before="100" w:beforeAutospacing="1" w:after="100" w:afterAutospacing="1" w:line="240" w:lineRule="auto"/>
        <w:contextualSpacing/>
        <w:jc w:val="center"/>
        <w:rPr>
          <w:rFonts w:ascii="Times New Roman" w:eastAsia="Times New Roman" w:hAnsi="Times New Roman" w:cs="Times New Roman"/>
          <w:bCs/>
          <w:sz w:val="24"/>
          <w:szCs w:val="24"/>
          <w:lang w:eastAsia="es-AR"/>
        </w:rPr>
      </w:pPr>
      <w:r w:rsidRPr="00323CE1">
        <w:rPr>
          <w:rFonts w:ascii="Times New Roman" w:eastAsia="Times New Roman" w:hAnsi="Times New Roman" w:cs="Times New Roman"/>
          <w:bCs/>
          <w:sz w:val="24"/>
          <w:szCs w:val="24"/>
          <w:lang w:eastAsia="es-AR"/>
        </w:rPr>
        <w:t>gutierrezgarbiero@gmail.com</w:t>
      </w:r>
    </w:p>
    <w:p w:rsidR="00323CE1" w:rsidRPr="00323CE1" w:rsidRDefault="00323CE1" w:rsidP="00EB60A0">
      <w:pPr>
        <w:spacing w:before="100" w:beforeAutospacing="1" w:after="100" w:afterAutospacing="1" w:line="240" w:lineRule="auto"/>
        <w:contextualSpacing/>
        <w:jc w:val="center"/>
        <w:rPr>
          <w:rFonts w:ascii="Times New Roman" w:eastAsia="Times New Roman" w:hAnsi="Times New Roman" w:cs="Times New Roman"/>
          <w:sz w:val="24"/>
          <w:szCs w:val="24"/>
          <w:lang w:eastAsia="es-AR"/>
        </w:rPr>
      </w:pPr>
    </w:p>
    <w:p w:rsidR="00323CE1" w:rsidRPr="00323CE1" w:rsidRDefault="00323CE1" w:rsidP="00EB60A0">
      <w:pPr>
        <w:spacing w:before="100" w:beforeAutospacing="1" w:after="100" w:afterAutospacing="1" w:line="240" w:lineRule="auto"/>
        <w:contextualSpacing/>
        <w:jc w:val="center"/>
        <w:rPr>
          <w:rFonts w:ascii="Times New Roman" w:eastAsia="Times New Roman" w:hAnsi="Times New Roman" w:cs="Times New Roman"/>
          <w:sz w:val="24"/>
          <w:szCs w:val="24"/>
          <w:lang w:eastAsia="es-AR"/>
        </w:rPr>
      </w:pPr>
    </w:p>
    <w:p w:rsidR="00323CE1" w:rsidRPr="00EB60A0" w:rsidRDefault="00323CE1" w:rsidP="00EB60A0">
      <w:pPr>
        <w:autoSpaceDE w:val="0"/>
        <w:autoSpaceDN w:val="0"/>
        <w:adjustRightInd w:val="0"/>
        <w:spacing w:after="120" w:line="24" w:lineRule="atLeast"/>
        <w:jc w:val="center"/>
        <w:rPr>
          <w:rFonts w:ascii="Times New Roman" w:eastAsia="Times New Roman" w:hAnsi="Times New Roman" w:cs="Times New Roman"/>
          <w:b/>
          <w:sz w:val="24"/>
          <w:szCs w:val="24"/>
          <w:lang w:eastAsia="es-AR"/>
        </w:rPr>
      </w:pPr>
      <w:r w:rsidRPr="00EB60A0">
        <w:rPr>
          <w:rFonts w:ascii="Times New Roman" w:eastAsia="Times New Roman" w:hAnsi="Times New Roman" w:cs="Times New Roman"/>
          <w:b/>
          <w:sz w:val="24"/>
          <w:szCs w:val="24"/>
          <w:lang w:eastAsia="es-AR"/>
        </w:rPr>
        <w:t>Eje 5. Política, ideología y discurso.</w:t>
      </w:r>
    </w:p>
    <w:p w:rsidR="00323CE1" w:rsidRPr="00323CE1" w:rsidRDefault="00323CE1" w:rsidP="00323CE1">
      <w:pPr>
        <w:autoSpaceDE w:val="0"/>
        <w:autoSpaceDN w:val="0"/>
        <w:adjustRightInd w:val="0"/>
        <w:spacing w:after="120" w:line="24" w:lineRule="atLeast"/>
        <w:rPr>
          <w:rFonts w:ascii="Times New Roman" w:eastAsia="Times New Roman" w:hAnsi="Times New Roman" w:cs="Times New Roman"/>
          <w:sz w:val="24"/>
          <w:szCs w:val="24"/>
          <w:lang w:eastAsia="es-AR"/>
        </w:rPr>
      </w:pPr>
    </w:p>
    <w:p w:rsidR="00323CE1" w:rsidRPr="00323CE1" w:rsidRDefault="00323CE1" w:rsidP="00323CE1">
      <w:pPr>
        <w:autoSpaceDE w:val="0"/>
        <w:autoSpaceDN w:val="0"/>
        <w:adjustRightInd w:val="0"/>
        <w:spacing w:after="120" w:line="24" w:lineRule="atLeast"/>
        <w:rPr>
          <w:rFonts w:ascii="Times New Roman" w:eastAsia="Times New Roman" w:hAnsi="Times New Roman" w:cs="Times New Roman"/>
          <w:b/>
          <w:sz w:val="24"/>
          <w:szCs w:val="24"/>
          <w:lang w:eastAsia="es-AR"/>
        </w:rPr>
      </w:pPr>
      <w:r w:rsidRPr="00323CE1">
        <w:rPr>
          <w:rFonts w:ascii="Times New Roman" w:eastAsia="Times New Roman" w:hAnsi="Times New Roman" w:cs="Times New Roman"/>
          <w:b/>
          <w:sz w:val="24"/>
          <w:szCs w:val="24"/>
          <w:lang w:eastAsia="es-AR"/>
        </w:rPr>
        <w:t>Debates sobre la cuestión laboral: discursos políticos y modelos teóricos en torno a dos leyes laborales.</w:t>
      </w:r>
    </w:p>
    <w:p w:rsidR="00323CE1" w:rsidRPr="00323CE1" w:rsidRDefault="00323CE1" w:rsidP="00323CE1">
      <w:pPr>
        <w:spacing w:before="100" w:beforeAutospacing="1" w:after="100" w:afterAutospacing="1" w:line="240" w:lineRule="auto"/>
        <w:contextualSpacing/>
        <w:rPr>
          <w:rFonts w:ascii="Times New Roman" w:eastAsia="Times New Roman" w:hAnsi="Times New Roman" w:cs="Times New Roman"/>
          <w:b/>
          <w:bCs/>
          <w:sz w:val="24"/>
          <w:szCs w:val="24"/>
          <w:lang w:eastAsia="es-AR"/>
        </w:rPr>
      </w:pPr>
    </w:p>
    <w:p w:rsidR="00323CE1" w:rsidRPr="00323CE1" w:rsidRDefault="00323CE1" w:rsidP="00323CE1">
      <w:pPr>
        <w:spacing w:before="100" w:beforeAutospacing="1" w:after="100" w:afterAutospacing="1" w:line="240" w:lineRule="auto"/>
        <w:contextualSpacing/>
        <w:rPr>
          <w:rFonts w:ascii="Times New Roman" w:eastAsia="Times New Roman" w:hAnsi="Times New Roman" w:cs="Times New Roman"/>
          <w:b/>
          <w:bCs/>
          <w:sz w:val="24"/>
          <w:szCs w:val="24"/>
          <w:lang w:eastAsia="es-AR"/>
        </w:rPr>
      </w:pPr>
      <w:r w:rsidRPr="00323CE1">
        <w:rPr>
          <w:rFonts w:ascii="Times New Roman" w:eastAsia="Times New Roman" w:hAnsi="Times New Roman" w:cs="Times New Roman"/>
          <w:b/>
          <w:bCs/>
          <w:sz w:val="24"/>
          <w:szCs w:val="24"/>
          <w:lang w:eastAsia="es-AR"/>
        </w:rPr>
        <w:t>Resumen</w:t>
      </w:r>
    </w:p>
    <w:p w:rsidR="00323CE1" w:rsidRPr="00323CE1" w:rsidRDefault="00323CE1" w:rsidP="00323CE1">
      <w:pPr>
        <w:spacing w:before="100" w:beforeAutospacing="1" w:after="100" w:afterAutospacing="1" w:line="240" w:lineRule="auto"/>
        <w:contextualSpacing/>
        <w:rPr>
          <w:rFonts w:ascii="Times New Roman" w:eastAsia="Times New Roman" w:hAnsi="Times New Roman" w:cs="Times New Roman"/>
          <w:b/>
          <w:bCs/>
          <w:sz w:val="24"/>
          <w:szCs w:val="24"/>
          <w:lang w:eastAsia="es-AR"/>
        </w:rPr>
      </w:pPr>
    </w:p>
    <w:p w:rsidR="00323CE1" w:rsidRPr="00323CE1" w:rsidRDefault="00645EC2" w:rsidP="00323CE1">
      <w:pPr>
        <w:tabs>
          <w:tab w:val="left" w:pos="2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23CE1" w:rsidRPr="00323CE1">
        <w:rPr>
          <w:rFonts w:ascii="Times New Roman" w:hAnsi="Times New Roman" w:cs="Times New Roman"/>
          <w:sz w:val="24"/>
          <w:szCs w:val="24"/>
        </w:rPr>
        <w:t>El objetivo de este artículo es analizar los discursos políticos enunciados por legisladores y empresarios en el contexto de producción y sanción de las leyes laborales 25.250 y 25.867, del año 2000 y 2004 respectivamente. El corpus analizado está conformado por los textos normativos, los debates parlamentarios y las declaraciones de empresarios en la prensa escrita.</w:t>
      </w:r>
    </w:p>
    <w:p w:rsidR="00323CE1" w:rsidRPr="00323CE1" w:rsidRDefault="00323CE1" w:rsidP="00323CE1">
      <w:pPr>
        <w:tabs>
          <w:tab w:val="left" w:pos="270"/>
        </w:tabs>
        <w:spacing w:line="360" w:lineRule="auto"/>
        <w:contextualSpacing/>
        <w:jc w:val="both"/>
        <w:rPr>
          <w:rFonts w:ascii="Times New Roman" w:hAnsi="Times New Roman" w:cs="Times New Roman"/>
          <w:sz w:val="24"/>
          <w:szCs w:val="24"/>
        </w:rPr>
      </w:pPr>
      <w:r w:rsidRPr="00323CE1">
        <w:rPr>
          <w:rFonts w:ascii="Times New Roman" w:hAnsi="Times New Roman" w:cs="Times New Roman"/>
          <w:sz w:val="24"/>
          <w:szCs w:val="24"/>
        </w:rPr>
        <w:tab/>
        <w:t xml:space="preserve">El trabajo se inscribe en el marco del análisis sociológico-lingüístico del discurso, empleando una estrategia inductiva que permite identificar las estrategias argumentativas de los actores y su vinculación con los modelos interpretativos de la realidad, que promueven tipos específicos de sociedad. Se asume que estos modelos interpretativos se fundan, aunque no exclusivamente, en distintos paradigmas epistemológicos de las ciencias sociales. </w:t>
      </w:r>
    </w:p>
    <w:p w:rsidR="00323CE1" w:rsidRPr="00323CE1" w:rsidRDefault="00323CE1" w:rsidP="00323CE1">
      <w:pPr>
        <w:tabs>
          <w:tab w:val="left" w:pos="270"/>
        </w:tabs>
        <w:spacing w:line="360" w:lineRule="auto"/>
        <w:contextualSpacing/>
        <w:jc w:val="both"/>
        <w:rPr>
          <w:rFonts w:ascii="Times New Roman" w:hAnsi="Times New Roman" w:cs="Times New Roman"/>
          <w:sz w:val="24"/>
          <w:szCs w:val="24"/>
        </w:rPr>
      </w:pPr>
      <w:r w:rsidRPr="00323CE1">
        <w:rPr>
          <w:rFonts w:ascii="Times New Roman" w:hAnsi="Times New Roman" w:cs="Times New Roman"/>
          <w:sz w:val="24"/>
          <w:szCs w:val="24"/>
        </w:rPr>
        <w:tab/>
        <w:t>La estrategia adoptada consiste en enmarcar los enunciados discursivos en estrategias argumentativas de los actores -legisladores y empresarios- y, posteriormente, vincular los presupuestos de esos enunciados con modelos teóricos que se proponen explicar el cambio institucional, concibiendo que ambos contribuyen a la legitimación de las políticas públicas empleadas en dos contextos históricos específicos.</w:t>
      </w:r>
    </w:p>
    <w:p w:rsidR="00323CE1" w:rsidRPr="00323CE1" w:rsidRDefault="00323CE1" w:rsidP="00323CE1">
      <w:pPr>
        <w:spacing w:line="360" w:lineRule="auto"/>
        <w:rPr>
          <w:rFonts w:ascii="Times New Roman" w:hAnsi="Times New Roman" w:cs="Times New Roman"/>
          <w:sz w:val="24"/>
          <w:szCs w:val="24"/>
        </w:rPr>
      </w:pPr>
    </w:p>
    <w:p w:rsidR="00323CE1" w:rsidRPr="00323CE1" w:rsidRDefault="00323CE1" w:rsidP="00323CE1">
      <w:pPr>
        <w:spacing w:line="360" w:lineRule="auto"/>
        <w:rPr>
          <w:rFonts w:ascii="Times New Roman" w:hAnsi="Times New Roman"/>
          <w:sz w:val="24"/>
        </w:rPr>
      </w:pPr>
      <w:r w:rsidRPr="00685F7B">
        <w:rPr>
          <w:rFonts w:ascii="Times New Roman" w:hAnsi="Times New Roman" w:cs="Times New Roman"/>
          <w:b/>
          <w:sz w:val="24"/>
          <w:szCs w:val="24"/>
        </w:rPr>
        <w:t>Palabras clave:</w:t>
      </w:r>
      <w:r w:rsidRPr="00323CE1">
        <w:rPr>
          <w:rFonts w:ascii="Times New Roman" w:hAnsi="Times New Roman" w:cs="Times New Roman"/>
          <w:sz w:val="24"/>
          <w:szCs w:val="24"/>
        </w:rPr>
        <w:t xml:space="preserve"> legislación laboral, discursos parlamentarios, discursos empresarios, teoría de las instituciones</w:t>
      </w:r>
    </w:p>
    <w:p w:rsidR="00323CE1" w:rsidRDefault="00323CE1">
      <w:pPr>
        <w:rPr>
          <w:rFonts w:ascii="Times New Roman" w:hAnsi="Times New Roman"/>
          <w:sz w:val="20"/>
        </w:rPr>
      </w:pPr>
      <w:r>
        <w:rPr>
          <w:rFonts w:ascii="Times New Roman" w:hAnsi="Times New Roman"/>
          <w:sz w:val="20"/>
        </w:rPr>
        <w:br w:type="page"/>
      </w:r>
    </w:p>
    <w:p w:rsidR="00645EC2" w:rsidRPr="00645EC2" w:rsidRDefault="00645EC2" w:rsidP="00645EC2">
      <w:pPr>
        <w:tabs>
          <w:tab w:val="left" w:pos="284"/>
        </w:tabs>
        <w:spacing w:line="360" w:lineRule="auto"/>
        <w:contextualSpacing/>
        <w:rPr>
          <w:rFonts w:ascii="Times New Roman" w:hAnsi="Times New Roman" w:cs="Times New Roman"/>
          <w:sz w:val="24"/>
          <w:szCs w:val="24"/>
        </w:rPr>
      </w:pPr>
      <w:r w:rsidRPr="00645EC2">
        <w:rPr>
          <w:rFonts w:ascii="Times New Roman" w:hAnsi="Times New Roman" w:cs="Times New Roman"/>
          <w:b/>
          <w:smallCaps/>
          <w:color w:val="000000"/>
          <w:sz w:val="24"/>
          <w:szCs w:val="24"/>
        </w:rPr>
        <w:lastRenderedPageBreak/>
        <w:t>Introducción</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Este artículo se propone identificar las afinidades entre teorías del cambio institucional y los discursos jurídicos y empresarios en torno a dos leyes laborales de la Argentina contemporáneas. Así, este trabajo se enmarca en el estudio de las transformaciones de las instituciones y, en particular, en las modificaciones de los marcos jurídicos que regulan la relación entre el capital y el trabajo, considerando que el sistema de normas no es independiente de las relaciones de fuerza que permitieron su sanción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"Bourdieu", "given" : "Pierre", "non-dropping-particle" : "", "parse-names" : false, "suffix" : "" } ], "id" : "ITEM-1", "issued" : { "date-parts" : [ [ "2000" ] ] }, "number-of-pages" : "232", "publisher" : "Descle\u00e9 de Brouwer", "publisher-place" : "Bilbao", "title" : "Poder, derecho y clases sociales", "type" : "book" }, "uris" : [ "http://www.mendeley.com/documents/?uuid=b5a8725c-89ab-418c-8e29-d6ad21491a15" ] } ], "mendeley" : { "formattedCitation" : "(Bourdieu, 2000)", "plainTextFormattedCitation" : "(Bourdieu, 2000)", "previouslyFormattedCitation" : "(Bourdieu, 2000)"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(Bourdieu, 2000)</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En ese sentido, asumo que el corpus jurídico del derecho laboral es consecuencia de un estado de relación de fuerzas entre el capital y el trabajo, factores fundamentales del sistema capitalista.</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Los debates de estas leyes laborales serán analizados desde la perspectiva de la sociológica-lingüística, que permite abordar los discursos y sus relaciones con el contexto histórico en que son producidos al centrar el análisis sobre los recursos y estrategias movilizados por los actores que promueven un determinado modelo interpretativo de la realidad social y, como corolario, un tipo de sociedad. El objetivo es abordar las diversas estrategias argumentativas para identificar los esquemas interpretativos compartidos entre las teorías del cambio institucional y los actores intervinientes en el debate. En este punto, la noción de convergencia discursiva se torna de utilidad para analizar los procesos de construcción de consensos de los distintos actores en torno a políticas públicas específicas.</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Respecto al contexto histórico, la primera de estas leyes fue sancionada en las postrimerías de un modelo de acumulación de capital basado en la convertibilidad de la moneda y la valorización financiera, mientras que la segunda normativa fue sancionada al inicio del periodo de reactivación económica tras la crisis de 2001. Así, la Ley 25.250 del año 2000 es la culminación de un periodo caracterizado por la flexibilización laboral, mientras que la Ley 25.876 del año 2004 parecería corresponderse a una nueva etapa respecto a la relación entre el capital y el trabajo. </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En este sentido, algunos autores propusieron comprender el cambio en el marco regulatorio de las relaciones laborales como un proceso de contrarreforma respecto a las políticas de la década precedente. Este enfoque enfatiza la recuperación del poder de arbitraje del Estado y el crecimiento de los convenios colectivos, aunque afirma la existencia de brechas salariales y continuidad en la segmentación social y económica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"Danani", "given" : "Claudia", "non-dropping-particle" : "", "parse-names" : false, "suffix" : "" } ], "container-title" : "Revista Ciencias Sociales", "id" : "ITEM-1", "issued" : { "date-parts" : [ [ "2012" ] ] }, "publisher-place" : "Buenos Aires", "title" : "La otra d\u00e9cada de regormas de las pol\u00edticas sociales y laborales, 2002-2010", "type" : "article-journal" }, "uris" : [ "http://www.mendeley.com/documents/?uuid=cff7de82-a68a-44e1-838d-e7513975fd41" ] } ], "mendeley" : { "formattedCitation" : "(Danani, 2012)", "plainTextFormattedCitation" : "(Danani, 2012)", "previouslyFormattedCitation" : "(Danani, 2012)"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(Danani, 2012)</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Por el contrario, en otras investigaciones de perspectiva marxista se sostiene que las modificaciones en la legislación se limitaron a algunos aspectos del derecho colectivo del trabajo, mientras se mantuvieron y convalidaron otros mecanismos flexibilizadores introducidos en la década del noventa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"ISBN" : "978-950-793-182-2", "author" : [ { "dropping-particle" : "", "family" : "Marticorena", "given" : "Clara", "non-dropping-particle" : "", "parse-names" : false, "suffix" : "" } ], "editor" : [ { "dropping-particle" : "", "family" : "Imago Mundi", "given" : "", "non-dropping-particle" : "", "parse-names" : false, "suffix" : "" } ], "id" : "ITEM-1", "issued" : { "date-parts" : [ [ "2014" ] ] }, "number-of-pages" : "248", "publisher-place" : "Buenos Aires", "title" : "Trabajo y negociaci\u00f3n colectiva. Los trabajadores en la industria argentina, de los noventa a la postconvertivilidad", "type" : "book" }, "uris" : [ "http://www.mendeley.com/documents/?uuid=31884ffe-56a2-44fb-b724-ab63d717f8ed" ] } ], "mendeley" : { "formattedCitation" : "(Marticorena, 2014)", "plainTextFormattedCitation" : "(Marticorena, 2014)", "previouslyFormattedCitation" : "(Marticorena, 2014)"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(Marticorena, 2014)</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lastRenderedPageBreak/>
        <w:tab/>
        <w:t xml:space="preserve">En el año 2000, el gobierno de la Alianza presidido por Fernando de la Rúa, envió al Congreso un proyecto de reforma laboral: el objetivo del gobierno, según el registro discursivo en la prensa escrita y en documentos parlamentarios, era fomentar la creación de nuevos puestos de trabajo. Para ello, la ley propuesta se enmarcaba en la premisa de flexibilización laboral, requerida por el Fondo Monetario Internacional en el contexto de las negociaciones sobre la deuda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"ISBN" : "978-607-424-359-8", "author" : [ { "dropping-particle" : "", "family" : "Manzo", "given" : "Alejandro Gabriel", "non-dropping-particle" : "", "parse-names" : false, "suffix" : "" } ], "container-title" : "Ma. Ovidia Rojas Castro, Mar\u00eda Elena Pineda Solorio y Francisco Javier Ibarra Serrano (coords) Derecho y Neoliberalismo", "id" : "ITEM-1", "issued" : { "date-parts" : [ [ "2012" ] ] }, "publisher-place" : "M\u00e9xico", "title" : "\u00bfEstado post-neoliberal en Argentina? La reforma laboral en el tiempo inmediatamente anterior y posterior a la crisis del 2001", "type" : "chapter" }, "uris" : [ "http://www.mendeley.com/documents/?uuid=e21295ec-ff03-4dc0-8102-f0b3f923b534" ] } ], "mendeley" : { "formattedCitation" : "(Manzo, 2012)", "plainTextFormattedCitation" : "(Manzo, 2012)", "previouslyFormattedCitation" : "(Manzo, 2012)"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(Manzo, 2012)</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según se expresaba en la prensa escrita, en los debates parlamentarios y en los informes del propio FMI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"Takagi", "given" : "Shinji", "non-dropping-particle" : "", "parse-names" : false, "suffix" : "" } ], "id" : "ITEM-1", "issued" : { "date-parts" : [ [ "2004" ] ] }, "title" : "Informe sobre la evaluaci\u00f3n del papel del fmi en argentina, 1991\u2013200", "type" : "article-journal" }, "uris" : [ "http://www.mendeley.com/documents/?uuid=d50bd87c-f5e8-4f0e-99df-bb737a4066c5" ] } ], "mendeley" : { "formattedCitation" : "(Takagi, 2004)", "plainTextFormattedCitation" : "(Takagi, 2004)", "previouslyFormattedCitation" : "(Takagi, 2004)"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(Takagi, 2004)</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La sanción de la Ley 25.250 fue un hecho político de gran envergadura. Por un lado, la resistencia de una parte del sindicalismo condujo a la fractura de la Confederación General del Trabajo, donde los gremios que se oponían al proyecto de ley rompieron con la conducción de Rodolfo Daer. Por otro, la denuncia dirigida al gobierno nacional sobre pagos realizados a senadores -a través de la SIDE- para asegurar su voto positivo: la ley se conoció como </w:t>
      </w:r>
      <w:r w:rsidRPr="00645EC2">
        <w:rPr>
          <w:rFonts w:ascii="Times New Roman" w:hAnsi="Times New Roman" w:cs="Times New Roman"/>
          <w:i/>
          <w:sz w:val="24"/>
          <w:szCs w:val="24"/>
        </w:rPr>
        <w:t>Ley Banelco</w:t>
      </w:r>
      <w:r w:rsidRPr="00645EC2">
        <w:rPr>
          <w:rFonts w:ascii="Times New Roman" w:hAnsi="Times New Roman" w:cs="Times New Roman"/>
          <w:sz w:val="24"/>
          <w:szCs w:val="24"/>
        </w:rPr>
        <w:t xml:space="preserve">, en referencia al cobro de dádivas a través de esa red bancaria. </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Hacia fines de 2003, el gobierno nacional recientemente asumido comenzó a trabajar sobre un proyecto de ley de reforma laboral que modificase la ley sancionada durante el gobierno de la Alianza. En enero del año siguiente, el gobierno remitió el proyecto al Congreso, convocando a sesiones extraordinarias para su tratamiento. En el mes de febrero la ley fue sancionada en ambas cámaras y promulgada por el Poder Ejecutivo, siendo esta la Ley 25.877 vigente hasta la actualidad.</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En este artículo identifico los modelos interpretativos que emergen de los textos normativos, los debates parlamentarios y las declaraciones registradas en la prensa escrita. La propuesta consiste en evidenciar las afinidades entre los argumentos puestos en juego en ambos debates con teorías del cambio institucional. Estas teorías, que se ocupan de analizar las transformaciones de los marcos normativos y su relación con la economía, la historia y la política, se construyen sobre bases epistemológicas diferentes y que están en permanente discusión desde mediados del siglo pasado; me refiero a la nueva economía institucional y la economía política institucional.</w:t>
      </w:r>
    </w:p>
    <w:p w:rsidR="00645EC2" w:rsidRPr="00645EC2" w:rsidRDefault="00645EC2" w:rsidP="00645EC2">
      <w:pPr>
        <w:tabs>
          <w:tab w:val="left" w:pos="270"/>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Además de esta introducción, el artículo se estructura en </w:t>
      </w:r>
      <w:r w:rsidR="00EB60A0">
        <w:rPr>
          <w:rFonts w:ascii="Times New Roman" w:hAnsi="Times New Roman" w:cs="Times New Roman"/>
          <w:sz w:val="24"/>
          <w:szCs w:val="24"/>
        </w:rPr>
        <w:t>tres</w:t>
      </w:r>
      <w:r w:rsidRPr="00645EC2">
        <w:rPr>
          <w:rFonts w:ascii="Times New Roman" w:hAnsi="Times New Roman" w:cs="Times New Roman"/>
          <w:sz w:val="24"/>
          <w:szCs w:val="24"/>
        </w:rPr>
        <w:t xml:space="preserve"> secciones. En primer lugar, expongo los principales postulados de las teorías que presentan afinidades con los textos normativos y, luego, analizo comparativamente los principales aspectos de las dos leyes en consideración y las discusiones parlamentarias en torno a ellas, evidenciando su vinculación con aquéllos modelos teóricos que se proponen explicar el cambio institucional. </w:t>
      </w:r>
    </w:p>
    <w:p w:rsidR="00645EC2" w:rsidRPr="00645EC2" w:rsidRDefault="00645EC2" w:rsidP="00645EC2">
      <w:pPr>
        <w:tabs>
          <w:tab w:val="left" w:pos="270"/>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lastRenderedPageBreak/>
        <w:tab/>
        <w:t xml:space="preserve">En segundo lugar, analizo las declaraciones de los representantes empresarios con el fin de establecer su afinidad interpretativa con los discursos analizados en la primera sección y sus resultados en la redacción final de cada texto. </w:t>
      </w:r>
    </w:p>
    <w:p w:rsidR="00645EC2" w:rsidRPr="00645EC2" w:rsidRDefault="00645EC2" w:rsidP="00645EC2">
      <w:pPr>
        <w:tabs>
          <w:tab w:val="left" w:pos="270"/>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Por último, esbozo una conclusión donde articulo el análisis realizado a lo largo del texto. </w:t>
      </w:r>
    </w:p>
    <w:p w:rsidR="00645EC2" w:rsidRPr="00645EC2" w:rsidRDefault="00645EC2" w:rsidP="00645EC2">
      <w:pPr>
        <w:tabs>
          <w:tab w:val="left" w:pos="284"/>
        </w:tabs>
        <w:spacing w:line="360" w:lineRule="auto"/>
        <w:contextualSpacing/>
        <w:rPr>
          <w:rFonts w:ascii="Times New Roman" w:hAnsi="Times New Roman" w:cs="Times New Roman"/>
          <w:sz w:val="24"/>
          <w:szCs w:val="24"/>
        </w:rPr>
      </w:pPr>
    </w:p>
    <w:p w:rsidR="00645EC2" w:rsidRPr="00645EC2" w:rsidRDefault="00645EC2" w:rsidP="00645EC2">
      <w:pPr>
        <w:tabs>
          <w:tab w:val="left" w:pos="284"/>
        </w:tabs>
        <w:spacing w:line="360" w:lineRule="auto"/>
        <w:contextualSpacing/>
        <w:rPr>
          <w:rFonts w:ascii="Times New Roman" w:hAnsi="Times New Roman" w:cs="Times New Roman"/>
          <w:sz w:val="24"/>
          <w:szCs w:val="24"/>
        </w:rPr>
      </w:pPr>
      <w:r w:rsidRPr="00645EC2">
        <w:rPr>
          <w:rFonts w:ascii="Times New Roman" w:hAnsi="Times New Roman" w:cs="Times New Roman"/>
          <w:b/>
          <w:smallCaps/>
          <w:color w:val="000000"/>
          <w:sz w:val="24"/>
          <w:szCs w:val="24"/>
        </w:rPr>
        <w:t>Regulación de las relaciones laborales</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r>
      <w:bookmarkStart w:id="0" w:name="OLE_LINK4"/>
      <w:r w:rsidRPr="00645EC2">
        <w:rPr>
          <w:rFonts w:ascii="Times New Roman" w:hAnsi="Times New Roman" w:cs="Times New Roman"/>
          <w:sz w:val="24"/>
          <w:szCs w:val="24"/>
        </w:rPr>
        <w:t xml:space="preserve">Como mencioné anteriormente, el objetivo de este trabajo es analizar los cambios del marco jurídico-institucional </w:t>
      </w:r>
      <w:bookmarkEnd w:id="0"/>
      <w:r w:rsidRPr="00645EC2">
        <w:rPr>
          <w:rFonts w:ascii="Times New Roman" w:hAnsi="Times New Roman" w:cs="Times New Roman"/>
          <w:sz w:val="24"/>
          <w:szCs w:val="24"/>
        </w:rPr>
        <w:t>de las relaciones laborales a partir de dos leyes de reforma laboral: la primera sancionada en las postrimerías de la convertibilidad; la segunda en los inicios de la reactivación económica que sucedió a la crisis económica, social y política de principios de siglo.</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La elección de estas leyes se debe a tres motivos. En primer lugar, a que el contexto de su tratamiento y sanción se diferencia no sólo por el partido en el gobierno que las promovió –la Alianza y el Partido Justicialista, respectivamente– sino también por el modelo de acumulación de capital preponderante. Mientras que en el año 2000 la economía nacional se organizaba en base a la convertibilidad como variable macroeconómica principal y se dirigía hacia una crisis sin precedentes, en el año 2004, tras la devaluación de la moneda, la economía nacional comenzaba a mostrar signos de recuperación económica tanto a través del crecimiento de la actividad como del empleo.  </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En segundo lugar, teniendo en cuenta las investigaciones que se ocuparon de analizar estos períodos –ya sea de forma independiente o comparativa– estas leyes se tornan relevantes en tanto fueron interpretadas de forma contrapuesta: la primera de ellas caracterizada como una ley de flexibilización del empleo, mientras que la segunda como una de las primeras políticas de contrarreforma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"Danani", "given" : "Claudia", "non-dropping-particle" : "", "parse-names" : false, "suffix" : "" } ], "container-title" : "Revista Ciencias Sociales", "id" : "ITEM-1", "issued" : { "date-parts" : [ [ "2012" ] ] }, "publisher-place" : "Buenos Aires", "title" : "La otra d\u00e9cada de regormas de las pol\u00edticas sociales y laborales, 2002-2010", "type" : "article-journal" }, "uris" : [ "http://www.mendeley.com/documents/?uuid=cff7de82-a68a-44e1-838d-e7513975fd41" ] } ], "mendeley" : { "formattedCitation" : "(Danani, 2012)", "plainTextFormattedCitation" : "(Danani, 2012)", "previouslyFormattedCitation" : "(Danani, 2012)"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(Danani, 2012)</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r w:rsidRPr="00645EC2">
        <w:rPr>
          <w:rFonts w:ascii="Times New Roman" w:hAnsi="Times New Roman" w:cs="Times New Roman"/>
          <w:sz w:val="24"/>
          <w:szCs w:val="24"/>
        </w:rPr>
        <w:tab/>
        <w:t xml:space="preserve">El tercer motivo refiere los esquemas discursivos preponderantes en cada momento, presentes en los textos normativos, las discusiones parlamentarias y la prensa escrita. En este punto haré referencia a las teorías sobre el cambio institucional que se ocupan de analizar las transformaciones de los marcos normativos y su relación con la economía, la historia y la política: la nueva economía institucional y la economía política institucional. </w:t>
      </w:r>
    </w:p>
    <w:p w:rsidR="00645EC2" w:rsidRPr="00645EC2" w:rsidRDefault="00645EC2" w:rsidP="00645EC2">
      <w:pPr>
        <w:tabs>
          <w:tab w:val="left" w:pos="284"/>
        </w:tabs>
        <w:spacing w:line="360" w:lineRule="auto"/>
        <w:contextualSpacing/>
        <w:jc w:val="both"/>
        <w:rPr>
          <w:rFonts w:ascii="Times New Roman" w:hAnsi="Times New Roman" w:cs="Times New Roman"/>
          <w:sz w:val="24"/>
          <w:szCs w:val="24"/>
        </w:rPr>
      </w:pPr>
    </w:p>
    <w:p w:rsidR="00645EC2" w:rsidRPr="00645EC2" w:rsidRDefault="00645EC2" w:rsidP="00645EC2">
      <w:pPr>
        <w:spacing w:after="120" w:line="360" w:lineRule="auto"/>
        <w:jc w:val="both"/>
        <w:rPr>
          <w:rFonts w:ascii="Times New Roman" w:hAnsi="Times New Roman" w:cs="Times New Roman"/>
          <w:b/>
          <w:sz w:val="24"/>
          <w:szCs w:val="24"/>
        </w:rPr>
      </w:pPr>
      <w:r w:rsidRPr="00645EC2">
        <w:rPr>
          <w:rFonts w:ascii="Times New Roman" w:hAnsi="Times New Roman" w:cs="Times New Roman"/>
          <w:b/>
          <w:sz w:val="24"/>
          <w:szCs w:val="24"/>
        </w:rPr>
        <w:t>La nueva economía institucional</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lastRenderedPageBreak/>
        <w:t>La nueva economía institucional</w:t>
      </w:r>
      <w:r w:rsidRPr="00645EC2">
        <w:rPr>
          <w:rStyle w:val="FootnoteReference"/>
          <w:rFonts w:ascii="Times New Roman" w:hAnsi="Times New Roman" w:cs="Times New Roman"/>
          <w:sz w:val="24"/>
          <w:szCs w:val="24"/>
        </w:rPr>
        <w:footnoteReference w:id="1"/>
      </w:r>
      <w:r w:rsidRPr="00645EC2">
        <w:rPr>
          <w:rFonts w:ascii="Times New Roman" w:hAnsi="Times New Roman" w:cs="Times New Roman"/>
          <w:sz w:val="24"/>
          <w:szCs w:val="24"/>
        </w:rPr>
        <w:t xml:space="preserve"> se vale de las propuestas de la economía neoclásica. Los neoclásicos situaron el foco del problema económico sobre la asignación de los recursos dados o escasos, es decir, en la distribución –la esfera de la circulación– de esos recursos para lograr la máxima utilidad del producto.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Por otra parte, la teoría neoclásica adhiere al planteamiento utilitarista, dando lugar a una versión de la economía política según la cual el comportamiento humano resulta reductible al cálculo racional orientado a la maximización de la utilidad, siendo este un principio de validez universal.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"Screpanti", "given" : "Ernesto", "non-dropping-particle" : "", "parse-names" : false, "suffix" : "" }, { "dropping-particle" : "", "family" : "Zamagni", "given" : "Stefano", "non-dropping-particle" : "", "parse-names" : false, "suffix" : "" } ], "id" : "ITEM-1", "issued" : { "date-parts" : [ [ "1997" ] ] }, "number-of-pages" : "442", "publisher" : "Ariel", "publisher-place" : "Barcelona", "title" : "Panorama de historia del pensamiento econ\u00f3mico", "type" : "book" }, "uris" : [ "http://www.mendeley.com/documents/?uuid=c5d78d9c-44d6-4c6e-b30e-8fafddf99a0a" ] } ], "mendeley" : { "formattedCitation" : "(Screpanti &amp; Zamagni, 1997)", "manualFormatting" : "(Screpanti &amp; Zamagni, 1997, 158)", "plainTextFormattedCitation" : "(Screpanti &amp; Zamagni, 1997)", "previouslyFormattedCitation" : "(Screpanti &amp; Zamagni, 1997)"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(Screpanti &amp; Zamagni, 1997, 158)</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En cuanto a los sujetos económicos, la teoría neoclásica los caracteriza como sujetos individuales racionales capaces de maximizar su utilidad o beneficio individual. De manera que los agentes económicos son individuos o unidades mínimas de organización como las empresas o familias. Como consecuencia, los sujetos colectivos o las clases sociales –la agregación de individuos en un grupo– quedan desplazados por el individuo como objeto de la explicación.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La universalidad y ahistoricidad de las leyes económicas que la teoría neoclásica sostiene es uno de sus pilares epistemológicos centrales. En conjunto, como resultado, la teoría neoclásica desestima las relaciones sociales del ámbito económico: “</w:t>
      </w:r>
      <w:r w:rsidRPr="00645EC2">
        <w:rPr>
          <w:rFonts w:ascii="Times New Roman" w:hAnsi="Times New Roman" w:cs="Times New Roman"/>
          <w:i/>
          <w:sz w:val="24"/>
          <w:szCs w:val="24"/>
        </w:rPr>
        <w:t>mientras el individualismo había llevado a la eliminación de las clases sociales, el reduccionismo antihistoricista condujo a la eliminación de las relaciones sociales, con lo que –obviamente– perdería importancia también el estudio de sus transformaciones</w:t>
      </w:r>
      <w:r w:rsidRPr="00645EC2">
        <w:rPr>
          <w:rFonts w:ascii="Times New Roman" w:hAnsi="Times New Roman" w:cs="Times New Roman"/>
          <w:sz w:val="24"/>
          <w:szCs w:val="24"/>
        </w:rPr>
        <w:t xml:space="preserve">”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"Screpanti", "given" : "Ernesto", "non-dropping-particle" : "", "parse-names" : false, "suffix" : "" }, { "dropping-particle" : "", "family" : "Zamagni", "given" : "Stefano", "non-dropping-particle" : "", "parse-names" : false, "suffix" : "" } ], "id" : "ITEM-1", "issued" : { "date-parts" : [ [ "1997" ] ] }, "number-of-pages" : "442", "publisher" : "Ariel", "publisher-place" : "Barcelona", "title" : "Panorama de historia del pensamiento econ\u00f3mico", "type" : "book" }, "uris" : [ "http://www.mendeley.com/documents/?uuid=c5d78d9c-44d6-4c6e-b30e-8fafddf99a0a" ] } ], "mendeley" : { "formattedCitation" : "(Screpanti &amp; Zamagni, 1997)", "manualFormatting" : "(Screpanti &amp; Zamagni, 1997, 159)", "plainTextFormattedCitation" : "(Screpanti &amp; Zamagni, 1997)", "previouslyFormattedCitation" : "(Screpanti &amp; Zamagni, 1997)"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(Screpanti &amp; Zamagni, 1997, 159)</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Para sintetizar, la teoría neoclásica concibe que los intercambios son voluntarios, entre individuos bien informados, autointeresados y racionales, lo que conduce a una organización de la producción y la distribución eficiente y beneficiosa para el conjunto. Queda en evidencia que la única forma de interacción social que tiene lugar en el mercado es la del intercambio voluntario. Los sindicatos, los grupos políticos, las empresas y sus asociaciones, en definitiva los grupos sociales, no son contemplados por la teoría ya que violarían la competencia perfecta, requisito fundamental del equilibrio económico general. Dicho de forma simple, el mercado debe constituirse como el único asignador de los recursos, mientras el Estado debe tener un rol pasivo en la regulación de las relaciones económicas.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La nueva economía institucional siguió el legado neoclásico al poner el foco sobre los individuos, sus motivaciones, preferencias e intereses, aunque se diferenció al introducir el </w:t>
      </w:r>
      <w:r w:rsidRPr="00645EC2">
        <w:rPr>
          <w:rFonts w:ascii="Times New Roman" w:hAnsi="Times New Roman" w:cs="Times New Roman"/>
          <w:sz w:val="24"/>
          <w:szCs w:val="24"/>
        </w:rPr>
        <w:lastRenderedPageBreak/>
        <w:t xml:space="preserve">orden jurídico y organizacional como factor explicativo de la dinámica económica. Es decir, desde esta perspectiva las organizaciones están formadas por individuos que actúan de acuerdo a sus motivaciones e intereses, de manera que el aspecto voluntarista y utilitarista es parte del núcleo de esta corriente teórica. Pero además, el marco jurídico-institucional es fundamental para explicar las acciones individuales en tanto es el conjunto de las reglas de juego o restricciones a la acción.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Respecto al Estado, la nueva economía institucional asume la concepción clásica: el Estado tiene el monopolio de la violencia, crea las reglas y tiene el poder de violarlas. La solución a este problema, al Estado como Leviatán, consiste en diseñar mecanismos de acción colectiva que limiten su capacidad predatoria. El oportunismo desenfrenado conduce a la ineficiencia institucional de un Estado Leviatán que quiere maximizar sus ingresos al costo de minar los derechos de propiedad privada y los incentivos de inversión. Asumiendo la teoría del Estado predatorio rechaza la política redistributiva del Estado al concebirla como una actividad extorsiva. Es en ese sentido que Brennan y Buchanan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"ISBN" : "9780521027922", "abstract" : "Should government's power to tax be limited? The events of the late 1970s in the wake of California's Proposition 13 brought this question very sharply into popular focus. Whether the power to tax should be restricted, and if so how, are issues of immediate policy significance. Providing a serious analysis of these issues, the authors of this 1980 book offer an approach to the understanding and evaluation of the fiscal system, one that yields profound implications. The central question becomes: how much 'power to tax' would the citizen voluntarily grant to government as a party to some initial social contract devising a fiscal constitution? Those in office are assumed to exploit the power assigned to them to the maximum possible extent: government is modelled as 'revenue-maximizing Leviathan'. Armed with such a model, the authors proceed to trace out the restrictions on the power to tax that might be expected to emerge from the citizen's constitutional deliberations.", "author" : [ { "dropping-particle" : "", "family" : "Buchanan", "given" : "James M", "non-dropping-particle" : "", "parse-names" : false, "suffix" : "" } ], "container-title" : "Power", "id" : "ITEM-1", "issued" : { "date-parts" : [ [ "1980" ] ] }, "number-of-pages" : "225", "title" : "The Power to Tax: Analytical Foundations of a Fiscal Constitution,", "type" : "book", "volume" : "9" }, "uris" : [ "http://www.mendeley.com/documents/?uuid=8a684d82-38cb-4782-9d3c-26b829a0773d" ] } ], "mendeley" : { "formattedCitation" : "(Buchanan, 1980)", "manualFormatting" : "(1980)", "plainTextFormattedCitation" : "(Buchanan, 1980)", "previouslyFormattedCitation" : "(Buchanan, 1980)"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(1980)</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conciben la capacidad fiscal del Estado como un índice de su poder coercitivo.</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Fundando su perspectiva en la teoría neoclásica, North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"DOI" : "10.2307/2234910", "ISBN" : "0521394163", "ISSN" : "07388950", "PMID" : "22250226", "author" : [ { "dropping-particle" : "", "family" : "North", "given" : "Douglas C.", "non-dropping-particle" : "", "parse-names" : false, "suffix" : "" } ], "container-title" : "Institutions, Institutional Change and Economic Performance", "id" : "ITEM-1", "issued" : { "date-parts" : [ [ "1990" ] ] }, "title" : "Institutions, Institutional Change and Economic Performance", "type" : "chapter" }, "uris" : [ "http://www.mendeley.com/documents/?uuid=dff4d9ab-13e9-4e8c-81d3-ad06b3f0c301" ] } ], "mendeley" : { "formattedCitation" : "(North, 1990)", "manualFormatting" : "(1990)", "plainTextFormattedCitation" : "(North, 1990)", "previouslyFormattedCitation" : "(North, 1990)"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(1990)</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desarrolla un marco analítico para explicar las formas en que las instituciones y el cambio institucional afectan el desempeño de las economías. Su argumento implica que algunas economías desarrollan instituciones que producen crecimiento y desarrollo, mientras que otras desarrollan instituciones que producen estancamiento. De esta forma, asume que la diferencia de ingresos entre los países se explica a partir de las políticas públicas y los marcos institucionales. Esas instituciones, promotoras del desarrollo, se fundan en tres pilares del liberalismo clásico-contractualista: garantizar el cumplimiento de los contratos, salvaguardar los derechos de propiedad y minimizar el costo de las transacciones.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Según este autor, las instituciones existen debido a las incertidumbres que conlleva la interacción humana, concibiéndolas como el conjunto de las reglas de juego que regulan los costos de las transacciones y define las posibilidades del desarrollo económico. Desde esta perspectiva, el cambio institucional consiste en el cambio de las reglas que constriñen o alientan el comportamiento social.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En otras palabras, las instituciones crean estructuras de incentivos en una economía –una institución es entendida como estructura que restringe a la vez que habilita–, y las organizaciones serán creadas para tomar ventaja de las oportunidades provistas en el marco institucional establecido. Esta corriente sostiene que los tipos de habilidades y conocimientos </w:t>
      </w:r>
      <w:r w:rsidRPr="00645EC2">
        <w:rPr>
          <w:rFonts w:ascii="Times New Roman" w:hAnsi="Times New Roman" w:cs="Times New Roman"/>
          <w:sz w:val="24"/>
          <w:szCs w:val="24"/>
        </w:rPr>
        <w:lastRenderedPageBreak/>
        <w:t xml:space="preserve">fomentados por la estructura de una economía darán forma a la dirección del cambio y gradualmente alterarán el marco institucional.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En síntesis, la nueva economía institucional liga el desarrollo a dos claves institucionales: los derechos de propiedad y el cumplimiento de los contratos; promueve el desarrollo a partir de la reducción de los costos de las transacciones, el incremento de la confianza y la protección de la propiedad privada de la expropiación. Dicho de otro modo, establece una relación antagónica entre la propiedad privada y la intervención del Estado y defiende la superioridad de la propiedad privada por sobre la propiedad pública para resolver el falso dilema entre el interés particular y el bien colectivo. Es por ello que siendo fiel a su gramática afirma que el bien colectivo es el resultante de los intereses privados individuales.</w:t>
      </w:r>
    </w:p>
    <w:p w:rsidR="00645EC2" w:rsidRPr="00645EC2" w:rsidRDefault="00645EC2" w:rsidP="00645EC2">
      <w:pPr>
        <w:spacing w:after="120" w:line="360" w:lineRule="auto"/>
        <w:jc w:val="both"/>
        <w:rPr>
          <w:rFonts w:ascii="Times New Roman" w:hAnsi="Times New Roman" w:cs="Times New Roman"/>
          <w:sz w:val="24"/>
          <w:szCs w:val="24"/>
        </w:rPr>
      </w:pPr>
    </w:p>
    <w:p w:rsidR="00645EC2" w:rsidRPr="00645EC2" w:rsidRDefault="00645EC2" w:rsidP="00645EC2">
      <w:pPr>
        <w:spacing w:after="120" w:line="360" w:lineRule="auto"/>
        <w:jc w:val="both"/>
        <w:rPr>
          <w:rFonts w:ascii="Times New Roman" w:hAnsi="Times New Roman" w:cs="Times New Roman"/>
          <w:b/>
          <w:sz w:val="24"/>
          <w:szCs w:val="24"/>
        </w:rPr>
      </w:pPr>
      <w:r w:rsidRPr="00645EC2">
        <w:rPr>
          <w:rFonts w:ascii="Times New Roman" w:hAnsi="Times New Roman" w:cs="Times New Roman"/>
          <w:b/>
          <w:sz w:val="24"/>
          <w:szCs w:val="24"/>
        </w:rPr>
        <w:t>La economía política institucional</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La economía política institucional, segunda corriente teórica de nuestro interés para analizar la legislación laboral, tiene sus raíces en el legado intelectual de Marx, aunque también se referencia en autores como Veblen, Schumpeter, Polanyi y Simon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"DOI" : "10.2753/JEI0021-3624460405", "ISBN" : "0021-3624", "ISSN" : "0021-3624", "abstract" : "The recent publication of \"Institutions and Economic Development: Theory, Policy and History\" (Chang 2011a) has stimulated a thought-provoking debate, and has brought forth a wide-ranging demonstration of the theoretical arsenal of the new institutional economics. The debate proves that, as of yet, no satisfactory theory of institutions has been articulated, nor is there an agreement on the relationship between institutional change and the politics of development, It also demonstrates the presence of two distinct lines of research: ideological and political, both of which rely on different theoretical legacies, and embody distinct economic worldviews. This scenario allows a summary of the argument in the most recent literature to be made on the relationship between institutions and development, as well as to relate the debate to the concept of development as a process of expansion of capacities.", "author" : [ { "dropping-particle" : "", "family" : "L\u00f3pez Castellano", "given" : "Fernando", "non-dropping-particle" : "", "parse-names" : false, "suffix" : "" }, { "dropping-particle" : "", "family" : "Garc\u00eda-Quero", "given" : "Fernando", "non-dropping-particle" : "", "parse-names" : false, "suffix" : "" } ], "container-title" : "Journal of Economic Issues", "id" : "ITEM-1", "issue" : "4", "issued" : { "date-parts" : [ [ "2012" ] ] }, "page" : "921-940", "title" : "Institutional Approaches to Economic Development: The Current Status of the Debate", "type" : "article-journal", "volume" : "46" }, "uris" : [ "http://www.mendeley.com/documents/?uuid=2447eabd-dd1d-45ce-be68-54b15391296c" ] } ], "mendeley" : { "formattedCitation" : "(L\u00f3pez Castellano &amp; Garc\u00eda-Quero, 2012)", "plainTextFormattedCitation" : "(L\u00f3pez Castellano &amp; Garc\u00eda-Quero, 2012)", "previouslyFormattedCitation" : "(L\u00f3pez Castellano &amp; Garc\u00eda-Quero, 2012)"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(López Castellano &amp; García-Quero, 2012)</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Su modelo interpretativo no implica necesariamente una crítica al capitalismo en su conjunto, sino que tiende a pensar las regulaciones necesarias para el desarrollo y el crecimiento. En ese sentido es que pensará al Estado como un conjunto de instituciones regulatorias, intentando dar una respuesta a la relación entre instituciones y mercado.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Este modelo teórico, a diferencia de la nueva economía institucional, enfatiza la importancia de la </w:t>
      </w:r>
      <w:r w:rsidRPr="00645EC2">
        <w:rPr>
          <w:rFonts w:ascii="Times New Roman" w:hAnsi="Times New Roman" w:cs="Times New Roman"/>
          <w:i/>
          <w:sz w:val="24"/>
          <w:szCs w:val="24"/>
        </w:rPr>
        <w:t>realidad política</w:t>
      </w:r>
      <w:r w:rsidRPr="00645EC2">
        <w:rPr>
          <w:rFonts w:ascii="Times New Roman" w:hAnsi="Times New Roman" w:cs="Times New Roman"/>
          <w:sz w:val="24"/>
          <w:szCs w:val="24"/>
        </w:rPr>
        <w:t xml:space="preserve"> en la selección de políticas públicas y explica históricamente el surgimiento de las instituciones. En este aspecto, la economía política institucional continúa la tradición de vieja economía institucional (</w:t>
      </w:r>
      <w:r w:rsidRPr="00645EC2">
        <w:rPr>
          <w:rFonts w:ascii="Times New Roman" w:hAnsi="Times New Roman" w:cs="Times New Roman"/>
          <w:i/>
          <w:sz w:val="24"/>
          <w:szCs w:val="24"/>
        </w:rPr>
        <w:t>old institutional economics</w:t>
      </w:r>
      <w:r w:rsidRPr="00645EC2">
        <w:rPr>
          <w:rFonts w:ascii="Times New Roman" w:hAnsi="Times New Roman" w:cs="Times New Roman"/>
          <w:sz w:val="24"/>
          <w:szCs w:val="24"/>
        </w:rPr>
        <w:t>), otorgando primacía a la explicación histórica y específica de las instituciones. De forma esquemática, ese es el punto que separa la vieja de la nueva economía institucional: mientras los primeros pensaron en términos históricos, los segundos insistieron sobre el carácter ahistórico y universal del funcionamiento de la economía.</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La economía política institucional propone un nuevo concepto de agencia humana, rechazando la idea de maximización de las utilidades propia del utilitarismo neoclásico. Las instituciones son definidas como entidades durables integradas a las costumbres y rutinas, y constituyen un elemento clave en los procesos colectivos a través de los cuales los agentes perciben y entienden al mundo. El argumento central es que las instituciones son estructuras </w:t>
      </w:r>
      <w:r w:rsidRPr="00645EC2">
        <w:rPr>
          <w:rFonts w:ascii="Times New Roman" w:hAnsi="Times New Roman" w:cs="Times New Roman"/>
          <w:sz w:val="24"/>
          <w:szCs w:val="24"/>
        </w:rPr>
        <w:lastRenderedPageBreak/>
        <w:t>sociales, que implican una causalidad bidireccional entre la motivación individual y las instituciones sociales. La propuesta de Chang y Evans</w:t>
      </w:r>
      <w:r w:rsidRPr="00645EC2">
        <w:rPr>
          <w:rFonts w:ascii="Times New Roman" w:hAnsi="Times New Roman" w:cs="Times New Roman"/>
          <w:b/>
          <w:sz w:val="24"/>
          <w:szCs w:val="24"/>
        </w:rPr>
        <w:t xml:space="preserve"> </w:t>
      </w:r>
      <w:r w:rsidRPr="00645EC2">
        <w:rPr>
          <w:rFonts w:ascii="Times New Roman" w:hAnsi="Times New Roman" w:cs="Times New Roman"/>
          <w:b/>
          <w:sz w:val="24"/>
          <w:szCs w:val="24"/>
        </w:rPr>
        <w:fldChar w:fldCharType="begin" w:fldLock="1"/>
      </w:r>
      <w:r w:rsidR="00EB60A0">
        <w:rPr>
          <w:rFonts w:ascii="Times New Roman" w:hAnsi="Times New Roman" w:cs="Times New Roman"/>
          <w:b/>
          <w:sz w:val="24"/>
          <w:szCs w:val="24"/>
        </w:rPr>
        <w:instrText>ADDIN CSL_CITATION { "citationItems" : [ { "id" : "ITEM-1", "itemData" : { "ISBN" : "9781608769452", "abstract" : "Word Doc y PDF en compu (institutionalism) Institutions are systematic patterns of shared expectations, taken-for-granted assumptions, accepted norms and routines of interaction that have robust effects on shaping the motivations and behaviour of sets of interconnected social actors. In modern societies, they are usually embodied in authoritatively coordinated organizations with formal rules and the capacity to impose coercive sanctions, such as the government or the firms. ...institutions as devices which enable the achievement of economic goals and, perhaps even more important, on institutions as constitutive of the interests and worldviews of economic actors (instead of the traditional view of \"institutions as constraints\"). Institutional rethoric: institutions as constraints and enablers of behavior and action. This is, of course, not to say that institutions do not impose constraints. Just about all \"enabling\" institutions involve constraints on some types of behaviour by some people. In many cases that involve a collective action problem, these constraints are \"general\" constraints that apply to everyone. In these cases, we are putting constraints on everyone's behaviour so that we can collectively do more things. However, in other cases, enabling of some people means constraining others. We can broadly divide these approaches (of formation and change of institutions) into two groups, namely, the efficiency-driven approach and the interest-based approach, with sub-approaches in each group, each with very different theoretical and policy implications. the developmental state is a threatened institution not primarily because it was economically ineffectual, or even because its potential economic efficacy has been undercut by globalisation. The problems of the developmental state lie first of all in domestic politics and derive in part from the domestic political consequences of economic success. The Korean developmental state emerged from a most unpromising environment. Although the legacies of the proto-developmental state that had existed under Japanese colonial rule (e.g., Kohli, 1994) were important, we should not under-estimate the enormity of the destruction of colonial institutional fabric between 1945 (the end of Japanese rule) and 1961 (when General Park Chung Hee came to power through a coup). Things, as it is well known, began to change after the coup by General Park Chung Hee in 1961. It should be noted that, as some authors emphasize (e\u2026", "author" : [ { "dropping-particle" : "", "family" : "Chang", "given" : "Ha-joon", "non-dropping-particle" : "", "parse-names" : false, "suffix" : "" }, { "dropping-particle" : "", "family" : "Evans", "given" : "Peter", "non-dropping-particle" : "", "parse-names" : false, "suffix" : "" } ], "container-title" : "World", "id" : "ITEM-1", "issue" : "December 1999", "issued" : { "date-parts" : [ [ "2000" ] ] }, "page" : "1-67", "title" : "The Role of Institutions in Economic Change", "type" : "article-journal" }, "uris" : [ "http://www.mendeley.com/documents/?uuid=ea42ab69-8876-4d15-a996-5a776d9a93b6" ] } ], "mendeley" : { "formattedCitation" : "(Chang &amp; Evans, 2000)", "manualFormatting" : "(1999)", "plainTextFormattedCitation" : "(Chang &amp; Evans, 2000)", "previouslyFormattedCitation" : "(Chang &amp; Evans, 2000)" }, "properties" : { "noteIndex" : 0 }, "schema" : "https://github.com/citation-style-language/schema/raw/master/csl-citation.json" }</w:instrText>
      </w:r>
      <w:r w:rsidRPr="00645EC2">
        <w:rPr>
          <w:rFonts w:ascii="Times New Roman" w:hAnsi="Times New Roman" w:cs="Times New Roman"/>
          <w:b/>
          <w:sz w:val="24"/>
          <w:szCs w:val="24"/>
        </w:rPr>
        <w:fldChar w:fldCharType="separate"/>
      </w:r>
      <w:r w:rsidRPr="00645EC2">
        <w:rPr>
          <w:rFonts w:ascii="Times New Roman" w:hAnsi="Times New Roman" w:cs="Times New Roman"/>
          <w:noProof/>
          <w:sz w:val="24"/>
          <w:szCs w:val="24"/>
        </w:rPr>
        <w:t>(1999)</w:t>
      </w:r>
      <w:r w:rsidRPr="00645EC2">
        <w:rPr>
          <w:rFonts w:ascii="Times New Roman" w:hAnsi="Times New Roman" w:cs="Times New Roman"/>
          <w:b/>
          <w:sz w:val="24"/>
          <w:szCs w:val="24"/>
        </w:rPr>
        <w:fldChar w:fldCharType="end"/>
      </w:r>
      <w:r w:rsidRPr="00645EC2">
        <w:rPr>
          <w:rFonts w:ascii="Times New Roman" w:hAnsi="Times New Roman" w:cs="Times New Roman"/>
          <w:sz w:val="24"/>
          <w:szCs w:val="24"/>
        </w:rPr>
        <w:t xml:space="preserve"> sugiere que las instituciones son patrones sistemáticos que consisten en expectativas compartidas, normas y rutinas aceptadas de interacción con profunda influencia en las motivaciones y comportamientos de los grupos de actores socialmente interrelacionados. Debe destacarse que en esta definición el eje está sobre las motivaciones de los actores y los grupos, lo que implica abordar la relación entre instituciones y actores desde una visión voluntarista de la acción.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Para economía política institucional el Estado es la institución fundante, siendo su tarea principal estipular derechos, deberes y capacidades al intercambio económico. Los mercados son definidos como un constructo socio-político formados por grupos de convenciones formales e informales que regulan la participación, los significados del intercambio, así como los derechos y las obligaciones en el mercado.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Esta propuesta considera que el mundo de finanzas ignora el rol que juegan los impuestos en la legitimación del Estado y en su capacidad de conducir el desarrollo. Por ello, la economía política institucional argumenta que la existencia de un gobierno eficiente es precondición para la transición a una economía de mercado. Así, el Estado construye un mundo schumpeteriano de competencia e innovación a través de la implementación de un fuerte sistema impositivo.</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Según estos autores, la evidencia empírica muestra que la relación negativa entre las políticas proteccionistas y la prosperidad propuesta por la literatura institucional hegemónica –en referencia a la nueva economía institucional– es seriamente errónea. Por ello se inclinan por políticas estatales intervencionistas como la vía del desarrollo económico.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Evans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"abstract" : "What role for the developmental state in the 21st century? What state structures and political institutions will best equip nations trying to enter the ranks of \u201cdeveloped\u201d countries? I offer two interconnected propositions. The first stresses continuity: the \u201cdevelopmental state\u201d will continue to play a crucial a role in economic growth and social transformation in the 21st century, just as it did in the latter half of the 20th century. The second is more radical: successful 21st century developmental states will have to depart fundamentally from existing models of the developmental state in order to achieve success. Growth strategies focused primarily on traditional capital accumulation will no longer suffice. State-society ties can no longer be focused narrowly on relations with capitalist elites.", "author" : [ { "dropping-particle" : "", "family" : "Evans", "given" : "Peter", "non-dropping-particle" : "", "parse-names" : false, "suffix" : "" } ], "container-title" : "CGPE Working Paper Series", "id" : "ITEM-1", "issue" : "4", "issued" : { "date-parts" : [ [ "2008" ] ] }, "number-of-pages" : "25", "title" : "In search of the 21 st century developmental state", "type" : "report" }, "uris" : [ "http://www.mendeley.com/documents/?uuid=df12085c-226a-4504-bec0-56ba6b1e855b" ] } ], "mendeley" : { "formattedCitation" : "(Evans, 2008)", "manualFormatting" : "(2008)", "plainTextFormattedCitation" : "(Evans, 2008)", "previouslyFormattedCitation" : "(Evans, 2008)"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(2008)</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otro autor que podemos ubicar en la economía política institucional, sostiene que el éxito de los Estados desarrollistas del siglo XXI dependerá de la existencia de modelos de desarrollo estatal que tengan por objetivo el alcance de metas definidas. No sólo las estrategias de crecimiento enfocadas en la tradicional acumulación de capital serán insuficientes, sino que la relación Estado-sociedad ya no puede enfocarse estrictamente en la relación con las elites capitalistas.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Evans considera que gravar impuestos a las elites es un factor fundamental del desarrollo económico. Es por ello que considera que la capacidad organizacional y política es necesaria para recolectar los adecuados ingresos públicos, siendo un prerrequisito para la inversión en capacidades de expansión y transformación industrial.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lastRenderedPageBreak/>
        <w:t xml:space="preserve">Boschi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"Boschi", "given" : "Renato", "non-dropping-particle" : "", "parse-names" : false, "suffix" : "" } ], "container-title" : "IESP/UERJ", "id" : "ITEM-1", "issued" : { "date-parts" : [ [ "2013" ] ] }, "title" : "Governance challenges, Institutional building, and National responses: reflections on the Brazilian development trajectory", "type" : "article-journal" }, "uris" : [ "http://www.mendeley.com/documents/?uuid=68525e64-0c30-4eec-9047-794511cd7f5f" ] } ], "mendeley" : { "formattedCitation" : "(Boschi, 2013)", "manualFormatting" : "(2013)", "plainTextFormattedCitation" : "(Boschi, 2013)", "previouslyFormattedCitation" : "(Boschi, 2013)"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(2013)</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en la misma línea teórica, plantea que la dimensión político-institucional explica la variedad del capitalismo, diferenciándolos a partir del nivel de éxito de los modelos de desarrollo. Para comprender las transformaciones político-institucionales deben tenerse en cuenta las variables externas como factores influyentes sobre los procesos endógenos. En este sentido, la globalización impacta sobre los grados de autonomía de los Estados nacionales, aunque las políticas públicas son el resultado de la articulación entre los actores e intereses en el nivel doméstico. En este nivel se define la adecuación nacional al proceso de globalización que depende de la combinación de las características institucionales y del rol estratégico de las elites, en tanto definen metas y proyectos con perspectivas a largo plazo. Al respecto, el autor le da una importancia central a las elites estatales que en posiciones predominantes designan estrategias para su país en el mediano plazo, basadas en los instrumentos que tienen a disposición.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Respecto a las instituciones políticas considera que son fundamentales para determinar las características de los tipos de capitalismos, entre ellas la institucionalización de las relaciones capital/trabajo. En ese artículo se pregunta acerca de cómo las instituciones del Estado fueron afectadas por las reformas de mercado, sin por ello considerar una relación causal-unilineal entre el mercado y Estado. En realidad, según el autor son las diferentes matrices institucionales las que configuran diferentes variedades de capitalismos, en las cuales el rol de coordinación del Estado aparece con mayor o menor centralidad.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La administración del conflicto capital/trabajo se torna determinante para explicar el proceso de industrialización. Otros factores claves para explicar el desarrollo son el rendimiento de la economía, la alternativa de desarrollo con inclusión social, la expansión del mercado interno y la competitividad en el mercado mundial globalizado. Además, el análisis del Estado y de sus capacidades institucionales es clave en el fortalecimiento las dinámicas de desarrollo.</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Los núcleos de naturaleza neo-corporativa que involucran al Estado y a la sociedad civil, y a una estructura eficiente para la representación de intereses del sector corporativo, convergen hacia la producción de respuestas más efectivas hacia los desafíos externos.</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En su estudio específico del caso brasilero señala las diferencias entre el modelo de desarrollo capitalista de ese país y países limítrofes como Argentina y Chile. Según Boschi, en estos dos países el ritmo y transformación de las reformas orientadas al mercado –de cuño neoliberal– fue drástico, mientras que en Brasil su implementación tardía y la resistencia social sirvieron para preservar elementos del desarrollismo, especialmente en capacidades estatales.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lastRenderedPageBreak/>
        <w:t>Sintetizando su postura, el cambio institucional es central para explicar las diferencias en el desempeño de la economía. Su punto de partida son los casos históricos, para en base a ellos determinar la configuración institucional que caracterizan el tipo de capitalismo de acuerdo a economías de libre mercado o economías de coordinación del mercado, como tipos ideales.</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Streeck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"Streeck", "given" : "Wolfgang", "non-dropping-particle" : "", "parse-names" : false, "suffix" : "" } ], "id" : "ITEM-1", "issued" : { "date-parts" : [ [ "2010" ] ] }, "title" : "Taking Capitalism seriously", "type" : "report" }, "uris" : [ "http://www.mendeley.com/documents/?uuid=0021dd3a-f8a7-45ff-ade7-b709d8122703" ] } ], "mendeley" : { "formattedCitation" : "(Streeck, 2010)", "manualFormatting" : "(2010)", "plainTextFormattedCitation" : "(Streeck, 2010)", "previouslyFormattedCitation" : "(Streeck, 2010)"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(2010)</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también propone un acercamiento desde la economía política institucional al capitalismo como un tipo específico de orden social. La ciencia social institucionalista, uno de los pilares de su propuesta teórica, considera a los sistemas sociales estructurados por normas sancionadas de comportamiento obligatorio. Su perspectiva es de ordenamiento colectivo, o gobernanza, a través de la regulación y normalización de la acción social, ya sea por la autoridad pública o por el contrato privado.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La economía política, otro de sus pilares teóricos, se enfoca en las interrelaciones entre la acción colectiva en la elaboración de normas generales y colectivas, en particular, y la economía; se extiende desde la formulación de la política económica y social hasta la manera en que los intereses y limitaciones económicas influyen en las políticas, la política y la vida social en su conjunto. El enfoque propuesto en este artículo analiza la sociedad y la economía como densamente entrelazadas y estrechamente interdependientes, que es lo que los conceptos tradicionales del capitalismo defienden. Partiendo de una perspectiva institucionalista, elabora un concepto del capitalismo no como un mecanismo de auto-conducido de extracción de excedentes y de acumulación gobernado por leyes objetivas, sino como un conjunto de instituciones sociales interrelacionados, y como sistema histórico específico de estructura, así como la estructuración de la interacción social dentro de y en relación con un orden social institucionalizado.</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En otro artículo junto a Schmitter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"Schmitter", "given" : "P.C.", "non-dropping-particle" : "", "parse-names" : false, "suffix" : "" }, { "dropping-particle" : "", "family" : "Streeck", "given" : "Wolfgang", "non-dropping-particle" : "", "parse-names" : false, "suffix" : "" } ], "id" : "ITEM-1", "issued" : { "date-parts" : [ [ "1999" ] ] }, "publisher" : "Journal of Economic Issues", "title" : "The Organization of Business Interests", "type" : "book" }, "uris" : [ "http://www.mendeley.com/documents/?uuid=533f9bc0-d7fa-4ce1-a33d-adbbdc67f129" ] } ], "mendeley" : { "formattedCitation" : "(Schmitter &amp; Streeck, 1999)", "plainTextFormattedCitation" : "(Schmitter &amp; Streeck, 1999)", "previouslyFormattedCitation" : "(Schmitter &amp; Streeck, 1999)"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(Schmitter &amp; Streeck, 1999)</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presenta los lineamientos teóricos para el estudio comparativo de las asociaciones empresarias. Este artículo nos interesa porque permite adentrarnos en las formas de relación que se establecen entre la</w:t>
      </w:r>
      <w:r w:rsidR="00EB60A0">
        <w:rPr>
          <w:rFonts w:ascii="Times New Roman" w:hAnsi="Times New Roman" w:cs="Times New Roman"/>
          <w:sz w:val="24"/>
          <w:szCs w:val="24"/>
        </w:rPr>
        <w:t>s</w:t>
      </w:r>
      <w:r w:rsidRPr="00645EC2">
        <w:rPr>
          <w:rFonts w:ascii="Times New Roman" w:hAnsi="Times New Roman" w:cs="Times New Roman"/>
          <w:sz w:val="24"/>
          <w:szCs w:val="24"/>
        </w:rPr>
        <w:t xml:space="preserve"> asociaciones empresarias con el Estado y los trabajadores.</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Para explicar la relación entre las asociaciones empresarias y el Estado, estos autores proponen la noción de </w:t>
      </w:r>
      <w:r w:rsidRPr="00645EC2">
        <w:rPr>
          <w:rFonts w:ascii="Times New Roman" w:hAnsi="Times New Roman" w:cs="Times New Roman"/>
          <w:i/>
          <w:sz w:val="24"/>
          <w:szCs w:val="24"/>
        </w:rPr>
        <w:t>lógica de influencia</w:t>
      </w:r>
      <w:r w:rsidRPr="00645EC2">
        <w:rPr>
          <w:rFonts w:ascii="Times New Roman" w:hAnsi="Times New Roman" w:cs="Times New Roman"/>
          <w:sz w:val="24"/>
          <w:szCs w:val="24"/>
        </w:rPr>
        <w:t xml:space="preserve"> que descansa sobre una relación de intercambio: las asociaciones de intereses –entre ellas las asociaciones empresarias– buscan adquirir propiedades organizacionales que les permiten explotar la configuración de la autoridad estatal, los intereses y las necesidades que atañen a sus propios propósitos. El Estado, por otro lado, busca recompensar a sus </w:t>
      </w:r>
      <w:r w:rsidRPr="00645EC2">
        <w:rPr>
          <w:rFonts w:ascii="Times New Roman" w:hAnsi="Times New Roman" w:cs="Times New Roman"/>
          <w:i/>
          <w:sz w:val="24"/>
          <w:szCs w:val="24"/>
        </w:rPr>
        <w:t>interlocutores</w:t>
      </w:r>
      <w:r w:rsidRPr="00645EC2">
        <w:rPr>
          <w:rFonts w:ascii="Times New Roman" w:hAnsi="Times New Roman" w:cs="Times New Roman"/>
          <w:sz w:val="24"/>
          <w:szCs w:val="24"/>
        </w:rPr>
        <w:t xml:space="preserve"> por adquirir propiedades organizacionales que aumenten la posibilidad de satisfacer las políticas del Estado y sus restricciones.</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lastRenderedPageBreak/>
        <w:t xml:space="preserve">Para los autores, nada garantiza la mutua satisfacción en este intercambio, menos para todas las clases y sectores. Pero cuanto más diferenciación institucional, competitividad interna, necesidades informacionales y dependencia restringida de las agencias del Estado, mayor serán los modos de interacción determinados por las asociaciones de intereses y menor será el impacto de la lógica de influencia sobre las propiedades organizacionales de estas asociaciones. En el caso extremo de dispersión, dependencia, fácil penetración en el Estado, la estructura y las actividades de las asociaciones de intereses serán determinadas casi exclusivamente por la lógica del intercambio con sus respectivas membresías y los contractos privados que se desarrollan entre asociaciones.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Las asociaciones de intereses empresarios ocupan una especial posición en la lógica de influencia. En un extremo, en la forma de </w:t>
      </w:r>
      <w:r w:rsidRPr="00645EC2">
        <w:rPr>
          <w:rFonts w:ascii="Times New Roman" w:hAnsi="Times New Roman" w:cs="Times New Roman"/>
          <w:i/>
          <w:sz w:val="24"/>
          <w:szCs w:val="24"/>
        </w:rPr>
        <w:t>Estado liberal mínimo</w:t>
      </w:r>
      <w:r w:rsidRPr="00645EC2">
        <w:rPr>
          <w:rFonts w:ascii="Times New Roman" w:hAnsi="Times New Roman" w:cs="Times New Roman"/>
          <w:sz w:val="24"/>
          <w:szCs w:val="24"/>
        </w:rPr>
        <w:t xml:space="preserve">, la necesidad de asociación de intereses empresarios formales es baja –porque la acción individual a través del mercado o a través de los canales electorales y parlamentarios tenderá a ser suficiente para asegurar que las autoridades públicas controlen los contratos y provean infraestructura de bienes públicos como defensa, comunicación y transporte. Los intereses comunes de los empresarios son muy influyentes en ese escenario, pero la lógica de su búsqueda y satisfacción no tiene una alta carga sobre la acción de las asociaciones, en la cuales las organizaciones estructurales reflejarán exclusivamente los problemas de atracción y mantenimiento de una membresía voluntaria.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En el otro extremo, bajo la forma de un </w:t>
      </w:r>
      <w:r w:rsidRPr="00645EC2">
        <w:rPr>
          <w:rFonts w:ascii="Times New Roman" w:hAnsi="Times New Roman" w:cs="Times New Roman"/>
          <w:i/>
          <w:sz w:val="24"/>
          <w:szCs w:val="24"/>
        </w:rPr>
        <w:t>fuerte Estado intervencionista</w:t>
      </w:r>
      <w:r w:rsidRPr="00645EC2">
        <w:rPr>
          <w:rFonts w:ascii="Times New Roman" w:hAnsi="Times New Roman" w:cs="Times New Roman"/>
          <w:sz w:val="24"/>
          <w:szCs w:val="24"/>
        </w:rPr>
        <w:t>, las autoridades públicas deben promover activamente la realización de los beneficios y la acumulación de capital suficiente para asegurar la reproducción del sistema. Para este propósito, el Estado debe adquirir suficiente autonomía informacional y decisional para actuar incluso en contra de los intereses a corto plazo de los empresarios. El control sobre el modo de interacción entre el Estado y los negocios se convierte en un imperativo funcional, para garantizar ambos la apropiación del conjunto de la información y el suficiente control sobre los comportamientos. En este escenario, consideran que la atención a los intereses empresarios es fundamental en el desarrollo de las políticas públicas.</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Las propiedades organizacionales de las asociaciones son afectadas por las normas legales y las prácticas comunes en una sociedad y reforzadas por las autoridades públicas. Para cada país, es necesario describir la situación existente de las leyes formales, los precedentes jurídicos y la práctica administrativa. Argumentan que es difícil comprender la dirección del impacto de las variables de influencia generales. Por ejemplo, se refieren a la hipótesis clásica de </w:t>
      </w:r>
      <w:r w:rsidRPr="00645EC2">
        <w:rPr>
          <w:rFonts w:ascii="Times New Roman" w:hAnsi="Times New Roman" w:cs="Times New Roman"/>
          <w:i/>
          <w:sz w:val="24"/>
          <w:szCs w:val="24"/>
        </w:rPr>
        <w:t>grupo de presión</w:t>
      </w:r>
      <w:r w:rsidRPr="00645EC2">
        <w:rPr>
          <w:rFonts w:ascii="Times New Roman" w:hAnsi="Times New Roman" w:cs="Times New Roman"/>
          <w:sz w:val="24"/>
          <w:szCs w:val="24"/>
        </w:rPr>
        <w:t xml:space="preserve"> que relaciona el grado de centralización de la estructura del Estado positiva y </w:t>
      </w:r>
      <w:r w:rsidRPr="00645EC2">
        <w:rPr>
          <w:rFonts w:ascii="Times New Roman" w:hAnsi="Times New Roman" w:cs="Times New Roman"/>
          <w:sz w:val="24"/>
          <w:szCs w:val="24"/>
        </w:rPr>
        <w:lastRenderedPageBreak/>
        <w:t xml:space="preserve">linealmente con el grado de centralización de la acción asociativa, es decir </w:t>
      </w:r>
      <w:r w:rsidRPr="00645EC2">
        <w:rPr>
          <w:rFonts w:ascii="Times New Roman" w:hAnsi="Times New Roman" w:cs="Times New Roman"/>
          <w:i/>
          <w:sz w:val="24"/>
          <w:szCs w:val="24"/>
        </w:rPr>
        <w:t>los grupos imitan la estructura de la autoridad que quieren influenciar</w:t>
      </w:r>
      <w:r w:rsidRPr="00645EC2">
        <w:rPr>
          <w:rFonts w:ascii="Times New Roman" w:hAnsi="Times New Roman" w:cs="Times New Roman"/>
          <w:sz w:val="24"/>
          <w:szCs w:val="24"/>
        </w:rPr>
        <w:t xml:space="preserve">. Las asociaciones deben buscar adquirir una capacidad de centralización relativa para la coordinación de la acción de clase, precisamente por la estructura descentralizada del estado falla en la provisión de los servicios internacionales y nacionales.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Resumiendo, estos autores entienden que el Estado actúa como una tercera parte regulando los intercambios entre el capital y el trabajo, ya sea definiendo y garantizando ciertas </w:t>
      </w:r>
      <w:r w:rsidRPr="00645EC2">
        <w:rPr>
          <w:rFonts w:ascii="Times New Roman" w:hAnsi="Times New Roman" w:cs="Times New Roman"/>
          <w:i/>
          <w:sz w:val="24"/>
          <w:szCs w:val="24"/>
        </w:rPr>
        <w:t>reglas de juego</w:t>
      </w:r>
      <w:r w:rsidRPr="00645EC2">
        <w:rPr>
          <w:rFonts w:ascii="Times New Roman" w:hAnsi="Times New Roman" w:cs="Times New Roman"/>
          <w:sz w:val="24"/>
          <w:szCs w:val="24"/>
        </w:rPr>
        <w:t xml:space="preserve"> o a través de política de ingresos, salario mínimo o similares.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Para sintetizar en este punto, en la literatura que analiza el cambio institucional, nos encontramos con dos vertientes principales. Por un lado, la </w:t>
      </w:r>
      <w:r w:rsidRPr="00645EC2">
        <w:rPr>
          <w:rFonts w:ascii="Times New Roman" w:hAnsi="Times New Roman" w:cs="Times New Roman"/>
          <w:i/>
          <w:sz w:val="24"/>
          <w:szCs w:val="24"/>
        </w:rPr>
        <w:t>nueva economía institucional</w:t>
      </w:r>
      <w:r w:rsidRPr="00645EC2">
        <w:rPr>
          <w:rFonts w:ascii="Times New Roman" w:hAnsi="Times New Roman" w:cs="Times New Roman"/>
          <w:sz w:val="24"/>
          <w:szCs w:val="24"/>
        </w:rPr>
        <w:t xml:space="preserve"> ligada a las concepciones neoclásicas de la economía; por otro, la </w:t>
      </w:r>
      <w:r w:rsidRPr="00645EC2">
        <w:rPr>
          <w:rFonts w:ascii="Times New Roman" w:hAnsi="Times New Roman" w:cs="Times New Roman"/>
          <w:i/>
          <w:sz w:val="24"/>
          <w:szCs w:val="24"/>
        </w:rPr>
        <w:t>economía política institucional</w:t>
      </w:r>
      <w:r w:rsidRPr="00645EC2">
        <w:rPr>
          <w:rFonts w:ascii="Times New Roman" w:hAnsi="Times New Roman" w:cs="Times New Roman"/>
          <w:sz w:val="24"/>
          <w:szCs w:val="24"/>
        </w:rPr>
        <w:t xml:space="preserve">, ligada a una visión keynesiana de la economía y a una visión progresista de la política. </w:t>
      </w:r>
    </w:p>
    <w:p w:rsidR="00645EC2" w:rsidRPr="00645EC2" w:rsidRDefault="00645EC2" w:rsidP="00645EC2">
      <w:pPr>
        <w:spacing w:after="120" w:line="360" w:lineRule="auto"/>
        <w:ind w:firstLine="284"/>
        <w:jc w:val="both"/>
        <w:rPr>
          <w:rFonts w:ascii="Times New Roman" w:hAnsi="Times New Roman" w:cs="Times New Roman"/>
          <w:sz w:val="24"/>
          <w:szCs w:val="24"/>
        </w:rPr>
      </w:pPr>
      <w:r w:rsidRPr="00645EC2">
        <w:rPr>
          <w:rFonts w:ascii="Times New Roman" w:hAnsi="Times New Roman" w:cs="Times New Roman"/>
          <w:sz w:val="24"/>
          <w:szCs w:val="24"/>
        </w:rPr>
        <w:t xml:space="preserve">En definitiva, nos interesan estos dos posicionamientos teóricos porque son nodales no sólo en el análisis de la políticas públicas, en nuestro caso las laborales, sino que además son claves para en la legitimación de esas políticas. En otras palabras, la nueva economía institucional será fundamental en la argumentación de las políticas de flexibilización laboral y de retirada del Estado, mientras que la economía política institucional promoverá un Estado fuerte en materia de intervención sobre la economía a través de sus políticas, entre ellas, el marco jurídico-institucional que regula la relación tripartita entre el Estado, el trabajo y el capital.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 xml:space="preserve">A </w:t>
      </w:r>
      <w:r w:rsidR="00EB60A0" w:rsidRPr="00645EC2">
        <w:rPr>
          <w:rFonts w:ascii="Times New Roman" w:hAnsi="Times New Roman" w:cs="Times New Roman"/>
          <w:sz w:val="24"/>
          <w:szCs w:val="24"/>
        </w:rPr>
        <w:t>continuación,</w:t>
      </w:r>
      <w:r w:rsidRPr="00645EC2">
        <w:rPr>
          <w:rFonts w:ascii="Times New Roman" w:hAnsi="Times New Roman" w:cs="Times New Roman"/>
          <w:sz w:val="24"/>
          <w:szCs w:val="24"/>
        </w:rPr>
        <w:t xml:space="preserve"> analizo estas leyes a partir de sus principales artículos, organizados en tres apartados. En primer lugar, </w:t>
      </w:r>
      <w:r w:rsidR="00EB60A0" w:rsidRPr="00645EC2">
        <w:rPr>
          <w:rFonts w:ascii="Times New Roman" w:hAnsi="Times New Roman" w:cs="Times New Roman"/>
          <w:sz w:val="24"/>
          <w:szCs w:val="24"/>
        </w:rPr>
        <w:t>aquellos</w:t>
      </w:r>
      <w:r w:rsidRPr="00645EC2">
        <w:rPr>
          <w:rFonts w:ascii="Times New Roman" w:hAnsi="Times New Roman" w:cs="Times New Roman"/>
          <w:sz w:val="24"/>
          <w:szCs w:val="24"/>
        </w:rPr>
        <w:t xml:space="preserve"> artículos que regulan la relación entre el capital y el trabajo. En segundo lugar, los que establecen el tipo de vínculo entre el Estado y el capital. Por último, aquél que regula la representatividad gremial empresaria.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p>
    <w:p w:rsidR="00645EC2" w:rsidRPr="00645EC2" w:rsidRDefault="00645EC2" w:rsidP="00645EC2">
      <w:pPr>
        <w:tabs>
          <w:tab w:val="left" w:pos="284"/>
        </w:tabs>
        <w:spacing w:after="120" w:line="360" w:lineRule="auto"/>
        <w:rPr>
          <w:rFonts w:ascii="Times New Roman" w:hAnsi="Times New Roman" w:cs="Times New Roman"/>
          <w:b/>
          <w:smallCaps/>
          <w:color w:val="000000"/>
          <w:sz w:val="24"/>
          <w:szCs w:val="24"/>
        </w:rPr>
      </w:pPr>
      <w:r w:rsidRPr="00645EC2">
        <w:rPr>
          <w:rFonts w:ascii="Times New Roman" w:hAnsi="Times New Roman" w:cs="Times New Roman"/>
          <w:b/>
          <w:smallCaps/>
          <w:color w:val="000000"/>
          <w:sz w:val="24"/>
          <w:szCs w:val="24"/>
        </w:rPr>
        <w:t>Regulación de la relación capital-trabajo</w:t>
      </w:r>
    </w:p>
    <w:p w:rsidR="00645EC2" w:rsidRPr="00645EC2" w:rsidRDefault="00645EC2" w:rsidP="00645EC2">
      <w:pPr>
        <w:tabs>
          <w:tab w:val="left" w:pos="284"/>
        </w:tabs>
        <w:spacing w:after="120" w:line="360" w:lineRule="auto"/>
        <w:rPr>
          <w:rFonts w:ascii="Times New Roman" w:hAnsi="Times New Roman" w:cs="Times New Roman"/>
          <w:b/>
          <w:color w:val="000000"/>
          <w:sz w:val="24"/>
          <w:szCs w:val="24"/>
        </w:rPr>
      </w:pPr>
      <w:r w:rsidRPr="00645EC2">
        <w:rPr>
          <w:rFonts w:ascii="Times New Roman" w:hAnsi="Times New Roman" w:cs="Times New Roman"/>
          <w:b/>
          <w:color w:val="000000"/>
          <w:sz w:val="24"/>
          <w:szCs w:val="24"/>
        </w:rPr>
        <w:t>Ultraactividad y nivel de negociación</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 xml:space="preserve">La ultraactividad consiste en la prórroga indefinida de los convenios colectivos que están firmados hasta tanto no sean reemplazados por otros nuevos. Este instituto de las relaciones laborales tiene larga trayectoria en la Argentina y durante la última década del siglo pasado fue una herramienta frecuentemente utilizada en la negociación colectiva. Si bien por un lado, el sector sindical utilizó la ultraactividad con el objetivo de conservar las cláusulas de convenios </w:t>
      </w:r>
      <w:r w:rsidRPr="00645EC2">
        <w:rPr>
          <w:rFonts w:ascii="Times New Roman" w:hAnsi="Times New Roman" w:cs="Times New Roman"/>
          <w:sz w:val="24"/>
          <w:szCs w:val="24"/>
        </w:rPr>
        <w:lastRenderedPageBreak/>
        <w:t xml:space="preserve">firmados en otras épocas como parte de su estrategia defensiva, por otro, la ultraactividad fue también usada como un instrumento de la flexibilización laboral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"Palomino, H. Trajtemberg", "given" : "D", "non-dropping-particle" : "", "parse-names" : false, "suffix" : "" } ], "container-title" : "Revista de trabajo del Ministerio de trabajo, empleo y seguridad social", "id" : "ITEM-1", "issue" : "3", "issued" : { "date-parts" : [ [ "2006" ] ] }, "page" : "47-68", "title" : "Una nueva din\u00e1mica de las relaciones laborales y la negociaci\u00f3n colectiva en la Argentina", "type" : "article-journal" }, "uris" : [ "http://www.mendeley.com/documents/?uuid=4d07f253-2fae-450b-96dc-f7a6fe0d964e" ] } ], "mendeley" : { "formattedCitation" : "(Palomino, H. Trajtemberg, 2006)", "plainTextFormattedCitation" : "(Palomino, H. Trajtemberg, 2006)", "previouslyFormattedCitation" : "(Palomino, H. Trajtemberg, 2006)"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(Palomino, H. Trajtemberg, 2006)</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 xml:space="preserve">Las sucesivas leyes laborales de la década del noventa no modificaron la vigencia de la ultraactividad hasta que la legislación del 2000 estableció su caída bajo la premisa de que las partes de la negociación, en condiciones de igualdad, mejorarían los convenios resolviendo las condiciones de trabajo y salarios. Considerar que empresarios y trabajadores negocian en condiciones de igualdad es una aseveración presente en la teoría neoclásica, la cual afirma la existencia de sujetos individuales racionales que realizan intercambios voluntarios en el mercado. En términos concretos, desde esta perspectiva teórica, el instituto de la ultraactividad distorsionaría la libre competencia y por tanto el equilibrio general.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En sentido contrario, el proyecto de ley enviado por el Ejecutivo en el 2004 estableció que se restituya la ultraactividad. Esto significó un cambio sustancial desde el punto de vista institucional en las relaciones capital-trabajo, conduciendo a un fortalecimiento de la protección de los trabajadores al eliminar el vencimiento de convenios colectivos, reglamentación que favorecía al empresariado en las negociaciones con los sindicatos. Además, en el texto normativo se estableció que el convenio por actividad actúe como piso, pero que en caso de falta de acuerdo entre sindicatos y empresarios se mantenga la norma más favorable al trabajador.</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 xml:space="preserve"> </w:t>
      </w:r>
      <w:r w:rsidRPr="00645EC2">
        <w:rPr>
          <w:rFonts w:ascii="Times New Roman" w:hAnsi="Times New Roman" w:cs="Times New Roman"/>
          <w:sz w:val="24"/>
          <w:szCs w:val="24"/>
        </w:rPr>
        <w:tab/>
        <w:t xml:space="preserve">El nivel de negociación colectiva es otra de las diferencias sustanciales entre una y otra ley. La legislación de 2000 estableció la negociación al nivel de la empresa, argumentando que los acuerdos en ese nivel son más beneficiosos para ambas partes. Ese argumento que emerge del debate parlamentario se basa en los mismos razonamientos que la teoría neoclásica. Esta teoría define a los agentes económicos como sujetos individuales y racionales capaces de maximizar su utilidad o beneficio individual. Así pensados, los agentes económicos son unidades mínimas de organización como las empresas, mientras que los trabajadores son aislados de su sector o rama de actividad en las negociaciones.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 xml:space="preserve">Al igual que en el caso de la ultraactividad, esta fundamentación teórica apunta a establecer el nivel de negociación en el ámbito de la empresa, o en el menor grado de agregación posible, teniendo consecuencias en las capacidades de negociación de los trabajadores y, por ello, en las relaciones entre el capital y el trabajo. El supuesto básico en la discusión de las relaciones entre el trabajo organizado y la organización de los intereses empresarios es que los empleadores individuales, si tienen la posibilidad, prefieren no negociar con el trabajo organizado, </w:t>
      </w:r>
      <w:r w:rsidRPr="00645EC2">
        <w:rPr>
          <w:rFonts w:ascii="Times New Roman" w:hAnsi="Times New Roman" w:cs="Times New Roman"/>
          <w:sz w:val="24"/>
          <w:szCs w:val="24"/>
        </w:rPr>
        <w:lastRenderedPageBreak/>
        <w:t xml:space="preserve">procurando realizar contratos individuales. Si la fuerza de los sindicatos es reconocida, prefieren hacerlo en el nivel del espacio de trabajo o de la empresa y no sobre el conjunto del sector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"Schmitter", "given" : "P.C.", "non-dropping-particle" : "", "parse-names" : false, "suffix" : "" }, { "dropping-particle" : "", "family" : "Streeck", "given" : "Wolfgang", "non-dropping-particle" : "", "parse-names" : false, "suffix" : "" } ], "id" : "ITEM-1", "issued" : { "date-parts" : [ [ "1999" ] ] }, "publisher" : "Journal of Economic Issues", "title" : "The Organization of Business Interests", "type" : "book" }, "uris" : [ "http://www.mendeley.com/documents/?uuid=533f9bc0-d7fa-4ce1-a33d-adbbdc67f129" ] } ], "mendeley" : { "formattedCitation" : "(Schmitter &amp; Streeck, 1999)", "plainTextFormattedCitation" : "(Schmitter &amp; Streeck, 1999)", "previouslyFormattedCitation" : "(Schmitter &amp; Streeck, 1999)"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(Schmitter &amp; Streeck, 1999)</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En otros términos, establecer el nivel de negociación en el ámbito de la empresa conduce a la </w:t>
      </w:r>
      <w:r w:rsidRPr="00645EC2">
        <w:rPr>
          <w:rFonts w:ascii="Times New Roman" w:hAnsi="Times New Roman" w:cs="Times New Roman"/>
          <w:i/>
          <w:sz w:val="24"/>
          <w:szCs w:val="24"/>
        </w:rPr>
        <w:t>flexibilización externa</w:t>
      </w:r>
      <w:r w:rsidRPr="00645EC2">
        <w:rPr>
          <w:rFonts w:ascii="Times New Roman" w:hAnsi="Times New Roman" w:cs="Times New Roman"/>
          <w:sz w:val="24"/>
          <w:szCs w:val="24"/>
        </w:rPr>
        <w:t xml:space="preserve"> de las relaciones laborales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"ISBN" : "9879517059", "author" : [ { "dropping-particle" : "", "family" : "Neffa", "given" : "Julio C\u00e9sar", "non-dropping-particle" : "", "parse-names" : false, "suffix" : "" } ], "id" : "ITEM-1", "issued" : { "date-parts" : [ [ "2005" ] ] }, "note" : "1. La flexibilizaci\u00f3n externa de la fuerza de trabajo: responde a la necesidad de las empresas de ajustar r\u00e1pidamente, con procedimientos administrativos simples, \u00e1giles y con bajos costos en materia de despidos, su dotaci\u00f3n de personal a las variaciones de la demanda, proceso que vulnera la anterior estabilidad y promueve una m\u00e1s r\u00e1pida rotaci\u00f3n de la fuerza de trabajo entre las organizaciones y unidades productivas, acelerando el pasaje por el mercado de trabajo. Esta modalidad se ha instaurado para agilizar los tr\u00e1mites, hacer una econom\u00eda de tiempo, reducir los costos empresariales del despido y eliminar las restricciones legales a la r\u00e1pida entrada y salida del trabajador al o del puesto de trabajo. Las llamadas \u201cformas promovidas de empleo\u201d (algunas de las cuales fueron denominadas peyorativamente \u201ccontratos basura\u201d), que fueron instauradas en 1991 por la Ley Nacional de Empleo y posteriormente por otras normas referentes a las PYME\u00a0 para promover el empleo, legitimaron esta flexibilidad como instrumento de pol\u00edticas activas de empleo. Pero, contrariamente al objetivo buscado y que la justificaba, no se han comprobado sus efectos positivos para generar nuevos empleos, sino m\u00e1s bien su impacto para acelerar la rotaci\u00f3n de trabajadores dentro del mercado de trabajo.", "title" : "Actividad, empleo y desempleo: conceptos y definiciones", "type" : "book" }, "uris" : [ "http://www.mendeley.com/documents/?uuid=8f7843a6-7a23-45d0-942b-309359ac346c" ] } ], "mendeley" : { "formattedCitation" : "(Neffa, 2005)", "plainTextFormattedCitation" : "(Neffa, 2005)", "previouslyFormattedCitation" : "(Neffa, 2005)"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(Neffa, 2005)</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en tanto no hay contratos que se fijen en ámbitos que contemplen al sector, dando más espacio de maniobra a los intereses patronales.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 xml:space="preserve">Según consta en los debates parlamentarios del 2000, los argumentos que proponen definir el ámbito de negociación a nivel de la empresa y la caída de la ultraactividad se basan en criterios de </w:t>
      </w:r>
      <w:r w:rsidRPr="00645EC2">
        <w:rPr>
          <w:rFonts w:ascii="Times New Roman" w:hAnsi="Times New Roman" w:cs="Times New Roman"/>
          <w:i/>
          <w:sz w:val="24"/>
          <w:szCs w:val="24"/>
        </w:rPr>
        <w:t>eficiencia</w:t>
      </w:r>
      <w:r w:rsidRPr="00645EC2">
        <w:rPr>
          <w:rFonts w:ascii="Times New Roman" w:hAnsi="Times New Roman" w:cs="Times New Roman"/>
          <w:sz w:val="24"/>
          <w:szCs w:val="24"/>
        </w:rPr>
        <w:t xml:space="preserve"> y </w:t>
      </w:r>
      <w:r w:rsidRPr="00645EC2">
        <w:rPr>
          <w:rFonts w:ascii="Times New Roman" w:hAnsi="Times New Roman" w:cs="Times New Roman"/>
          <w:i/>
          <w:sz w:val="24"/>
          <w:szCs w:val="24"/>
        </w:rPr>
        <w:t>modernización</w:t>
      </w:r>
      <w:r w:rsidRPr="00645EC2">
        <w:rPr>
          <w:rFonts w:ascii="Times New Roman" w:hAnsi="Times New Roman" w:cs="Times New Roman"/>
          <w:sz w:val="24"/>
          <w:szCs w:val="24"/>
        </w:rPr>
        <w:t xml:space="preserve"> de las relaciones laborales. Para esos legisladores establecer el nivel de negociación en un nivel inferior conduciría a la firma de contratos más eficientes y beneficiosos para ambas partes. En suma, la descentralización de las negociaciones colectivas es vista desde esta perspectiva como un elemento democratizador de las relaciones laborales, considerando que las partes –trabajadores y empresarios– negocian en condiciones de igualdad, tal como postula la nueva economía institucional.</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Aunque también emerge de esos debates la posición contraria que sostiene que de prevalecer el ámbito menor en la negociación colectiva se debilitaría la fuerza negociadora de los sindicatos. El argumento apunta a que el abandono del principio de la norma más favorable al trabajador, principio clásico del derecho laboral, es reemplazado por un marco regulatorio que se funda en la falacia del principio de igualdad entre las partes involucradas en la negociación.</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La legislación de 2004, además de restituir la ultraactividad, estableció el nivel de negociación en un ámbito mayor fortaleciendo a la organización sindical. Al respecto, Schmitter y Streek (1999) señalan que un movimiento sindical centralizado y unido puede influir con mayor fuerza sobre el Estado, interactuando más estrechamente en materia de política social, que uno descentralizado y dividido. Este es uno de los sentidos en que puede interpretarse la reunificación de la Confederación General del Trabajo (CGT) en esa misma década, tras la ruptura ocasionada en el contexto de la discusión de la ley del 2000.</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 xml:space="preserve">La nueva dinámica de las relaciones laborales y negociación colectiva que se consolida luego de la salida de la convertibilidad fue uno de los puntos analizados por Palomino y Trajtemberg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"Palomino, H. Trajtemberg", "given" : "D", "non-dropping-particle" : "", "parse-names" : false, "suffix" : "" } ], "container-title" : "Revista de trabajo del Ministerio de trabajo, empleo y seguridad social", "id" : "ITEM-1", "issue" : "3", "issued" : { "date-parts" : [ [ "2006" ] ] }, "page" : "47-68", "title" : "Una nueva din\u00e1mica de las relaciones laborales y la negociaci\u00f3n colectiva en la Argentina", "type" : "article-journal" }, "uris" : [ "http://www.mendeley.com/documents/?uuid=4d07f253-2fae-450b-96dc-f7a6fe0d964e" ] } ], "mendeley" : { "formattedCitation" : "(Palomino, H. Trajtemberg, 2006)", "manualFormatting" : "(2006)", "plainTextFormattedCitation" : "(Palomino, H. Trajtemberg, 2006)", "previouslyFormattedCitation" : "(Palomino, H. Trajtemberg, 2006)"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Pr="00645EC2">
        <w:rPr>
          <w:rFonts w:ascii="Times New Roman" w:hAnsi="Times New Roman" w:cs="Times New Roman"/>
          <w:noProof/>
          <w:sz w:val="24"/>
          <w:szCs w:val="24"/>
        </w:rPr>
        <w:t>(2006)</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Al respecto, destacan la importancia que se otorga a la negociación de nivel superior sobre la de nivel inferior. Para los autores, esto significó un cambio de tendencia respecto a la década del noventa en la cual </w:t>
      </w:r>
      <w:r w:rsidRPr="00645EC2">
        <w:rPr>
          <w:rFonts w:ascii="Times New Roman" w:hAnsi="Times New Roman" w:cs="Times New Roman"/>
          <w:i/>
          <w:sz w:val="24"/>
          <w:szCs w:val="24"/>
        </w:rPr>
        <w:t xml:space="preserve">“la gran mayoría de los convenios colectivos fueron pactados en el nivel de las empresas” </w:t>
      </w:r>
      <w:r w:rsidRPr="00645EC2">
        <w:rPr>
          <w:rFonts w:ascii="Times New Roman" w:hAnsi="Times New Roman" w:cs="Times New Roman"/>
          <w:i/>
          <w:sz w:val="24"/>
          <w:szCs w:val="24"/>
        </w:rPr>
        <w:fldChar w:fldCharType="begin" w:fldLock="1"/>
      </w:r>
      <w:r w:rsidR="00EB60A0">
        <w:rPr>
          <w:rFonts w:ascii="Times New Roman" w:hAnsi="Times New Roman" w:cs="Times New Roman"/>
          <w:i/>
          <w:sz w:val="24"/>
          <w:szCs w:val="24"/>
        </w:rPr>
        <w:instrText>ADDIN CSL_CITATION { "citationItems" : [ { "id" : "ITEM-1", "itemData" : { "author" : [ { "dropping-particle" : "", "family" : "Palomino, H. Trajtemberg", "given" : "D", "non-dropping-particle" : "", "parse-names" : false, "suffix" : "" } ], "container-title" : "Revista de trabajo del Ministerio de trabajo, empleo y seguridad social", "id" : "ITEM-1", "issue" : "3", "issued" : { "date-parts" : [ [ "2006" ] ] }, "page" : "47-68", "title" : "Una nueva din\u00e1mica de las relaciones laborales y la negociaci\u00f3n colectiva en la Argentina", "type" : "article-journal" }, "uris" : [ "http://www.mendeley.com/documents/?uuid=4d07f253-2fae-450b-96dc-f7a6fe0d964e" ] } ], "mendeley" : { "formattedCitation" : "(Palomino, H. Trajtemberg, 2006)", "manualFormatting" : "(Palomino, H. Trajtemberg, 2006, p. 49)", "plainTextFormattedCitation" : "(Palomino, H. Trajtemberg, 2006)", "previouslyFormattedCitation" : "(Palomino, H. Trajtemberg, 2006)" }, "properties" : { "noteIndex" : 0 }, "schema" : "https://github.com/citation-style-language/schema/raw/master/csl-citation.json" }</w:instrText>
      </w:r>
      <w:r w:rsidRPr="00645EC2">
        <w:rPr>
          <w:rFonts w:ascii="Times New Roman" w:hAnsi="Times New Roman" w:cs="Times New Roman"/>
          <w:i/>
          <w:sz w:val="24"/>
          <w:szCs w:val="24"/>
        </w:rPr>
        <w:fldChar w:fldCharType="separate"/>
      </w:r>
      <w:r w:rsidRPr="00645EC2">
        <w:rPr>
          <w:rFonts w:ascii="Times New Roman" w:hAnsi="Times New Roman" w:cs="Times New Roman"/>
          <w:noProof/>
          <w:sz w:val="24"/>
          <w:szCs w:val="24"/>
        </w:rPr>
        <w:t>(Palomino, H. Trajtemberg, 2006, p. 49)</w:t>
      </w:r>
      <w:r w:rsidRPr="00645EC2">
        <w:rPr>
          <w:rFonts w:ascii="Times New Roman" w:hAnsi="Times New Roman" w:cs="Times New Roman"/>
          <w:i/>
          <w:sz w:val="24"/>
          <w:szCs w:val="24"/>
        </w:rPr>
        <w:fldChar w:fldCharType="end"/>
      </w:r>
      <w:r w:rsidRPr="00645EC2">
        <w:rPr>
          <w:rFonts w:ascii="Times New Roman" w:hAnsi="Times New Roman" w:cs="Times New Roman"/>
          <w:sz w:val="24"/>
          <w:szCs w:val="24"/>
        </w:rPr>
        <w:t xml:space="preserve">.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lastRenderedPageBreak/>
        <w:tab/>
        <w:t xml:space="preserve">Diversos trabajos de investigación sostienen que la institución de negociaciones colectivas ha sido utilizada en los noventa como un instrumento de flexibilización laboral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"Goldin", "given" : "Adri\u00e1n", "non-dropping-particle" : "", "parse-names" : false, "suffix" : "" } ], "container-title" : "Intituto Internacional de Estudios Laborales", "id" : "ITEM-1", "issued" : { "date-parts" : [ [ "2007" ] ] }, "publisher-place" : "Ginebra", "title" : "Los derechos sociales en el marco de las reformas laborales en Am\u00e9rica Latina", "type" : "article-journal" }, "uris" : [ "http://www.mendeley.com/documents/?uuid=b2f162fb-45df-4852-b9d0-25f9a746861e" ] }, { "id" : "ITEM-2", "itemData" : { "author" : [ { "dropping-particle" : "", "family" : "Palomino, H. Trajtemberg", "given" : "D", "non-dropping-particle" : "", "parse-names" : false, "suffix" : "" } ], "container-title" : "Revista de trabajo del Ministerio de trabajo, empleo y seguridad social", "id" : "ITEM-2", "issue" : "3", "issued" : { "date-parts" : [ [ "2006" ] ] }, "page" : "47-68", "title" : "Una nueva din\u00e1mica de las relaciones laborales y la negociaci\u00f3n colectiva en la Argentina", "type" : "article-journal" }, "uris" : [ "http://www.mendeley.com/documents/?uuid=4d07f253-2fae-450b-96dc-f7a6fe0d964e" ] } ], "mendeley" : { "formattedCitation" : "(Goldin, 2007; Palomino, H. Trajtemberg, 2006)", "plainTextFormattedCitation" : "(Goldin, 2007; Palomino, H. Trajtemberg, 2006)", "previouslyFormattedCitation" : "(Goldin, 2007; Palomino, H. Trajtemberg, 2006)"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(Goldin, 2007; Palomino, H. Trajtemberg, 2006)</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llevando a los sindicatos a adoptar posiciones defensivas valiéndose del instituto de la ultraactividad. La dirección de política laboral que asumió el Estado en esa década condujo a la flexibilización de las relaciones laborales y la caída de la ultraactividad en el año 2000 significó otro golpe flexibilizador del mercado laboral.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En contraposición, en las discusiones parlamentarias del 2004 se celebró mayoritariamente el retorno a la ultraactividad –uno de los puntos de mayor acuerdo en ambas cámaras– y de la negociación colectiva de ámbito mayor. Los legisladores sostuvieron que la negociación colectiva de menor nivel establecida en la ley 25.250 condujo a la atomización del poder sindical y a una mayor arbitrariedad de las empresas. Señalaron el carácter flexibilizador y perjudicial para el trabajador en contraste al retorno a la ultraactividad –que protege al trabajador ante la caída de un convenio colectivo– y al nivel de negociación de ámbito mayor –que fortalece al sindicato en la negociación colectiva.</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t xml:space="preserve">El arbitraje del Estado, función que asume particularmente el Ministerio de Trabajo, es un factor clave en la regulación de las relaciones laborales que tiene como propósito conciliar entre los trabajadores y los empresarios </w:t>
      </w:r>
      <w:r w:rsidRPr="00645EC2">
        <w:rPr>
          <w:rFonts w:ascii="Times New Roman" w:hAnsi="Times New Roman" w:cs="Times New Roman"/>
          <w:sz w:val="24"/>
          <w:szCs w:val="24"/>
        </w:rPr>
        <w:fldChar w:fldCharType="begin" w:fldLock="1"/>
      </w:r>
      <w:r w:rsidR="00EB60A0">
        <w:rPr>
          <w:rFonts w:ascii="Times New Roman" w:hAnsi="Times New Roman" w:cs="Times New Roman"/>
          <w:sz w:val="24"/>
          <w:szCs w:val="24"/>
        </w:rPr>
        <w:instrText>ADDIN CSL_CITATION { "citationItems" : [ { "id" : "ITEM-1", "itemData" : { "author" : [ { "dropping-particle" : "", "family" : "Schmitter", "given" : "P.C.", "non-dropping-particle" : "", "parse-names" : false, "suffix" : "" }, { "dropping-particle" : "", "family" : "Streeck", "given" : "Wolfgang", "non-dropping-particle" : "", "parse-names" : false, "suffix" : "" } ], "id" : "ITEM-1", "issued" : { "date-parts" : [ [ "1999" ] ] }, "publisher" : "Journal of Economic Issues", "title" : "The Organization of Business Interests", "type" : "book" }, "uris" : [ "http://www.mendeley.com/documents/?uuid=533f9bc0-d7fa-4ce1-a33d-adbbdc67f129" ] } ], "mendeley" : { "formattedCitation" : "(Schmitter &amp; Streeck, 1999)", "plainTextFormattedCitation" : "(Schmitter &amp; Streeck, 1999)", "previouslyFormattedCitation" : "(Schmitter &amp; Streeck, 1999)" }, "properties" : { "noteIndex" : 0 }, "schema" : "https://github.com/citation-style-language/schema/raw/master/csl-citation.json" }</w:instrText>
      </w:r>
      <w:r w:rsidRPr="00645EC2">
        <w:rPr>
          <w:rFonts w:ascii="Times New Roman" w:hAnsi="Times New Roman" w:cs="Times New Roman"/>
          <w:sz w:val="24"/>
          <w:szCs w:val="24"/>
        </w:rPr>
        <w:fldChar w:fldCharType="separate"/>
      </w:r>
      <w:r w:rsidR="00EB60A0" w:rsidRPr="00EB60A0">
        <w:rPr>
          <w:rFonts w:ascii="Times New Roman" w:hAnsi="Times New Roman" w:cs="Times New Roman"/>
          <w:noProof/>
          <w:sz w:val="24"/>
          <w:szCs w:val="24"/>
        </w:rPr>
        <w:t>(Schmitter &amp; Streeck, 1999)</w:t>
      </w:r>
      <w:r w:rsidRPr="00645EC2">
        <w:rPr>
          <w:rFonts w:ascii="Times New Roman" w:hAnsi="Times New Roman" w:cs="Times New Roman"/>
          <w:sz w:val="24"/>
          <w:szCs w:val="24"/>
        </w:rPr>
        <w:fldChar w:fldCharType="end"/>
      </w:r>
      <w:r w:rsidRPr="00645EC2">
        <w:rPr>
          <w:rFonts w:ascii="Times New Roman" w:hAnsi="Times New Roman" w:cs="Times New Roman"/>
          <w:sz w:val="24"/>
          <w:szCs w:val="24"/>
        </w:rPr>
        <w:t xml:space="preserve">. La legislación de 2000 tiende a desplazar al Estado como tercer actor que arbitra entre el capital y el trabajo al indicar que ante eventuales divergencias se estimula la solución del conflicto en el ámbito sindical con exclusión de cualquier tipo de injerencia estatal, aunque ésta queda reservada como posibilidad de última instancia.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color w:val="000000"/>
          <w:sz w:val="24"/>
          <w:szCs w:val="24"/>
        </w:rPr>
        <w:tab/>
        <w:t xml:space="preserve">La legislación de 2004, por el contrario, tiende a fortalecer al Ministerio de Trabajo como órgano de gobierno de las relaciones entre trabajadores y empresarios, siendo ese un punto central de la ley: ampliar su margen de maniobra, el poder de arbitraje y de policía de trabajo –a través de las inspecciones laborales. </w:t>
      </w:r>
    </w:p>
    <w:p w:rsidR="00645EC2" w:rsidRPr="00645EC2" w:rsidRDefault="00645EC2" w:rsidP="00645EC2">
      <w:pPr>
        <w:tabs>
          <w:tab w:val="left" w:pos="284"/>
        </w:tabs>
        <w:spacing w:after="120" w:line="360" w:lineRule="auto"/>
        <w:rPr>
          <w:rFonts w:ascii="Times New Roman" w:hAnsi="Times New Roman" w:cs="Times New Roman"/>
          <w:b/>
          <w:color w:val="000000"/>
          <w:sz w:val="24"/>
          <w:szCs w:val="24"/>
        </w:rPr>
      </w:pPr>
    </w:p>
    <w:p w:rsidR="00645EC2" w:rsidRPr="00645EC2" w:rsidRDefault="00645EC2" w:rsidP="00645EC2">
      <w:pPr>
        <w:tabs>
          <w:tab w:val="left" w:pos="284"/>
        </w:tabs>
        <w:spacing w:after="120" w:line="360" w:lineRule="auto"/>
        <w:rPr>
          <w:rFonts w:ascii="Times New Roman" w:hAnsi="Times New Roman" w:cs="Times New Roman"/>
          <w:b/>
          <w:color w:val="000000"/>
          <w:sz w:val="24"/>
          <w:szCs w:val="24"/>
        </w:rPr>
      </w:pPr>
      <w:r w:rsidRPr="00645EC2">
        <w:rPr>
          <w:rFonts w:ascii="Times New Roman" w:hAnsi="Times New Roman" w:cs="Times New Roman"/>
          <w:b/>
          <w:color w:val="000000"/>
          <w:sz w:val="24"/>
          <w:szCs w:val="24"/>
        </w:rPr>
        <w:t>Indemnizaciones</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Las indemnizaciones en el caso de los despidos sin justa causa es otro elemento que contrasta entre ambos textos normativos. La ley 25.250 estableció un piso de dos meses de sueldo para las indemnizaciones de despidos injustificados, cuando anteriormente ese piso era de un </w:t>
      </w:r>
      <w:r w:rsidRPr="00645EC2">
        <w:rPr>
          <w:rFonts w:ascii="Times New Roman" w:hAnsi="Times New Roman" w:cs="Times New Roman"/>
          <w:color w:val="000000"/>
          <w:sz w:val="24"/>
          <w:szCs w:val="24"/>
        </w:rPr>
        <w:lastRenderedPageBreak/>
        <w:t>salario</w:t>
      </w:r>
      <w:r w:rsidRPr="00645EC2">
        <w:rPr>
          <w:rStyle w:val="FootnoteReference"/>
          <w:rFonts w:ascii="Times New Roman" w:hAnsi="Times New Roman" w:cs="Times New Roman"/>
          <w:color w:val="000000"/>
          <w:sz w:val="24"/>
          <w:szCs w:val="24"/>
        </w:rPr>
        <w:footnoteReference w:id="2"/>
      </w:r>
      <w:r w:rsidRPr="00645EC2">
        <w:rPr>
          <w:rFonts w:ascii="Times New Roman" w:hAnsi="Times New Roman" w:cs="Times New Roman"/>
          <w:color w:val="000000"/>
          <w:sz w:val="24"/>
          <w:szCs w:val="24"/>
        </w:rPr>
        <w:t xml:space="preserve">. Subir el piso indemnizatorio tenía como objetivo, en un contexto de altos índices de desocupación, disuadir a los empresarios a realizar recortes de personal. Aunque, debido a que el grueso de los despidos ya se había producido durante el quinquenio anterior, puede afirmarse que la suba del piso indemnizatorio no afectaba en forma sustancial los intereses empresarios. Además, la extensión del período de prueba saldará el aspecto negativo de la doble indemnización, desde los intereses del capital, debido a que durante ese período el trabajador no tiene derecho a percibir indemnización por despido sin justa causa.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los debates parlamentarios de ese año algunos legisladores expresaron que si bien la suba del piso indemnizatorio es un instrumento que tiende a proteger el empleo, la extensión del período de prueba flexibiliza y precariza la relación laboral al posibilitar una mayor rotación de personal, principalmente en el caso de las grandes empresas. En definitiva se trata de reducir el costo de las transacciones, objetivo central de la política económica neoclásica retomado por la nueva economía institucional. Entonces, si por un lado la doble indemnización sube el costo del contrato de trabajo, la extensión del período de prueba lo reduce a la vez que facilita la rotación de mano de obra.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El nuevo marco jurídico sancionado en 2004 estableció un piso indemnizatorio de un sueldo por año de antigüedad. En un sentido simplificado esta medida favorece a los empresarios como agentes económicos individuales en detrimento de los trabajadores. Bajar las indemnizaciones en el inicio del proceso de reactivación económica significa un avance de los intereses patronales al reducir el costo del despido.</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Aun así, es preciso indicar que las indemnizaciones estuvieron reguladas en los años siguientes por decretos que establecieron la doble indemnización</w:t>
      </w:r>
      <w:r w:rsidRPr="00645EC2">
        <w:rPr>
          <w:rStyle w:val="FootnoteReference"/>
          <w:rFonts w:ascii="Times New Roman" w:hAnsi="Times New Roman" w:cs="Times New Roman"/>
          <w:color w:val="000000"/>
          <w:sz w:val="24"/>
          <w:szCs w:val="24"/>
        </w:rPr>
        <w:footnoteReference w:id="3"/>
      </w:r>
      <w:r w:rsidRPr="00645EC2">
        <w:rPr>
          <w:rFonts w:ascii="Times New Roman" w:hAnsi="Times New Roman" w:cs="Times New Roman"/>
          <w:color w:val="000000"/>
          <w:sz w:val="24"/>
          <w:szCs w:val="24"/>
        </w:rPr>
        <w:t xml:space="preserve"> hasta que no se reduzca la desocupación a menos de dos dígitos. De manera que, lo establecido en la ley analizada respecto a las indemnizaciones fue modificado por un conjunto de disposiciones que restablecieron la doble indemnización. En concreto, la indemnización por despido sin justa causa con piso mínimo de un mes de sueldo entró en vigencia a mediados de 2007, cuando los datos del INDEC revelaron que la desocupación se encontraba por debajo del diez por ciento.</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lastRenderedPageBreak/>
        <w:tab/>
        <w:t xml:space="preserve">La posición oficial de reducir el piso indemnizatorio a un mes de sueldo se fundamentó sobre un principio de equidad entre los trabajadores despedidos debido a que antes no se diferenciaba entre los que tenían entre uno y dos años de antigüedad, siempre sin contabilizar el período de prueba. De esa forma se estableció un nuevo escalón indemnizatorio hacia abajo, logrando una cierta proporcionalidad entre las antigüedades de uno y dos años. En concreto, la equidad se logró reduciendo la indemnización del trabajador de menor antigüedad.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Las disidencias apuntaron a remarcar el carácter disuasivo del piso indemnizatorio que tendería a evitar despidos por parte de los empleadores. El argumento central reside en que un despido más barato permite reducir la tasa de despido de trabajadores facilitando el crecimiento del empleo. Por el contrario, el aumento del tope indemnizatorio es considerada una herramienta eficaz para desalentar el despido. En esa misma línea, se afirmó que la doble indemnización permitió reducir los despidos tras la crisis de principios de siglo sin perjudicar la contratación de nuevos trabajadores.</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Así como la doble indemnización fue propuesta, en la legislación de 2000, como un instrumento para desalentar el despido, en 2004 se presenta en algunos legisladores como una herramienta que desincentiva la contratación.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En suma, se encuentran en 2004 dos posicionamientos generales sobre este punto. En primer lugar, aquéllos que defienden el proyecto de ley que establece un piso de un mes de sueldo fundándose en un principio de equidad y proporcionalidad entre trabajadores de distintas antigüedades, lo que significa proporcionalidad hacia abajo. En segundo lugar, legisladores que proponen mantener el piso indemnizatorio en dos meses de sueldo, argumentando que de esa forma se evita flexibilizar el mercado laboral al no promover un despido más barato.</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Por estos motivos puede considerarse que la reducción del piso indemnizatorio es un avance de los intereses empresarios que ven en ellas un costo laboral que dificulta la libre circulación de mano de obra. La regulación del período de prueba, sus modalidades y extensión, es un elemento complementario a las indemnizaciones.</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p>
    <w:p w:rsidR="00645EC2" w:rsidRPr="00645EC2" w:rsidRDefault="00645EC2" w:rsidP="00645EC2">
      <w:pPr>
        <w:tabs>
          <w:tab w:val="left" w:pos="284"/>
        </w:tabs>
        <w:spacing w:after="120" w:line="360" w:lineRule="auto"/>
        <w:rPr>
          <w:rFonts w:ascii="Times New Roman" w:hAnsi="Times New Roman" w:cs="Times New Roman"/>
          <w:b/>
          <w:color w:val="000000"/>
          <w:sz w:val="24"/>
          <w:szCs w:val="24"/>
        </w:rPr>
      </w:pPr>
      <w:r w:rsidRPr="00645EC2">
        <w:rPr>
          <w:rFonts w:ascii="Times New Roman" w:hAnsi="Times New Roman" w:cs="Times New Roman"/>
          <w:b/>
          <w:color w:val="000000"/>
          <w:sz w:val="24"/>
          <w:szCs w:val="24"/>
        </w:rPr>
        <w:t>Período de prueba</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El período de prueba permite al empleador finalizar la relación contractual con el trabajador sin obligación de indemnizarlo. Por ello, la extensión de ese periodo es una cuestión central en la regulación de las relaciones laborales.</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lastRenderedPageBreak/>
        <w:tab/>
        <w:t>El marco regulatorio de la legislación de 2000 establecía un período de prueba de tres meses con posibilidad de extenderlo a seis meses a través de los convenios colectivos. Para las pymes se estableció un período de prueba de seis meses extensible a un año, sólo mediante la firma de un convenio colectivo. También se instituyó que durante el período de prueba las partes del contrato tienen los derechos y obligaciones propias del vínculo jurídico, con excepción de la indemnización.</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Extender el período de prueba tenía como objetivo incentivar la contratación de trabajadores aunque implicaba una mayor precariedad del empleo, principalmente en el caso de los segmentos laborales de alta rotación que no exigen calificación de mano de obra. Además favorecía principalmente a las grandes empresas que suelen ver dificultada la contratación de trabajadores de manera informal, esto es, trabajo no registrado o en </w:t>
      </w:r>
      <w:r w:rsidRPr="00645EC2">
        <w:rPr>
          <w:rFonts w:ascii="Times New Roman" w:hAnsi="Times New Roman" w:cs="Times New Roman"/>
          <w:i/>
          <w:color w:val="000000"/>
          <w:sz w:val="24"/>
          <w:szCs w:val="24"/>
        </w:rPr>
        <w:t>negro</w:t>
      </w:r>
      <w:r w:rsidRPr="00645EC2">
        <w:rPr>
          <w:rFonts w:ascii="Times New Roman" w:hAnsi="Times New Roman" w:cs="Times New Roman"/>
          <w:color w:val="000000"/>
          <w:sz w:val="24"/>
          <w:szCs w:val="24"/>
        </w:rPr>
        <w:t xml:space="preserve">.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Como mencioné anteriormente, se trata de reducir el costo de las transacciones como medio para facilitar la contratación de trabajadores aunque esto implique una mayor flexibilización y precarización de las relaciones laborales. En consonancia con en el lenguaje hegemónico de ese momento, la </w:t>
      </w:r>
      <w:r w:rsidRPr="00645EC2">
        <w:rPr>
          <w:rFonts w:ascii="Times New Roman" w:hAnsi="Times New Roman" w:cs="Times New Roman"/>
          <w:i/>
          <w:color w:val="000000"/>
          <w:sz w:val="24"/>
          <w:szCs w:val="24"/>
        </w:rPr>
        <w:t>modernización</w:t>
      </w:r>
      <w:r w:rsidRPr="00645EC2">
        <w:rPr>
          <w:rFonts w:ascii="Times New Roman" w:hAnsi="Times New Roman" w:cs="Times New Roman"/>
          <w:color w:val="000000"/>
          <w:sz w:val="24"/>
          <w:szCs w:val="24"/>
        </w:rPr>
        <w:t xml:space="preserve"> de las relaciones laborales era entendida como una mayor flexibilidad y dinamismo en el mercado de trabajo. En concreto, la extensión del período de prueba permitió a los grandes empresarios acceder a mano de obra barata mediante el aumento de circulación de personal.</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En la legislación de 2004 se fijó el límite del período de prueba en tres meses sin la posibilidad de extenderlo. Además se estableció la obligación de preavisar la finalización del contrato –en especial por parte del empleador– y se mantuvo la exención de la indemnización durante ese período.</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el parlamento la mayoría de los legisladores coincidieron en la reducción del período de prueba argumentando que la extensión que se establecía en la legislación anterior apuntaba a la flexibilización y precarización, considerando que un trabajador podía ser despedido durante el primer año de la relación laboral sin derecho a indemnización. Algunos legisladores apuntaron a reducir el período de prueba a un mes de duración al considerar que ese período es suficiente para que el empleador pueda evaluar el desempeño del trabajador.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A modo de síntesis de esta sección de la regulación de las relaciones capital-trabajo puede afirmarse que mientras el retorno de la ultraactividad fortalecía a los sindicatos en la negociación colectiva, el régimen de indemnizaciones de despido sin justa causa reducía los costos empresarios, aunque debe tenerse en cuenta la doble indemnización por decreto que rigió </w:t>
      </w:r>
      <w:r w:rsidRPr="00645EC2">
        <w:rPr>
          <w:rFonts w:ascii="Times New Roman" w:hAnsi="Times New Roman" w:cs="Times New Roman"/>
          <w:color w:val="000000"/>
          <w:sz w:val="24"/>
          <w:szCs w:val="24"/>
        </w:rPr>
        <w:lastRenderedPageBreak/>
        <w:t>hasta 2007. Por otro lado, la reducción del período de prueba significó una restricción a la flexibilidad de contratación que beneficiaba a los empleadores y la modificación del nivel de la negociación colectiva implicó un fortalecimiento del sector sindical.</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p>
    <w:p w:rsidR="00645EC2" w:rsidRPr="00645EC2" w:rsidRDefault="00645EC2" w:rsidP="00645EC2">
      <w:pPr>
        <w:tabs>
          <w:tab w:val="left" w:pos="284"/>
        </w:tabs>
        <w:spacing w:after="120" w:line="360" w:lineRule="auto"/>
        <w:rPr>
          <w:rFonts w:ascii="Times New Roman" w:hAnsi="Times New Roman" w:cs="Times New Roman"/>
          <w:b/>
          <w:smallCaps/>
          <w:color w:val="000000"/>
          <w:sz w:val="24"/>
          <w:szCs w:val="24"/>
        </w:rPr>
      </w:pPr>
      <w:r w:rsidRPr="00645EC2">
        <w:rPr>
          <w:rFonts w:ascii="Times New Roman" w:hAnsi="Times New Roman" w:cs="Times New Roman"/>
          <w:b/>
          <w:smallCaps/>
          <w:color w:val="000000"/>
          <w:sz w:val="24"/>
          <w:szCs w:val="24"/>
        </w:rPr>
        <w:t xml:space="preserve">Regulación de la relación Estado-capital </w:t>
      </w:r>
    </w:p>
    <w:p w:rsidR="00645EC2" w:rsidRPr="00645EC2" w:rsidRDefault="00645EC2" w:rsidP="00645EC2">
      <w:pPr>
        <w:tabs>
          <w:tab w:val="left" w:pos="284"/>
        </w:tabs>
        <w:spacing w:after="120" w:line="360" w:lineRule="auto"/>
        <w:rPr>
          <w:rFonts w:ascii="Times New Roman" w:hAnsi="Times New Roman" w:cs="Times New Roman"/>
          <w:b/>
          <w:color w:val="000000"/>
          <w:sz w:val="24"/>
          <w:szCs w:val="24"/>
        </w:rPr>
      </w:pPr>
      <w:r w:rsidRPr="00645EC2">
        <w:rPr>
          <w:rFonts w:ascii="Times New Roman" w:hAnsi="Times New Roman" w:cs="Times New Roman"/>
          <w:b/>
          <w:color w:val="000000"/>
          <w:sz w:val="24"/>
          <w:szCs w:val="24"/>
        </w:rPr>
        <w:t>Contribuciones patronales</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ambos textos jurídicos se modificaron las relaciones jurídico-institucionales entre el Estado y las empresas. Las contribuciones patronales, que son la principal fuente de financiamiento de la seguridad social –transferencia de ingresos desde el capital privado al Estado–, son uno de los elementos en esa relación.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La ley 25.250 estableció reducciones en los aportes patronales que las empresas realizan al Estado para cualquier tipo de empresa que contrate nuevos trabajadores. Esa reducción era de un tercio de los aportes (6%) y de la mitad en el caso de los hombres mayores a cuarenta y cinco años, las mujeres jefas de hogar y los menores de veinticuatro años.</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el plano político, la reducción de las contribuciones patronales se fundamentaba en un criterio de promoción del empleo: el argumento consistía en que si se reducen los costos laborales las empresas incrementarían la contratación de trabajadores, lográndose la anhelada reducción del desempleo.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La nueva economía institucional, inspirada en los presupuestos de la economía neoclásica, desarrolla un marco analítico para explicar las formas en que las instituciones y el cambio institucional afectan el desempeño de las economías. Una de las claves para el desarrollo está ligada a la reducción de los costos de transacciones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"DOI" : "10.2307/2234910", "ISBN" : "0521394163", "ISSN" : "07388950", "PMID" : "22250226", "author" : [ { "dropping-particle" : "", "family" : "North", "given" : "Douglas C.", "non-dropping-particle" : "", "parse-names" : false, "suffix" : "" } ], "container-title" : "Institutions, Institutional Change and Economic Performance", "id" : "ITEM-1", "issued" : { "date-parts" : [ [ "1990" ] ] }, "title" : "Institutions, Institutional Change and Economic Performance", "type" : "chapter" }, "uris" : [ "http://www.mendeley.com/documents/?uuid=dff4d9ab-13e9-4e8c-81d3-ad06b3f0c301" ] } ], "mendeley" : { "formattedCitation" : "(North, 1990)", "plainTextFormattedCitation" : "(North, 1990)", "previouslyFormattedCitation" : "(North, 1990)"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(North, 1990)</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En ese sentido, al establecer una relación antagónica entre el desarrollo –o la reducción del desempleo– y la intervención del Estado, la ley de 2000 se ajustaba a ese principio: reducción de contribuciones para todas las empresas, a la vez que el Estado perdía una importante fuente de recaudación. En los debates parlamentarios de esa ley la gramática de la nueva economía institucional estuvo presente, principalmente, en los discursos de los legisladores que apoyaron la iniciativa.</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La ley de 2004 sólo aplicó reducciones de aportes para las pequeñas y medianas empresas definidas como aquellas que tienen hasta ochenta trabajadores, siguiendo el criterio de la Organización Internacional del Trabajo.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lastRenderedPageBreak/>
        <w:tab/>
        <w:t xml:space="preserve">De los debates parlamentarios emergen tres posicionamientos al respecto. El primero de ellos es la posición oficial que restringía la reducción de contribuciones para las pymes y se basaba en el mismo argumento que la legislación que estaba derogando: la reducción de aportes patronales como una política de promoción del empleo. Aun así, se destacó que el crecimiento o decrecimiento del empleo no dependía de un ordenamiento jurídico sino que se basaba en el crecimiento de la economía, en un modelo económico y una defensa de la economía nacional. Este grupo de legisladores hizo énfasis, por un lado, en la necesidad de diferenciar a las empresas para que sólo un conjunto, las pequeñas y medianas, perciban el beneficio y, por otro, en el control ejercido por el Estado como autoridad regulatoria y fiscalizadora. Al mismo tiempo, dirigieron la crítica a la legislación en proceso de derogación que no diferenciaba entre empresas y no ha tenido efectos en la creación de empleo, entendiendo que el marco jurídico no puede ser en sí mismo, o por sí solo, generador de puestos de trabajo. </w:t>
      </w:r>
    </w:p>
    <w:p w:rsidR="00645EC2" w:rsidRPr="00645EC2" w:rsidRDefault="00645EC2" w:rsidP="00645EC2">
      <w:pPr>
        <w:tabs>
          <w:tab w:val="left" w:pos="284"/>
        </w:tabs>
        <w:spacing w:after="120" w:line="360" w:lineRule="auto"/>
        <w:jc w:val="both"/>
        <w:rPr>
          <w:rFonts w:ascii="Times New Roman" w:hAnsi="Times New Roman" w:cs="Times New Roman"/>
          <w:sz w:val="24"/>
          <w:szCs w:val="24"/>
        </w:rPr>
      </w:pPr>
      <w:r w:rsidRPr="00645EC2">
        <w:rPr>
          <w:rFonts w:ascii="Times New Roman" w:hAnsi="Times New Roman" w:cs="Times New Roman"/>
          <w:color w:val="000000"/>
          <w:sz w:val="24"/>
          <w:szCs w:val="24"/>
        </w:rPr>
        <w:tab/>
        <w:t xml:space="preserve">Un segundo grupo más reducido de legisladores propuso la eliminación de las reducciones de aportes patronales para cualquier tipo de empresa. El Libro Blanco de la Seguridad Social (2003) escrito por una comisión designada por el ejecutivo durante el gobierno interino de Eduardo Duhalde realizó un diagnóstico de la situación previsional y de protección social. Ese texto fue citado por los legisladores ya que allí se afirma que entre 1993 y 2000 se implementaron reducciones del orden del 50% en las contribuciones patronales, pasando del 33% sobre los salarios nominales al 17,8%, tendencia que se vio agudizada con la sanción de la Ley 25.250 de Reforma Laboral, la que preveía, para el caso de nuevos puestos de trabajo, una reducción adicional, de un 33% y 50%. Al respecto se afirmó, a partir de los cálculos de la Dirección Nacional de Políticas de la Seguridad Social, que en el período 1994-2002 las políticas de rebajas de contribuciones patronales representaron para el sistema una pérdida de recursos de 28.000 millones de pesos. </w:t>
      </w:r>
      <w:r w:rsidRPr="00645EC2">
        <w:rPr>
          <w:rFonts w:ascii="Times New Roman" w:hAnsi="Times New Roman" w:cs="Times New Roman"/>
          <w:sz w:val="24"/>
          <w:szCs w:val="24"/>
        </w:rPr>
        <w:t xml:space="preserve">En suma, estos legisladores argumentaron que dada la experiencia histórica la reducción de las contribuciones patronales no era una herramienta adecuada para la promoción del empleo, sino que se limitaba a reducir los costos laborales a las empresas a la vez que desfinanciaba el sistema de seguridad social.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el extremo opuesto se ubicó el tercer grupo de legisladores que proponían retornar a la redacción de la ley 25.250, es decir, extender la reducción de los aportes a todas las empresas, sin discriminar tamaño. De esa manera, el beneficio se extendería a todas ellas. El argumento de uno de ellos es llamativo: la reducción a las contribuciones patronales es ineficaz como herramienta de generación de empleo pero es preferible mantener la legislación sancionada en </w:t>
      </w:r>
      <w:r w:rsidRPr="00645EC2">
        <w:rPr>
          <w:rFonts w:ascii="Times New Roman" w:hAnsi="Times New Roman" w:cs="Times New Roman"/>
          <w:color w:val="000000"/>
          <w:sz w:val="24"/>
          <w:szCs w:val="24"/>
        </w:rPr>
        <w:lastRenderedPageBreak/>
        <w:t>el 2000 que no realiza distinción entre empresas, llamando a debatir este tema a fondo en el futuro.</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síntesis, mientras que la nueva economía institucional considera la reducción de los costos de transacciones una de las claves del desarrollo, la economía política institucional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"abstract" : "What role for the developmental state in the 21st century? What state structures and political institutions will best equip nations trying to enter the ranks of \u201cdeveloped\u201d countries? I offer two interconnected propositions. The first stresses continuity: the \u201cdevelopmental state\u201d will continue to play a crucial a role in economic growth and social transformation in the 21st century, just as it did in the latter half of the 20th century. The second is more radical: successful 21st century developmental states will have to depart fundamentally from existing models of the developmental state in order to achieve success. Growth strategies focused primarily on traditional capital accumulation will no longer suffice. State-society ties can no longer be focused narrowly on relations with capitalist elites.", "author" : [ { "dropping-particle" : "", "family" : "Evans", "given" : "Peter", "non-dropping-particle" : "", "parse-names" : false, "suffix" : "" } ], "container-title" : "CGPE Working Paper Series", "id" : "ITEM-1", "issue" : "4", "issued" : { "date-parts" : [ [ "2008" ] ] }, "number-of-pages" : "25", "title" : "In search of the 21 st century developmental state", "type" : "report" }, "uris" : [ "http://www.mendeley.com/documents/?uuid=df12085c-226a-4504-bec0-56ba6b1e855b" ] } ], "mendeley" : { "formattedCitation" : "(Evans, 2008)", "plainTextFormattedCitation" : "(Evans, 2008)", "previouslyFormattedCitation" : "(Evans, 2008)"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(Evans, 2008)</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por el contrario, establece que el desarrollo depende de las capacidades de recaudación del Estado y de distribución de los recursos. Siguiendo el sentido de la economía política institucional, la legislación de 2004 tendió a otorgarle más poder regulatorio al Estado.   </w:t>
      </w:r>
    </w:p>
    <w:p w:rsidR="00645EC2" w:rsidRPr="00645EC2" w:rsidRDefault="00645EC2" w:rsidP="00645EC2">
      <w:pPr>
        <w:tabs>
          <w:tab w:val="left" w:pos="284"/>
          <w:tab w:val="left" w:pos="3237"/>
        </w:tabs>
        <w:spacing w:before="120" w:after="120" w:line="360" w:lineRule="auto"/>
        <w:jc w:val="both"/>
        <w:rPr>
          <w:rFonts w:ascii="Times New Roman" w:hAnsi="Times New Roman" w:cs="Times New Roman"/>
          <w:sz w:val="24"/>
          <w:szCs w:val="24"/>
        </w:rPr>
      </w:pPr>
      <w:r w:rsidRPr="00645EC2">
        <w:rPr>
          <w:rFonts w:ascii="Times New Roman" w:hAnsi="Times New Roman" w:cs="Times New Roman"/>
          <w:sz w:val="24"/>
          <w:szCs w:val="24"/>
        </w:rPr>
        <w:tab/>
      </w:r>
    </w:p>
    <w:p w:rsidR="00645EC2" w:rsidRPr="00645EC2" w:rsidRDefault="00645EC2" w:rsidP="00645EC2">
      <w:pPr>
        <w:tabs>
          <w:tab w:val="left" w:pos="284"/>
        </w:tabs>
        <w:spacing w:after="120" w:line="360" w:lineRule="auto"/>
        <w:rPr>
          <w:rFonts w:ascii="Times New Roman" w:hAnsi="Times New Roman" w:cs="Times New Roman"/>
          <w:b/>
          <w:smallCaps/>
          <w:color w:val="000000"/>
          <w:sz w:val="24"/>
          <w:szCs w:val="24"/>
        </w:rPr>
      </w:pPr>
      <w:r w:rsidRPr="00645EC2">
        <w:rPr>
          <w:rFonts w:ascii="Times New Roman" w:hAnsi="Times New Roman" w:cs="Times New Roman"/>
          <w:b/>
          <w:smallCaps/>
          <w:color w:val="000000"/>
          <w:sz w:val="24"/>
          <w:szCs w:val="24"/>
        </w:rPr>
        <w:t>Regulación de la representatividad gremial empresaria</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La representación de los empresarios es un elemento clave del marco jurídico que regula las relaciones laborales en tanto establece los modos de reconocimiento de las entidades gremiales por parte del Estado.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La ley de 2004 estableció que el Ministerio de Trabajo se reservaba la facultad de definir, ante una discusión sobre la representatividad del sector patronal, cuál es la asociación que detenta la representatividad. Es decir, en un eventual conflicto entre asociaciones patronales que disputen la representatividad de su sector, es el Estado el que define cuál de ellas es la representante legítima. De esa forma no se fijaban criterios previos respecto a qué asociación tiene la legitimidad en la representación empresaria.</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Los legisladores opositores a la normativa argumentaron que la facultad que se otorgaba al Ministerio de Trabajo iba en contra del principio de representación basado en la mayoría, quedando en la discrecionalidad del organismo la decisión sobre este tema. Además, agregaron que la propuesta contradecía los criterios de la OIT y habilitaba a la fabricación arbitraria de la representación empresaria por parte del Ministerio de Trabajo. Por otro lado, se señaló la dificultad que tienen las pymes para participar en la representación empresaria. La propuesta de los legisladores fue que la norma se ajuste al criterio de mayor representatividad.</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Shmitter y Streeck (1999) se abocan al estudio de las asociaciones empresarias y a las formas de relación que establecen con el Estado y los sindicatos.</w:t>
      </w:r>
      <w:r w:rsidRPr="00645EC2">
        <w:rPr>
          <w:rFonts w:ascii="Times New Roman" w:hAnsi="Times New Roman" w:cs="Times New Roman"/>
          <w:sz w:val="24"/>
          <w:szCs w:val="24"/>
        </w:rPr>
        <w:t xml:space="preserve"> </w:t>
      </w:r>
      <w:r w:rsidRPr="00645EC2">
        <w:rPr>
          <w:rFonts w:ascii="Times New Roman" w:hAnsi="Times New Roman" w:cs="Times New Roman"/>
          <w:color w:val="000000"/>
          <w:sz w:val="24"/>
          <w:szCs w:val="24"/>
        </w:rPr>
        <w:t xml:space="preserve">Las propiedades organizacionales de las asociaciones son afectadas por las normas legales y las prácticas comunes en una sociedad y reforzadas por las autoridades públicas. Para cada país, es necesario describir la situación existente de las leyes formales, los precedentes jurídicos, la práctica administrativa y la prudencia política. Esa descripción debe tener en cuenta las condiciones bajo las cuales las asociaciones pueden fundarse y adquirir estatuto legal y las condiciones bajo las cuales el </w:t>
      </w:r>
      <w:r w:rsidRPr="00645EC2">
        <w:rPr>
          <w:rFonts w:ascii="Times New Roman" w:hAnsi="Times New Roman" w:cs="Times New Roman"/>
          <w:color w:val="000000"/>
          <w:sz w:val="24"/>
          <w:szCs w:val="24"/>
        </w:rPr>
        <w:lastRenderedPageBreak/>
        <w:t xml:space="preserve">reconocimiento de asociaciones rivales puede ser prevenido, siendo una asociación la “institución de mayor representatividad” y prevenir así la competencia.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Según los autores, en el Estado liberal mínimo, la necesidad de asociación de intereses empresarios formales es baja –porque la acción individual a través del mercado o a través de los canales electorales y parlamentarios tenderá a ser suficiente para asegurar que las autoridades públicas controlen los contratos y provean infraestructura de bienes públicos–, mientras que en el caso de un fuerte Estado intervencionista, las autoridades públicas deben promover activamente la realización de los beneficios y la acumulación de capital suficiente para asegurar la reproducción del sistema. Para este propósito, el Estado debe adquirir suficiente autonomía informacional y decisional para actuar incluso en contra de los intereses a corto plazo de los empresarios. Esa es la interpretación de Bonett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"Bonnet", "given" : "A.", "non-dropping-particle" : "", "parse-names" : false, "suffix" : "" } ], "container-title" : "Revista Herramienta", "id" : "ITEM-1", "issued" : { "date-parts" : [ [ "2011" ] ] }, "publisher-place" : "Buenos Aires", "title" : "Diciembre de 2001: la resistencia de los ajustados", "type" : "article-journal", "volume" : "46" }, "uris" : [ "http://www.mendeley.com/documents/?uuid=431f7872-f5de-452a-b0e9-a9c0054b69e3" ] } ], "mendeley" : { "formattedCitation" : "(Bonnet, 2011)", "manualFormatting" : "(2011)", "plainTextFormattedCitation" : "(Bonnet, 2011)", "previouslyFormattedCitation" : "(Bonnet, 2011)"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Pr="00645EC2">
        <w:rPr>
          <w:rFonts w:ascii="Times New Roman" w:hAnsi="Times New Roman" w:cs="Times New Roman"/>
          <w:noProof/>
          <w:color w:val="000000"/>
          <w:sz w:val="24"/>
          <w:szCs w:val="24"/>
        </w:rPr>
        <w:t>(2011)</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que propone pensar que en el período posterior a la crisis de 2001 se produjo la restauración del orden burgués, siendo el Estado el actor central de ese proceso.</w:t>
      </w:r>
      <w:bookmarkStart w:id="1" w:name="OLE_LINK17"/>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p>
    <w:bookmarkEnd w:id="1"/>
    <w:p w:rsidR="00645EC2" w:rsidRPr="00645EC2" w:rsidRDefault="00645EC2" w:rsidP="00645EC2">
      <w:pPr>
        <w:tabs>
          <w:tab w:val="left" w:pos="284"/>
        </w:tabs>
        <w:spacing w:after="120" w:line="360" w:lineRule="auto"/>
        <w:rPr>
          <w:rFonts w:ascii="Times New Roman" w:hAnsi="Times New Roman" w:cs="Times New Roman"/>
          <w:b/>
          <w:smallCaps/>
          <w:color w:val="000000"/>
          <w:sz w:val="24"/>
          <w:szCs w:val="24"/>
        </w:rPr>
      </w:pPr>
      <w:r w:rsidRPr="00645EC2">
        <w:rPr>
          <w:rFonts w:ascii="Times New Roman" w:hAnsi="Times New Roman" w:cs="Times New Roman"/>
          <w:b/>
          <w:smallCaps/>
          <w:color w:val="000000"/>
          <w:sz w:val="24"/>
          <w:szCs w:val="24"/>
        </w:rPr>
        <w:t>El empresariado en el debate</w:t>
      </w:r>
    </w:p>
    <w:p w:rsidR="00645EC2" w:rsidRPr="00645EC2" w:rsidRDefault="00645EC2" w:rsidP="00645EC2">
      <w:pPr>
        <w:tabs>
          <w:tab w:val="left" w:pos="284"/>
        </w:tabs>
        <w:spacing w:after="120" w:line="360" w:lineRule="auto"/>
        <w:jc w:val="both"/>
        <w:rPr>
          <w:rFonts w:ascii="Times New Roman" w:hAnsi="Times New Roman" w:cs="Times New Roman"/>
          <w:noProof/>
          <w:color w:val="000000"/>
          <w:sz w:val="24"/>
          <w:szCs w:val="24"/>
        </w:rPr>
      </w:pPr>
      <w:r w:rsidRPr="00645EC2">
        <w:rPr>
          <w:rFonts w:ascii="Times New Roman" w:hAnsi="Times New Roman" w:cs="Times New Roman"/>
          <w:color w:val="000000"/>
          <w:sz w:val="24"/>
          <w:szCs w:val="24"/>
        </w:rPr>
        <w:t xml:space="preserve"> </w:t>
      </w:r>
      <w:bookmarkStart w:id="2" w:name="OLE_LINK1"/>
      <w:bookmarkStart w:id="3" w:name="OLE_LINK2"/>
      <w:bookmarkStart w:id="4" w:name="OLE_LINK3"/>
      <w:r w:rsidRPr="00645EC2">
        <w:rPr>
          <w:rFonts w:ascii="Times New Roman" w:hAnsi="Times New Roman" w:cs="Times New Roman"/>
          <w:color w:val="000000"/>
          <w:sz w:val="24"/>
          <w:szCs w:val="24"/>
        </w:rPr>
        <w:tab/>
        <w:t xml:space="preserve">Los investigadores que se ocupan del análisis de la burguesía industrial argentina como actor político utilizan como observable la Unión Industrial Argentina, el actor institucionalizado que se proclama a sí mismo como el representante del sector. Sostienen que la UIA se constituye como la entidad empresarial más representativa de la burguesía industrial entendida como la fracción industrial de la clase dominante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"Gaggero", "given" : "Alejandro Javier", "non-dropping-particle" : "", "parse-names" : false, "suffix" : "" }, { "dropping-particle" : "", "family" : "Wainer", "given" : "Andr\u00e9s", "non-dropping-particle" : "", "parse-names" : false, "suffix" : "" } ], "container-title" : "Realidad Econ\u00f3mica", "id" : "ITEM-1", "issued" : { "date-parts" : [ [ "2006" ] ] }, "publisher-place" : "Buenos Aires", "title" : "Crisis de la convertibilidad: el rol de la UIA y su estrategia para el (tipo de) cambio", "type" : "article-journal", "volume" : "204" }, "uris" : [ "http://www.mendeley.com/documents/?uuid=766fda24-e00a-43a9-95a0-4d25cdeef4b8" ] } ], "mendeley" : { "formattedCitation" : "(Gaggero &amp; Wainer, 2006)", "manualFormatting" : "(Gaggero &amp; Wainer, 2006", "plainTextFormattedCitation" : "(Gaggero &amp; Wainer, 2006)", "previouslyFormattedCitation" : "(Gaggero &amp; Wainer, 2006)"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Pr="00645EC2">
        <w:rPr>
          <w:rFonts w:ascii="Times New Roman" w:hAnsi="Times New Roman" w:cs="Times New Roman"/>
          <w:noProof/>
          <w:color w:val="000000"/>
          <w:sz w:val="24"/>
          <w:szCs w:val="24"/>
        </w:rPr>
        <w:t>(Gaggero &amp; Wainer, 2006</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"Schvarzer", "given" : "Jorge", "non-dropping-particle" : "", "parse-names" : false, "suffix" : "" } ], "id" : "ITEM-1", "issued" : { "date-parts" : [ [ "1998" ] ] }, "publisher" : "AZ Editora", "publisher-place" : "Buenos Aires", "title" : "Implantaci\u00f3n de un Modelo Econ\u00f3mico. La experiencia argentina entre 1975 y el 2000", "type" : "book" }, "uris" : [ "http://www.mendeley.com/documents/?uuid=b99b1a29-86c7-4a6f-8afa-36ea7411731a" ] } ], "mendeley" : { "formattedCitation" : "(Schvarzer, 1998)", "manualFormatting" : "Schvarzer, 1998", "plainTextFormattedCitation" : "(Schvarzer, 1998)", "previouslyFormattedCitation" : "(Schvarzer, 1998)"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Pr="00645EC2">
        <w:rPr>
          <w:rFonts w:ascii="Times New Roman" w:hAnsi="Times New Roman" w:cs="Times New Roman"/>
          <w:noProof/>
          <w:color w:val="000000"/>
          <w:sz w:val="24"/>
          <w:szCs w:val="24"/>
        </w:rPr>
        <w:t>Schvarzer, 1998</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"Donatello", "given" : "Luis Miguel", "non-dropping-particle" : "", "parse-names" : false, "suffix" : "" } ], "container-title" : "Ponto de Vista", "id" : "ITEM-1", "issued" : { "date-parts" : [ [ "2013" ] ] }, "publisher-place" : "Rio de Janeiro", "title" : "Las \u00e9lites empresariales argentinas, su socializaci\u00f3n pol\u00edtica y un intento de esbozo comparativo con Brasil", "type" : "article-journal" }, "uris" : [ "http://www.mendeley.com/documents/?uuid=25c44329-5e6b-49ea-90b9-7afceb369de8" ] } ], "mendeley" : { "formattedCitation" : "(Donatello, 2013)", "manualFormatting" : "Donatello, 2013)", "plainTextFormattedCitation" : "(Donatello, 2013)", "previouslyFormattedCitation" : "(Donatello, 2013)"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Pr="00645EC2">
        <w:rPr>
          <w:rFonts w:ascii="Times New Roman" w:hAnsi="Times New Roman" w:cs="Times New Roman"/>
          <w:noProof/>
          <w:color w:val="000000"/>
          <w:sz w:val="24"/>
          <w:szCs w:val="24"/>
        </w:rPr>
        <w:t>Donatello, 2013)</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Siguiendo a estos autores, para comprender el posicionamiento del empresariado industrial respecto a ambas reformas laborales analizo el posicionamiento de la entidad y de sus miembros. </w:t>
      </w:r>
    </w:p>
    <w:bookmarkEnd w:id="2"/>
    <w:bookmarkEnd w:id="3"/>
    <w:bookmarkEnd w:id="4"/>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A comienzos de 1999 el empresariado se manifestaba preocupado el marco regulatorio de las relaciones laborales, en especial por la Ley 25.013 sancionada en el mes de septiembre del año anterior. Según los empresarios la ley generó un aumento de los costos laborales (de Mendiguren, LN.14-02-99), agudizó la recesión y provocó desocupación (Rial, LN.31-03-99).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Como corolario de ese diagnóstico manifestaron la necesidad de bajar los aportes patronales (Rattazzzi, LN.31-01-99) a través de la figura de empleos promovidos (Di Fiori-CAC, LN.23-02-99), consideraron la necesidad de flexibilizar la legislación laboral por ser demasiado rígida (Rial, LN.11-05-99) y porque impide la competencia (Di Fiori-CAC, LN.30-05-99) a la vez </w:t>
      </w:r>
      <w:r w:rsidRPr="00645EC2">
        <w:rPr>
          <w:rFonts w:ascii="Times New Roman" w:hAnsi="Times New Roman" w:cs="Times New Roman"/>
          <w:color w:val="000000"/>
          <w:sz w:val="24"/>
          <w:szCs w:val="24"/>
        </w:rPr>
        <w:lastRenderedPageBreak/>
        <w:t>que afirmaron que las formas de contratación más flexibles incentivan el empleo (Funes de Rioja, LN.12-06-99).</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Hacia mediados de 1999 el gobierno nacional menemista comenzó a dar indicios acerca de posibles modificaciones en la legislación laboral a lo que se sumaron declaraciones de la Alianza, partido que le disputaba la presidencia. En noviembre de ese año, el coordinador económico de la Alianza, que asumido el gobierno sería Ministro de Economía, sostenía la necesidad de flexibilizar las relaciones laborales, de ampliar el período de prueba a seis meses, reducir aportes patronales y modificar el régimen de negociación colectiva (Machinea, LN.05-11-99).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El empresariado continuaba ejerciendo presión para modificar la legislación laboral declarando la necesidad de realizarla para las Pymes y las grandes empresas al mismo tiempo (Videla, LN.06-11-99) con el objetivo de reducir el costo laboral sin afectar los salarios (Rial, LN.12-12-99). Asumido el nuevo gobierno el diez de diciembre de 1999 comenzó a esbozarse la nueva ley laboral que contendría elementos flexibilizadores con el fin de promover el empleo estable (LN.22-06-99). El proyecto fue bien recibido por los empresarios que definieron la reforma como seria, importante y profunda (Videla, LN.23-01-00) a la vez que indicaron la baja del riesgo a la hora de contratar personal a prueba y que la reforma no crearía más empleo sino que permitiría que los nuevos puestos sean más estables (Antonucci-CAC, LN.23-01-00). Aunque por otro lado sostuvieron que el hecho de tener más libertad para tomar trabajadores a prueba era bueno porque el empresario no quiere un compromiso estable (Fechino-Blipack, LN.23-01-00).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Al comenzar los debates del proyecto en el Congreso representantes de las Pymes cuestionaron la iniciativa y consideraron que no era prioritario para el sector contar con un proyecto de reforma laboral (Sisca-Apyme, LN.04-02-00). Representantes del gran empresariado consideraron que el proyecto no contemplaba dos puntos esenciales: la regionalización o descentralización de los convenios colectivos y el fin de la ultraactividad (Baglietto-CAC, LN.23-02-99). Aunque tiempo más tarde la descentralización de los convenios colectivos y la eliminación de la ultraactividad se incluirían en el proyecto lo que generó conformidad en representantes de la UIA que consideraron que la norma apuntaba a la modernización laboral, a la mejora de los costos laborales y de la competitividad, a la vez que minimizaban la posibilidad de que se genere empleo (Martínez, LN.06-04-00).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Continuando con la misma metodología de trabajo –relevar las declaraciones de la UIA en la prensa escrita– identifiqué dos momentos en el debate de la reforma laboral propuesta por el </w:t>
      </w:r>
      <w:r w:rsidRPr="00645EC2">
        <w:rPr>
          <w:rFonts w:ascii="Times New Roman" w:hAnsi="Times New Roman" w:cs="Times New Roman"/>
          <w:color w:val="000000"/>
          <w:sz w:val="24"/>
          <w:szCs w:val="24"/>
        </w:rPr>
        <w:lastRenderedPageBreak/>
        <w:t>Ejecutivo en 2004. Un primer momento se caracterizó por la incertidumbre de la entidad empresaria acerca del contenido del proyecto exigiendo participar en su redacción. Desde la entidad se criticó la iniciativa del gobierno nacional –aún sin conocer el texto– al afirmar que “</w:t>
      </w:r>
      <w:r w:rsidRPr="00645EC2">
        <w:rPr>
          <w:rFonts w:ascii="Times New Roman" w:hAnsi="Times New Roman" w:cs="Times New Roman"/>
          <w:i/>
          <w:color w:val="000000"/>
          <w:sz w:val="24"/>
          <w:szCs w:val="24"/>
        </w:rPr>
        <w:t>reducir el período de prueba y aumentar las indemnizaciones significará un fuerte aumento del costo laboral que desalentará el empleo formal</w:t>
      </w:r>
      <w:r w:rsidRPr="00645EC2">
        <w:rPr>
          <w:rFonts w:ascii="Times New Roman" w:hAnsi="Times New Roman" w:cs="Times New Roman"/>
          <w:color w:val="000000"/>
          <w:sz w:val="24"/>
          <w:szCs w:val="24"/>
        </w:rPr>
        <w:t xml:space="preserve">” (Funes de Rioja, LN.18-01-04).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El razonamiento de que la reducción de los costos laborales aumenta el empleo lo observé en las intervenciones de los legisladores –sea mediante la rebaja de aportes patronales o de las indemnizaciones por despido sin justa causa, sea por la extensión del período de prueba. También señalé que el aumento de productividad durante la década de la convertibilidad se dio por una mayor explotación de la fuerza de trabajo. En definitiva, el asesor de la entidad apunta al mantenimiento del ordenamiento laboral sancionado cuatro años antes. La noción de </w:t>
      </w:r>
      <w:r w:rsidRPr="00645EC2">
        <w:rPr>
          <w:rFonts w:ascii="Times New Roman" w:hAnsi="Times New Roman" w:cs="Times New Roman"/>
          <w:i/>
          <w:color w:val="000000"/>
          <w:sz w:val="24"/>
          <w:szCs w:val="24"/>
        </w:rPr>
        <w:t>costo laboral</w:t>
      </w:r>
      <w:r w:rsidRPr="00645EC2">
        <w:rPr>
          <w:rFonts w:ascii="Times New Roman" w:hAnsi="Times New Roman" w:cs="Times New Roman"/>
          <w:color w:val="000000"/>
          <w:sz w:val="24"/>
          <w:szCs w:val="24"/>
        </w:rPr>
        <w:t xml:space="preserve"> se asume como variable de la contratación, de manera que reduciendo el costo de la mano de obra aumenta el empleo. A partir de los datos empíricos se constata que esa reducción no genera nuevos puestos de trabajo, afirmación incluso presente en los discursos de los legisladores del 2000. Presentado así, el empresario aparece como la parte débil de la relación con el Estado y, principalmente, con los sindicatos.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Por otro lado el representante de la entidad se mostró partidario de que se permitiesen “</w:t>
      </w:r>
      <w:r w:rsidRPr="00645EC2">
        <w:rPr>
          <w:rFonts w:ascii="Times New Roman" w:hAnsi="Times New Roman" w:cs="Times New Roman"/>
          <w:i/>
          <w:color w:val="000000"/>
          <w:sz w:val="24"/>
          <w:szCs w:val="24"/>
        </w:rPr>
        <w:t xml:space="preserve">contratos temporales o contratos permanentes reduciendo costos indemnizatorios y cargas sociales” </w:t>
      </w:r>
      <w:r w:rsidRPr="00645EC2">
        <w:rPr>
          <w:rFonts w:ascii="Times New Roman" w:hAnsi="Times New Roman" w:cs="Times New Roman"/>
          <w:color w:val="000000"/>
          <w:sz w:val="24"/>
          <w:szCs w:val="24"/>
        </w:rPr>
        <w:t xml:space="preserve">(Funes de Rioja, LN.18-01-04).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La UIA también emitió un comunicado en el que destacó la necesidad de la derogación de la Ley 25.250, en consonancia con el rechazo generalizado respecto a la forma en que se aprobó esa norma, pero también fijó la necesidad de un consenso (LN.24-01-04).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Tras ese posicionamiento, en los primeros días de febrero, dirigentes de la entidad fueron recibidos por el Ministro de Trabajo. Mientras que el presidente de la UIA señaló la necesidad de estudiar el texto con su asesor en materia laboral, el vicepresidente primero advirtió que no se podía ignorar al empresariado en esa discusión. Otro representante de la entidad sostuvo que hasta el momento no se conocía el borrador de la ley (LN.06-02-04).</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El reclamo de la UIA en las discusiones previas a que el proyecto sea remitido al Congreso fue sin dudas exitoso, dando lugar a un segundo momento del debate que se inició el 11 de febrero cuando el Ministro de Trabajo en declaraciones a la prensa dijo: “</w:t>
      </w:r>
      <w:r w:rsidRPr="00645EC2">
        <w:rPr>
          <w:rFonts w:ascii="Times New Roman" w:hAnsi="Times New Roman" w:cs="Times New Roman"/>
          <w:i/>
          <w:color w:val="000000"/>
          <w:sz w:val="24"/>
          <w:szCs w:val="24"/>
        </w:rPr>
        <w:t>calculen que hasta anoche mantuvimos reuniones con la UIA y que la terminamos de redactar esta misma tarde</w:t>
      </w:r>
      <w:r w:rsidRPr="00645EC2">
        <w:rPr>
          <w:rFonts w:ascii="Times New Roman" w:hAnsi="Times New Roman" w:cs="Times New Roman"/>
          <w:color w:val="000000"/>
          <w:sz w:val="24"/>
          <w:szCs w:val="24"/>
        </w:rPr>
        <w:t xml:space="preserve">” (LN.11-02-04). Esa misma noche el gobierno envió el proyecto a la Cámara de Senadores. Tras </w:t>
      </w:r>
      <w:r w:rsidRPr="00645EC2">
        <w:rPr>
          <w:rFonts w:ascii="Times New Roman" w:hAnsi="Times New Roman" w:cs="Times New Roman"/>
          <w:color w:val="000000"/>
          <w:sz w:val="24"/>
          <w:szCs w:val="24"/>
        </w:rPr>
        <w:lastRenderedPageBreak/>
        <w:t>participar en la Comisión de Trabajo y Previsión del Senado el presidente de la entidad fabril advirtió que ciertos aspectos de la ley pueden “</w:t>
      </w:r>
      <w:r w:rsidRPr="00645EC2">
        <w:rPr>
          <w:rFonts w:ascii="Times New Roman" w:hAnsi="Times New Roman" w:cs="Times New Roman"/>
          <w:i/>
          <w:color w:val="000000"/>
          <w:sz w:val="24"/>
          <w:szCs w:val="24"/>
        </w:rPr>
        <w:t>traer más litigiosidad</w:t>
      </w:r>
      <w:r w:rsidRPr="00645EC2">
        <w:rPr>
          <w:rFonts w:ascii="Times New Roman" w:hAnsi="Times New Roman" w:cs="Times New Roman"/>
          <w:color w:val="000000"/>
          <w:sz w:val="24"/>
          <w:szCs w:val="24"/>
        </w:rPr>
        <w:t>” y pidió “</w:t>
      </w:r>
      <w:r w:rsidRPr="00645EC2">
        <w:rPr>
          <w:rFonts w:ascii="Times New Roman" w:hAnsi="Times New Roman" w:cs="Times New Roman"/>
          <w:i/>
          <w:color w:val="000000"/>
          <w:sz w:val="24"/>
          <w:szCs w:val="24"/>
        </w:rPr>
        <w:t>garantía del debido proceso</w:t>
      </w:r>
      <w:r w:rsidRPr="00645EC2">
        <w:rPr>
          <w:rFonts w:ascii="Times New Roman" w:hAnsi="Times New Roman" w:cs="Times New Roman"/>
          <w:color w:val="000000"/>
          <w:sz w:val="24"/>
          <w:szCs w:val="24"/>
        </w:rPr>
        <w:t>” frente a las inspecciones que contempla el proyecto. Respecto a ese punto la entidad precisó que eventuales clausuras, a causa de la amplitud de la ley en materia de inspección laboral, puede terminar “</w:t>
      </w:r>
      <w:r w:rsidRPr="00645EC2">
        <w:rPr>
          <w:rFonts w:ascii="Times New Roman" w:hAnsi="Times New Roman" w:cs="Times New Roman"/>
          <w:i/>
          <w:color w:val="000000"/>
          <w:sz w:val="24"/>
          <w:szCs w:val="24"/>
        </w:rPr>
        <w:t>sacando a empresas del mercado</w:t>
      </w:r>
      <w:r w:rsidRPr="00645EC2">
        <w:rPr>
          <w:rFonts w:ascii="Times New Roman" w:hAnsi="Times New Roman" w:cs="Times New Roman"/>
          <w:color w:val="000000"/>
          <w:sz w:val="24"/>
          <w:szCs w:val="24"/>
        </w:rPr>
        <w:t>” (LN.-17-02-04). La cuestión de la litigiosidad que estimularía la nueva norma fue enfatizada por asesor de la entidad en materia laboral al definirla como de “</w:t>
      </w:r>
      <w:r w:rsidRPr="00645EC2">
        <w:rPr>
          <w:rFonts w:ascii="Times New Roman" w:hAnsi="Times New Roman" w:cs="Times New Roman"/>
          <w:i/>
          <w:color w:val="000000"/>
          <w:sz w:val="24"/>
          <w:szCs w:val="24"/>
        </w:rPr>
        <w:t>alta litigiosidad</w:t>
      </w:r>
      <w:r w:rsidRPr="00645EC2">
        <w:rPr>
          <w:rFonts w:ascii="Times New Roman" w:hAnsi="Times New Roman" w:cs="Times New Roman"/>
          <w:color w:val="000000"/>
          <w:sz w:val="24"/>
          <w:szCs w:val="24"/>
        </w:rPr>
        <w:t>”. Respecto al articulado específico de la ley, el presidente pidió mantener la caída de la ultraactividad y establecer mejores mecanismos de simplificación registral (LN.18-02-04).</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Tras la sanción de la ley en el Senado la UIA emitió un comunicado en el que consideró que la nueva normativa tendería a encarecer la contratación de mano de obra, especialmente para las Pymes. A su vez la ultraactividad y la negociación colectiva de ámbito mayor perjudicarían al desarrollo regional, donde las Pymes tienen mayor incidencia (LN.26-02-04). Sancionada la ley el Diputados el empresariado señaló, en relación al nivel de la negociación colectiva, que la ley afectaría la libertad y autonomía de las partes para discutir y el retorno de la ultraactividad significaría una suba de costos para las empresas medianas y grandes. A su vez consideraron que el problema de la seguridad social no está en la reducción de los aportes patronales. (LN.07-03-04)</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Las declaraciones del empresariado respecto a una y otra ley muestran una continuidad en relación al modelo interpretativo que proponen sobre las relaciones laborales. De manera general, la noción de </w:t>
      </w:r>
      <w:r w:rsidRPr="00645EC2">
        <w:rPr>
          <w:rFonts w:ascii="Times New Roman" w:hAnsi="Times New Roman" w:cs="Times New Roman"/>
          <w:i/>
          <w:color w:val="000000"/>
          <w:sz w:val="24"/>
          <w:szCs w:val="24"/>
        </w:rPr>
        <w:t>costo laboral</w:t>
      </w:r>
      <w:r w:rsidRPr="00645EC2">
        <w:rPr>
          <w:rFonts w:ascii="Times New Roman" w:hAnsi="Times New Roman" w:cs="Times New Roman"/>
          <w:color w:val="000000"/>
          <w:sz w:val="24"/>
          <w:szCs w:val="24"/>
        </w:rPr>
        <w:t xml:space="preserve"> se asume como causa de la desocupación, de la falta de inversión e incluso de la recesión económica iniciada a fines de siglo pasado. Como consecuencia se asume como necesario reducir los aportes patronales a través del empleo promovido.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La noción de </w:t>
      </w:r>
      <w:r w:rsidRPr="00645EC2">
        <w:rPr>
          <w:rFonts w:ascii="Times New Roman" w:hAnsi="Times New Roman" w:cs="Times New Roman"/>
          <w:i/>
          <w:color w:val="000000"/>
          <w:sz w:val="24"/>
          <w:szCs w:val="24"/>
        </w:rPr>
        <w:t>riesgo</w:t>
      </w:r>
      <w:r w:rsidRPr="00645EC2">
        <w:rPr>
          <w:rFonts w:ascii="Times New Roman" w:hAnsi="Times New Roman" w:cs="Times New Roman"/>
          <w:color w:val="000000"/>
          <w:sz w:val="24"/>
          <w:szCs w:val="24"/>
        </w:rPr>
        <w:t xml:space="preserve"> es entendida desde la perspectiva del capital, siendo los trabajadores la fuente del riesgo y los empresarios representados como el lado pasivo y débil de la relación laboral (Vasilachis, 2007, 159). En ese mismo sentido, la noción de </w:t>
      </w:r>
      <w:r w:rsidRPr="00645EC2">
        <w:rPr>
          <w:rFonts w:ascii="Times New Roman" w:hAnsi="Times New Roman" w:cs="Times New Roman"/>
          <w:i/>
          <w:color w:val="000000"/>
          <w:sz w:val="24"/>
          <w:szCs w:val="24"/>
        </w:rPr>
        <w:t>litigiosidad</w:t>
      </w:r>
      <w:r w:rsidRPr="00645EC2">
        <w:rPr>
          <w:rFonts w:ascii="Times New Roman" w:hAnsi="Times New Roman" w:cs="Times New Roman"/>
          <w:color w:val="000000"/>
          <w:sz w:val="24"/>
          <w:szCs w:val="24"/>
        </w:rPr>
        <w:t xml:space="preserve"> apunta a enfatizar el riesgo que corre el empresario en la relación laboral y la prolongación del período de prueba reduce el riesgo que asume el empleador. A la inversa, mediante la reducción del periodo de prueba se aumenta el riesgo que asume el empleador o, en otros términos, aumenta el costo laboral. El mismo efecto tiene el aumento de las indemnizaciones. En síntesis, sostienen en un sentido causal que el aumento del costo laboral desalienta el empleo formal; por el contrario, la reducción de los costos aumenta el empleo.</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lastRenderedPageBreak/>
        <w:tab/>
        <w:t xml:space="preserve">A través de la </w:t>
      </w:r>
      <w:r w:rsidRPr="00645EC2">
        <w:rPr>
          <w:rFonts w:ascii="Times New Roman" w:hAnsi="Times New Roman" w:cs="Times New Roman"/>
          <w:i/>
          <w:color w:val="000000"/>
          <w:sz w:val="24"/>
          <w:szCs w:val="24"/>
        </w:rPr>
        <w:t>flexibilización</w:t>
      </w:r>
      <w:r w:rsidRPr="00645EC2">
        <w:rPr>
          <w:rFonts w:ascii="Times New Roman" w:hAnsi="Times New Roman" w:cs="Times New Roman"/>
          <w:color w:val="000000"/>
          <w:sz w:val="24"/>
          <w:szCs w:val="24"/>
        </w:rPr>
        <w:t xml:space="preserve"> sería posible promover la competencia –impedida por la rigidez de las relaciones laborales– e incentivar el empleo estable. La noción de flexibilización está unida a la de </w:t>
      </w:r>
      <w:r w:rsidRPr="00645EC2">
        <w:rPr>
          <w:rFonts w:ascii="Times New Roman" w:hAnsi="Times New Roman" w:cs="Times New Roman"/>
          <w:i/>
          <w:color w:val="000000"/>
          <w:sz w:val="24"/>
          <w:szCs w:val="24"/>
        </w:rPr>
        <w:t>modernización</w:t>
      </w:r>
      <w:r w:rsidRPr="00645EC2">
        <w:rPr>
          <w:rFonts w:ascii="Times New Roman" w:hAnsi="Times New Roman" w:cs="Times New Roman"/>
          <w:color w:val="000000"/>
          <w:sz w:val="24"/>
          <w:szCs w:val="24"/>
        </w:rPr>
        <w:t xml:space="preserve"> de las relaciones laborales presente en el ámbito internacional que se establece como el medio para crear </w:t>
      </w:r>
      <w:r w:rsidRPr="00645EC2">
        <w:rPr>
          <w:rFonts w:ascii="Times New Roman" w:hAnsi="Times New Roman" w:cs="Times New Roman"/>
          <w:i/>
          <w:color w:val="000000"/>
          <w:sz w:val="24"/>
          <w:szCs w:val="24"/>
        </w:rPr>
        <w:t>empleo formal</w:t>
      </w:r>
      <w:r w:rsidRPr="00645EC2">
        <w:rPr>
          <w:rFonts w:ascii="Times New Roman" w:hAnsi="Times New Roman" w:cs="Times New Roman"/>
          <w:color w:val="000000"/>
          <w:sz w:val="24"/>
          <w:szCs w:val="24"/>
        </w:rPr>
        <w:t>.</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 A partir de lo analizado queda en evidencia la continuidad del modelo interpretativo de las relaciones laborales que proponen los representantes del capital respecto a dos leyes laborales en dos momentos diferenciados. A pesar de esa continuidad es posible identificar dos estrategias diferenciadas desplegadas en cada proceso de debate con el objetivo de incidir en la redacción del texto final. La estrategia desplegada durante el año 1999 y 2000 fue ofensiva –en tanto el empresariado reclamaba la modificación de la legislación laboral– y de alta afinidad con el Poder Ejecutivo y los legisladores de ambas cámaras. En definitiva, las propuestas de los representantes del sector industrial estuvieron en consonancia con la redacción final del texto normativo. Por el contrario, la estrategia asumida en 2004 fue defensiva en tanto los empresarios no reclamaban una modificación de la legislación, mientras que el Poder Ejecutivo tomó la iniciativa. Por otro lado, las declaraciones de los empresarios evidencian una menor afinidad con la propuesta del gobierno nacional y con los argumentos de los legisladores que en la ley de 2000. En definitiva, esa continuidad presente en el modelo interpretativo de las relaciones laborales propuesto por el empresariado no tiene su correlato en los miembros del Poder Ejecutivo y Legislativo. No es el objetivo de este trabajo preguntarse si eso se debe a que la dirección del Estado asume políticas contrarias a los intereses del gran capital o si garantiza el reordenamiento necesario para impulsar un nuevo proceso de acumulación de capital.</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La relación que se establece entre cambio de legislación y aumento del empleo no es unívoca. Algunas declaraciones apuntan a definir que la nueva legislación tiene el objetivo de promover el empleo, aunque otras afirman que la reforma por sí misma no crearía empleo.</w:t>
      </w:r>
    </w:p>
    <w:p w:rsidR="00645EC2" w:rsidRPr="00645EC2" w:rsidRDefault="00645EC2" w:rsidP="00645EC2">
      <w:pPr>
        <w:spacing w:after="120" w:line="360" w:lineRule="auto"/>
        <w:jc w:val="both"/>
        <w:rPr>
          <w:rFonts w:ascii="Times New Roman" w:hAnsi="Times New Roman" w:cs="Times New Roman"/>
          <w:b/>
          <w:color w:val="000000"/>
          <w:sz w:val="24"/>
          <w:szCs w:val="24"/>
        </w:rPr>
      </w:pPr>
      <w:r w:rsidRPr="00645EC2">
        <w:rPr>
          <w:rFonts w:ascii="Times New Roman" w:hAnsi="Times New Roman" w:cs="Times New Roman"/>
          <w:color w:val="000000"/>
          <w:sz w:val="24"/>
          <w:szCs w:val="24"/>
        </w:rPr>
        <w:br/>
      </w:r>
      <w:r w:rsidRPr="00645EC2">
        <w:rPr>
          <w:rFonts w:ascii="Times New Roman" w:hAnsi="Times New Roman" w:cs="Times New Roman"/>
          <w:b/>
          <w:smallCaps/>
          <w:color w:val="000000"/>
          <w:sz w:val="24"/>
          <w:szCs w:val="24"/>
        </w:rPr>
        <w:t>Reflexiones finales</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este artículo analicé dos leyes laborales correspondientes a dos momentos políticos y económicos, mediados por la crisis de 2001. El interés en analizar la ley de 2000 se fundamenta al entenderla como la culminación de un proceso de reformas de flexibilización laboral iniciada a principios de la década del noventa y en consonancia con los discursos de cuño neoliberal. La relación entre el texto normativo, las teorías de las instituciones y los discursos de legisladores y empresarios evidencian un modelo interpretativo de la realidad unificado. La ley de 2004 es </w:t>
      </w:r>
      <w:r w:rsidRPr="00645EC2">
        <w:rPr>
          <w:rFonts w:ascii="Times New Roman" w:hAnsi="Times New Roman" w:cs="Times New Roman"/>
          <w:color w:val="000000"/>
          <w:sz w:val="24"/>
          <w:szCs w:val="24"/>
        </w:rPr>
        <w:lastRenderedPageBreak/>
        <w:t xml:space="preserve">entendida como el inicio de un proceso de contrarreforma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"Danani", "given" : "Claudia", "non-dropping-particle" : "", "parse-names" : false, "suffix" : "" } ], "container-title" : "Revista Ciencias Sociales", "id" : "ITEM-1", "issued" : { "date-parts" : [ [ "2012" ] ] }, "publisher-place" : "Buenos Aires", "title" : "La otra d\u00e9cada de regormas de las pol\u00edticas sociales y laborales, 2002-2010", "type" : "article-journal" }, "uris" : [ "http://www.mendeley.com/documents/?uuid=cff7de82-a68a-44e1-838d-e7513975fd41" ] } ], "mendeley" : { "formattedCitation" : "(Danani, 2012)", "plainTextFormattedCitation" : "(Danani, 2012)", "previouslyFormattedCitation" : "(Danani, 2012)"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(Danani, 2012)</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aunque como se demostró presenta continuidades respecto a la legislación sancionada cuatro años antes.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Al analizar los puntos principales de la regulación de las relaciones laborales y los discursos de los legisladores de 2000 emergió como evidente el modelo teórico de la nueva economía institucional. La noción de reducción del costo de las transacciones de la nueva economía institucional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"DOI" : "10.2307/2234910", "ISBN" : "0521394163", "ISSN" : "07388950", "PMID" : "22250226", "author" : [ { "dropping-particle" : "", "family" : "North", "given" : "Douglas C.", "non-dropping-particle" : "", "parse-names" : false, "suffix" : "" } ], "container-title" : "Institutions, Institutional Change and Economic Performance", "id" : "ITEM-1", "issued" : { "date-parts" : [ [ "1990" ] ] }, "title" : "Institutions, Institutional Change and Economic Performance", "type" : "chapter" }, "uris" : [ "http://www.mendeley.com/documents/?uuid=dff4d9ab-13e9-4e8c-81d3-ad06b3f0c301" ] } ], "mendeley" : { "formattedCitation" : "(North, 1990)", "plainTextFormattedCitation" : "(North, 1990)", "previouslyFormattedCitation" : "(North, 1990)"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(North, 1990)</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y la concepción de la recaudación del Estado como un índice de su poder coercitivo que desestimula el desarrollo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"ISBN" : "9780521027922", "abstract" : "Should government's power to tax be limited? The events of the late 1970s in the wake of California's Proposition 13 brought this question very sharply into popular focus. Whether the power to tax should be restricted, and if so how, are issues of immediate policy significance. Providing a serious analysis of these issues, the authors of this 1980 book offer an approach to the understanding and evaluation of the fiscal system, one that yields profound implications. The central question becomes: how much 'power to tax' would the citizen voluntarily grant to government as a party to some initial social contract devising a fiscal constitution? Those in office are assumed to exploit the power assigned to them to the maximum possible extent: government is modelled as 'revenue-maximizing Leviathan'. Armed with such a model, the authors proceed to trace out the restrictions on the power to tax that might be expected to emerge from the citizen's constitutional deliberations.", "author" : [ { "dropping-particle" : "", "family" : "Buchanan", "given" : "James M", "non-dropping-particle" : "", "parse-names" : false, "suffix" : "" } ], "container-title" : "Power", "id" : "ITEM-1", "issued" : { "date-parts" : [ [ "1980" ] ] }, "number-of-pages" : "225", "title" : "The Power to Tax: Analytical Foundations of a Fiscal Constitution,", "type" : "book", "volume" : "9" }, "uris" : [ "http://www.mendeley.com/documents/?uuid=8a684d82-38cb-4782-9d3c-26b829a0773d" ] } ], "mendeley" : { "formattedCitation" : "(Buchanan, 1980)", "plainTextFormattedCitation" : "(Buchanan, 1980)", "previouslyFormattedCitation" : "(Buchanan, 1980)"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(Buchanan, 1980)</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está presente en la legislación de 2000 al promover la reducción de los aportes patronales y extender el período de prueba. Ambas medidas tienden a beneficiar al sector empresario, tanto a través de la disminución de las transferencias al Estado como mediante el abaratamiento del despido. Como consecuencia, el Estado pierde capacidad recaudatoria –función central para conducir el desarrollo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"abstract" : "What role for the developmental state in the 21st century? What state structures and political institutions will best equip nations trying to enter the ranks of \u201cdeveloped\u201d countries? I offer two interconnected propositions. The first stresses continuity: the \u201cdevelopmental state\u201d will continue to play a crucial a role in economic growth and social transformation in the 21st century, just as it did in the latter half of the 20th century. The second is more radical: successful 21st century developmental states will have to depart fundamentally from existing models of the developmental state in order to achieve success. Growth strategies focused primarily on traditional capital accumulation will no longer suffice. State-society ties can no longer be focused narrowly on relations with capitalist elites.", "author" : [ { "dropping-particle" : "", "family" : "Evans", "given" : "Peter", "non-dropping-particle" : "", "parse-names" : false, "suffix" : "" } ], "container-title" : "CGPE Working Paper Series", "id" : "ITEM-1", "issue" : "4", "issued" : { "date-parts" : [ [ "2008" ] ] }, "number-of-pages" : "25", "title" : "In search of the 21 st century developmental state", "type" : "report" }, "uris" : [ "http://www.mendeley.com/documents/?uuid=df12085c-226a-4504-bec0-56ba6b1e855b" ] } ], "mendeley" : { "formattedCitation" : "(Evans, 2008)", "plainTextFormattedCitation" : "(Evans, 2008)", "previouslyFormattedCitation" : "(Evans, 2008)"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(Evans, 2008)</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y los trabajadores pierden estabilidad laboral al facilitarse la rotación de mano de obra. Hacia fines de la década del noventa, la situación laboral estaba tan deteriorada que la ley más que precarizar formalizó esa precariedad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"Palomino", "given" : "H\u00e9ctor", "non-dropping-particle" : "", "parse-names" : false, "suffix" : "" } ], "container-title" : "Veredas. Revista del Pensamiento Sociol\u00f3gico", "id" : "ITEM-1", "issued" : { "date-parts" : [ [ "2007" ] ] }, "page" : "153-179", "publisher-place" : "Mexico", "title" : "\u00bf Por qu\u00e9 la precariedad no es un fen\u00f3meno inevitable del capitalismo contempor\u00e1neo?", "type" : "article-journal", "volume" : "16" }, "uris" : [ "http://www.mendeley.com/documents/?uuid=bac8cdf6-3cec-46b1-a48c-105d7f3992cf" ] } ], "mendeley" : { "formattedCitation" : "(Palomino, 2007)", "plainTextFormattedCitation" : "(Palomino, 2007)", "previouslyFormattedCitation" : "(Palomino, 2007)"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(Palomino, 2007)</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El presupuesto de que las relaciones laborales se establecen entre sujetos individuales capaces de maximizar su utilidad o beneficio individual propio de la teoría económica neoclásica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"Screpanti", "given" : "Ernesto", "non-dropping-particle" : "", "parse-names" : false, "suffix" : "" }, { "dropping-particle" : "", "family" : "Zamagni", "given" : "Stefano", "non-dropping-particle" : "", "parse-names" : false, "suffix" : "" } ], "id" : "ITEM-1", "issued" : { "date-parts" : [ [ "1997" ] ] }, "number-of-pages" : "442", "publisher" : "Ariel", "publisher-place" : "Barcelona", "title" : "Panorama de historia del pensamiento econ\u00f3mico", "type" : "book" }, "uris" : [ "http://www.mendeley.com/documents/?uuid=c5d78d9c-44d6-4c6e-b30e-8fafddf99a0a" ] } ], "mendeley" : { "formattedCitation" : "(Screpanti &amp; Zamagni, 1997)", "plainTextFormattedCitation" : "(Screpanti &amp; Zamagni, 1997)", "previouslyFormattedCitation" : "(Screpanti &amp; Zamagni, 1997)"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(Screpanti &amp; Zamagni, 1997)</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es recuperado por la nueva economía institucional que entiende que los agentes económicos son –o deben ser– unidades mínimas de organización como las empresas. Los sujetos colectivos, como los sindicatos, quedan desplazados por el individuo, o grupos de baja agregación, como objeto de la explicación. Este presupuesto, condensado bajo la denominación de individualismo metodológico, es lo que guía la propuesta de ubicar la negociación colectiva en el nivel de las empresas. A esto se agrega la caída de la ultraactividad como medio de debilitar a los sindicatos en las negociaciones colectivas a pesar que éstas han sido utilizadas en los noventa como un instrumento de legitimación de la flexibilización laboral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"Palomino, H. Trajtemberg", "given" : "D", "non-dropping-particle" : "", "parse-names" : false, "suffix" : "" } ], "container-title" : "Revista de trabajo del Ministerio de trabajo, empleo y seguridad social", "id" : "ITEM-1", "issue" : "3", "issued" : { "date-parts" : [ [ "2006" ] ] }, "page" : "47-68", "title" : "Una nueva din\u00e1mica de las relaciones laborales y la negociaci\u00f3n colectiva en la Argentina", "type" : "article-journal" }, "uris" : [ "http://www.mendeley.com/documents/?uuid=4d07f253-2fae-450b-96dc-f7a6fe0d964e" ] } ], "mendeley" : { "formattedCitation" : "(Palomino, H. Trajtemberg, 2006)", "plainTextFormattedCitation" : "(Palomino, H. Trajtemberg, 2006)", "previouslyFormattedCitation" : "(Palomino, H. Trajtemberg, 2006)"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(Palomino, H. Trajtemberg, 2006)</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Por un lado, entonces, la propuesta del artículo fue evidenciar la afinidad entre el texto normativo y la propuesta teórica de la nueva economía institucional. Por otro, del análisis del discurso de los legisladores y de los empresarios emergió como evidente la convergencia interpretativa sobre las relaciones laborales. El argumento basado en una relación causal entre la disminución del costo laboral y la creación del empleo se constituyó como el pilar fundamental que permitió avalar los principales artículos de la legislación. Como quedó demostrado en las discusiones del 2004, la realidad empírica demuestra que los cambios regulatorios del mercado de trabajo no influyeron sobre los niveles ocupacionales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"Beccaria", "given" : "Luis", "non-dropping-particle" : "", "parse-names" : false, "suffix" : "" } ], "container-title" : "Bolet\u00edn Informativo Techint", "id" : "ITEM-1", "issued" : { "date-parts" : [ [ "2003" ] ] }, "title" : "Las vicisitudes del mercado laboral argentino luego de las reformas", "type" : "article-journal", "volume" : "312" }, "uris" : [ "http://www.mendeley.com/documents/?uuid=ed925232-02f2-46d6-8edd-accdd18065eb" ] } ], "mendeley" : { "formattedCitation" : "(Beccaria, 2003)", "plainTextFormattedCitation" : "(Beccaria, 2003)", "previouslyFormattedCitation" : "(Beccaria, 2003)"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 xml:space="preserve">(Beccaria, </w:t>
      </w:r>
      <w:r w:rsidR="00EB60A0" w:rsidRPr="00EB60A0">
        <w:rPr>
          <w:rFonts w:ascii="Times New Roman" w:hAnsi="Times New Roman" w:cs="Times New Roman"/>
          <w:noProof/>
          <w:color w:val="000000"/>
          <w:sz w:val="24"/>
          <w:szCs w:val="24"/>
        </w:rPr>
        <w:lastRenderedPageBreak/>
        <w:t>2003)</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Ahora bien, sí permitieron una mayor acumulación de capital a través de una mayor tasa de explotación de la fuerza de trabajo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"ISBN" : "950-9231-79-7", "abstract" : "E l modelo de industrializaci\u00f3n sustitutiva de importaciones que caracteriz\u00f3 a las econom\u00edas latinoamericanas a partir de la Gran Depresi\u00f3n de los a\u00f1os treinta impuls\u00f3 un proceso de desarrollo econ\u00f3mico e industrial que en la mayor\u00eda de los pa\u00edses se agot\u00f3 en la d\u00e9cada del ochenta mientras que en otros ya hab\u00eda comenzado bastante antes. Fue precisamente esta d\u00e9cada, signada por la crisis de la deuda y la implementaci\u00f3n de sucesivos planes de ajuste, la que se caracteriz\u00f3 por un radical cuestionamiento del papel regulador que el estado hab\u00eda desempe\u00f1ado en el per\u00edodo precedente. Dicha tendencia se acentu\u00f3 en los noventa, cuando los planes estabilizadores de \"segunda generaci\u00f3n\" y las privatizaciones de las empresas p\u00fablicas se convirtieron en los pilares de las pol\u00edticas econ\u00f3micas implementadas por la mayor\u00eda de los gobiernos de la regi\u00f3n. Inspirado en las formulaciones del modelo neoliberal propuesto por el Banco Mundial y en la visi\u00f3n del Fondo Monetario Internacional relativa a la estabilizaci\u00f3n econ\u00f3mica en el corto plazo, el Consenso de Washington adjudic\u00f3 al estado la responsabilidad misma de la crisis. En consecuencia, el enfoque neoliberal hizo de la deserci\u00f3n del estado en el proceso econ\u00f3mico una de las premisas centrales del esperado crecimiento y de la estabilizaci\u00f3n econ\u00f3mica en la regi\u00f3n. La apertura muchas veces indiscriminada de los mercados, la desregulaci\u00f3n financiera y la dr\u00e1stica reducci\u00f3n del gasto p\u00fablico fueron algunas de las medidas que, en materia econ\u00f3mica, caracterizaron el accionar de los gobiernos durante la d\u00e9cada de los noventa. Sin embargo, las pol\u00edticas inspiradas en dicho consenso no hicieron otra cosa que agravar la crisis y profundizar el debilitamiento y la desorganizaci\u00f3n del estado. Los efectos sociales y econ\u00f3micos regresivos de dichas pol\u00edticas son evidentes en los m\u00e1s diversos pa\u00edses de la regi\u00f3n, a\u00fan en los que, supuestamente, el programa neoliberal habr\u00eda funcionado exitosamente. Es obvio que el mismo constituye un obst\u00e1culo a la consolidaci\u00f3n de un modelo de crecimiento econ\u00f3mico capaz de aumentar el bienestar de la poblaci\u00f3n, reducir la miseria que afecta a vastos sectores de las sociedades latinoamericanas y caribe\u00f1as y potenciar las posibilidades de desarrollo sustentable de los pa\u00edses del \u00e1rea. Por consiguiente, el fracaso de las pol\u00edticas neoliberales para generar una distribuci\u00f3n m\u00e1s equitativa de la riqueza renueva la urgencia de discutir en profundidad los fundamentos mismos de los procesos de reestru\u2026", "author" : [ { "dropping-particle" : "", "family" : "Schorr", "given" : "Mart\u00edn", "non-dropping-particle" : "", "parse-names" : false, "suffix" : "" } ], "container-title" : "Schorr, Castellani, Duarte y Debrott S\u00e1nchez. M\u00e1s all\u00e1 del pensamiento \u00fanico. Hacia una renovaci\u00f3n de las ideas econ\u00f3micas en Am\u00e9rica Latina y el Caribe.", "id" : "ITEM-1", "issued" : { "date-parts" : [ [ "2002" ] ] }, "page" : "11-79", "publisher" : "CLACSO/UNESCO", "title" : "Mitos y realidades del pensamiento neoliberal: la evoluci\u00f3n de la industria manufacturera argentina durante la d\u00e9cada de los noventa", "type" : "chapter" }, "uris" : [ "http://www.mendeley.com/documents/?uuid=c2e4b2d3-d782-4dc1-9841-140a19336e91" ] } ], "mendeley" : { "formattedCitation" : "(Schorr, 2002)", "plainTextFormattedCitation" : "(Schorr, 2002)", "previouslyFormattedCitation" : "(Schorr, 2002)"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(Schorr, 2002)</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En relación a la legislación sancionada en 2004 emergió como resultado del análisis la afinidad entre el texto normativo y la economía política institucional. Esta perspectiva teórica sostiene que el desarrollo de un país depende de las capacidades de recaudación del Estado y de distribución de los recursos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"abstract" : "What role for the developmental state in the 21st century? What state structures and political institutions will best equip nations trying to enter the ranks of \u201cdeveloped\u201d countries? I offer two interconnected propositions. The first stresses continuity: the \u201cdevelopmental state\u201d will continue to play a crucial a role in economic growth and social transformation in the 21st century, just as it did in the latter half of the 20th century. The second is more radical: successful 21st century developmental states will have to depart fundamentally from existing models of the developmental state in order to achieve success. Growth strategies focused primarily on traditional capital accumulation will no longer suffice. State-society ties can no longer be focused narrowly on relations with capitalist elites.", "author" : [ { "dropping-particle" : "", "family" : "Evans", "given" : "Peter", "non-dropping-particle" : "", "parse-names" : false, "suffix" : "" } ], "container-title" : "CGPE Working Paper Series", "id" : "ITEM-1", "issue" : "4", "issued" : { "date-parts" : [ [ "2008" ] ] }, "number-of-pages" : "25", "title" : "In search of the 21 st century developmental state", "type" : "report" }, "uris" : [ "http://www.mendeley.com/documents/?uuid=df12085c-226a-4504-bec0-56ba6b1e855b" ] } ], "mendeley" : { "formattedCitation" : "(Evans, 2008)", "plainTextFormattedCitation" : "(Evans, 2008)", "previouslyFormattedCitation" : "(Evans, 2008)"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(Evans, 2008)</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a la vez que cumplen un rol fundamental en la legitimación del Estado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"ISBN" : "9781608769452", "abstract" : "Word Doc y PDF en compu (institutionalism) Institutions are systematic patterns of shared expectations, taken-for-granted assumptions, accepted norms and routines of interaction that have robust effects on shaping the motivations and behaviour of sets of interconnected social actors. In modern societies, they are usually embodied in authoritatively coordinated organizations with formal rules and the capacity to impose coercive sanctions, such as the government or the firms. ...institutions as devices which enable the achievement of economic goals and, perhaps even more important, on institutions as constitutive of the interests and worldviews of economic actors (instead of the traditional view of \"institutions as constraints\"). Institutional rethoric: institutions as constraints and enablers of behavior and action. This is, of course, not to say that institutions do not impose constraints. Just about all \"enabling\" institutions involve constraints on some types of behaviour by some people. In many cases that involve a collective action problem, these constraints are \"general\" constraints that apply to everyone. In these cases, we are putting constraints on everyone's behaviour so that we can collectively do more things. However, in other cases, enabling of some people means constraining others. We can broadly divide these approaches (of formation and change of institutions) into two groups, namely, the efficiency-driven approach and the interest-based approach, with sub-approaches in each group, each with very different theoretical and policy implications. the developmental state is a threatened institution not primarily because it was economically ineffectual, or even because its potential economic efficacy has been undercut by globalisation. The problems of the developmental state lie first of all in domestic politics and derive in part from the domestic political consequences of economic success. The Korean developmental state emerged from a most unpromising environment. Although the legacies of the proto-developmental state that had existed under Japanese colonial rule (e.g., Kohli, 1994) were important, we should not under-estimate the enormity of the destruction of colonial institutional fabric between 1945 (the end of Japanese rule) and 1961 (when General Park Chung Hee came to power through a coup). Things, as it is well known, began to change after the coup by General Park Chung Hee in 1961. It should be noted that, as some authors emphasize (e\u2026", "author" : [ { "dropping-particle" : "", "family" : "Chang", "given" : "Ha-joon", "non-dropping-particle" : "", "parse-names" : false, "suffix" : "" }, { "dropping-particle" : "", "family" : "Evans", "given" : "Peter", "non-dropping-particle" : "", "parse-names" : false, "suffix" : "" } ], "container-title" : "World", "id" : "ITEM-1", "issue" : "December 1999", "issued" : { "date-parts" : [ [ "2000" ] ] }, "page" : "1-67", "title" : "The Role of Institutions in Economic Change", "type" : "article-journal" }, "uris" : [ "http://www.mendeley.com/documents/?uuid=ea42ab69-8876-4d15-a996-5a776d9a93b6" ] } ], "mendeley" : { "formattedCitation" : "(Chang &amp; Evans, 2000)", "plainTextFormattedCitation" : "(Chang &amp; Evans, 2000)", "previouslyFormattedCitation" : "(Chang &amp; Evans, 2000)"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(Chang &amp; Evans, 2000)</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En otras palabras, la reforma del 2004 tiende a revertir la deslegitimación de la tutela laboral que había sido estigmatizada por una hipotética incompatibilidad con las necesidades del mercado </w:t>
      </w:r>
      <w:r w:rsidRPr="00645EC2">
        <w:rPr>
          <w:rFonts w:ascii="Times New Roman" w:hAnsi="Times New Roman" w:cs="Times New Roman"/>
          <w:color w:val="000000"/>
          <w:sz w:val="24"/>
          <w:szCs w:val="24"/>
        </w:rPr>
        <w:fldChar w:fldCharType="begin" w:fldLock="1"/>
      </w:r>
      <w:r w:rsidR="00EB60A0">
        <w:rPr>
          <w:rFonts w:ascii="Times New Roman" w:hAnsi="Times New Roman" w:cs="Times New Roman"/>
          <w:color w:val="000000"/>
          <w:sz w:val="24"/>
          <w:szCs w:val="24"/>
        </w:rPr>
        <w:instrText>ADDIN CSL_CITATION { "citationItems" : [ { "id" : "ITEM-1", "itemData" : { "author" : [ { "dropping-particle" : "", "family" : "Goldin", "given" : "Adri\u00e1n", "non-dropping-particle" : "", "parse-names" : false, "suffix" : "" } ], "container-title" : "Intituto Internacional de Estudios Laborales", "id" : "ITEM-1", "issued" : { "date-parts" : [ [ "2007" ] ] }, "publisher-place" : "Ginebra", "title" : "Los derechos sociales en el marco de las reformas laborales en Am\u00e9rica Latina", "type" : "article-journal" }, "uris" : [ "http://www.mendeley.com/documents/?uuid=b2f162fb-45df-4852-b9d0-25f9a746861e" ] } ], "mendeley" : { "formattedCitation" : "(Goldin, 2007)", "plainTextFormattedCitation" : "(Goldin, 2007)", "previouslyFormattedCitation" : "(Goldin, 2007)" }, "properties" : { "noteIndex" : 0 }, "schema" : "https://github.com/citation-style-language/schema/raw/master/csl-citation.json"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color w:val="000000"/>
          <w:sz w:val="24"/>
          <w:szCs w:val="24"/>
        </w:rPr>
        <w:t>(Goldin, 2007)</w:t>
      </w:r>
      <w:r w:rsidRPr="00645EC2">
        <w:rPr>
          <w:rFonts w:ascii="Times New Roman" w:hAnsi="Times New Roman" w:cs="Times New Roman"/>
          <w:color w:val="000000"/>
          <w:sz w:val="24"/>
          <w:szCs w:val="24"/>
        </w:rPr>
        <w:fldChar w:fldCharType="end"/>
      </w:r>
      <w:r w:rsidRPr="00645EC2">
        <w:rPr>
          <w:rFonts w:ascii="Times New Roman" w:hAnsi="Times New Roman" w:cs="Times New Roman"/>
          <w:color w:val="000000"/>
          <w:sz w:val="24"/>
          <w:szCs w:val="24"/>
        </w:rPr>
        <w:t xml:space="preserve">. La limitación de las empresas que se benefician de las reducciones en las contribuciones y el mayor poder de arbitraje otorgado al Estado coincide con ese supuesto. </w:t>
      </w:r>
    </w:p>
    <w:p w:rsidR="00645EC2" w:rsidRPr="00645EC2" w:rsidRDefault="00645EC2" w:rsidP="00645EC2">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sz w:val="24"/>
          <w:szCs w:val="24"/>
        </w:rPr>
        <w:tab/>
        <w:t xml:space="preserve">Así, tanto la nueva economía institucional como la economía política institucional tienden a pensar la legislación laboral desde la distinción regulación/desregulación, manteniéndose en el nivel del derecho. El Estado aparece como un </w:t>
      </w:r>
      <w:r w:rsidRPr="00645EC2">
        <w:rPr>
          <w:rFonts w:ascii="Times New Roman" w:hAnsi="Times New Roman" w:cs="Times New Roman"/>
          <w:color w:val="000000"/>
          <w:sz w:val="24"/>
          <w:szCs w:val="24"/>
        </w:rPr>
        <w:t xml:space="preserve">tercer actor externo, asumiendo el rol de árbitro neutral en la regulación de las relaciones entre capital y trabajo. </w:t>
      </w:r>
    </w:p>
    <w:p w:rsidR="00645EC2" w:rsidRDefault="00645EC2" w:rsidP="00EB60A0">
      <w:pPr>
        <w:tabs>
          <w:tab w:val="left" w:pos="284"/>
        </w:tabs>
        <w:spacing w:after="120" w:line="360" w:lineRule="auto"/>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ab/>
        <w:t xml:space="preserve">A modo de cierre, este artículo tuvo como intención realizar un aporte al estudio de las transformaciones de la legislación laboral. Se hizo hincapié en los esquemas argumentales que pusieron en juego los actores para sostener sus posturas respecto a las dos leyes analizadas. El cruce de esos discursos con las teorías que explican las transformaciones de las instituciones tuvo como objetivo evidenciar las afinidades en la interpretación de la cuestión laboral. Por último, el análisis de un actor específico a través de su trayectoria y declaraciones públicas permitió dar cuenta de los conflictos de interés entre el rol de representante empresario y legislador nacional. </w:t>
      </w:r>
    </w:p>
    <w:p w:rsidR="00EB60A0" w:rsidRPr="00EB60A0" w:rsidRDefault="00EB60A0" w:rsidP="00EB60A0">
      <w:pPr>
        <w:tabs>
          <w:tab w:val="left" w:pos="284"/>
        </w:tabs>
        <w:spacing w:after="120" w:line="360" w:lineRule="auto"/>
        <w:jc w:val="both"/>
        <w:rPr>
          <w:rFonts w:ascii="Times New Roman" w:hAnsi="Times New Roman" w:cs="Times New Roman"/>
          <w:color w:val="000000"/>
          <w:sz w:val="24"/>
          <w:szCs w:val="24"/>
        </w:rPr>
      </w:pPr>
      <w:bookmarkStart w:id="5" w:name="_GoBack"/>
      <w:bookmarkEnd w:id="5"/>
    </w:p>
    <w:p w:rsidR="00645EC2" w:rsidRPr="00EB60A0" w:rsidRDefault="00645EC2" w:rsidP="00645EC2">
      <w:pPr>
        <w:tabs>
          <w:tab w:val="left" w:pos="284"/>
        </w:tabs>
        <w:spacing w:line="360" w:lineRule="auto"/>
        <w:contextualSpacing/>
        <w:jc w:val="both"/>
        <w:rPr>
          <w:rFonts w:ascii="Times New Roman" w:hAnsi="Times New Roman" w:cs="Times New Roman"/>
          <w:b/>
          <w:smallCaps/>
          <w:color w:val="000000"/>
          <w:sz w:val="24"/>
          <w:szCs w:val="24"/>
        </w:rPr>
      </w:pPr>
      <w:r w:rsidRPr="00645EC2">
        <w:rPr>
          <w:rFonts w:ascii="Times New Roman" w:hAnsi="Times New Roman" w:cs="Times New Roman"/>
          <w:b/>
          <w:smallCaps/>
          <w:color w:val="000000"/>
          <w:sz w:val="24"/>
          <w:szCs w:val="24"/>
        </w:rPr>
        <w:t>Bibliografía</w:t>
      </w:r>
    </w:p>
    <w:p w:rsidR="00EB60A0" w:rsidRPr="00EB60A0" w:rsidRDefault="00645EC2"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645EC2">
        <w:rPr>
          <w:rFonts w:ascii="Times New Roman" w:hAnsi="Times New Roman" w:cs="Times New Roman"/>
          <w:color w:val="000000"/>
          <w:sz w:val="24"/>
          <w:szCs w:val="24"/>
        </w:rPr>
        <w:fldChar w:fldCharType="begin" w:fldLock="1"/>
      </w:r>
      <w:r w:rsidRPr="00645EC2">
        <w:rPr>
          <w:rFonts w:ascii="Times New Roman" w:hAnsi="Times New Roman" w:cs="Times New Roman"/>
          <w:color w:val="000000"/>
          <w:sz w:val="24"/>
          <w:szCs w:val="24"/>
        </w:rPr>
        <w:instrText xml:space="preserve">ADDIN Mendeley Bibliography CSL_BIBLIOGRAPHY </w:instrText>
      </w:r>
      <w:r w:rsidRPr="00645EC2">
        <w:rPr>
          <w:rFonts w:ascii="Times New Roman" w:hAnsi="Times New Roman" w:cs="Times New Roman"/>
          <w:color w:val="000000"/>
          <w:sz w:val="24"/>
          <w:szCs w:val="24"/>
        </w:rPr>
        <w:fldChar w:fldCharType="separate"/>
      </w:r>
      <w:r w:rsidR="00EB60A0" w:rsidRPr="00EB60A0">
        <w:rPr>
          <w:rFonts w:ascii="Times New Roman" w:hAnsi="Times New Roman" w:cs="Times New Roman"/>
          <w:noProof/>
          <w:sz w:val="24"/>
          <w:szCs w:val="24"/>
        </w:rPr>
        <w:t xml:space="preserve">Beccaria, L. (2003). Las vicisitudes del mercado laboral argentino luego de las reformas. </w:t>
      </w:r>
      <w:r w:rsidR="00EB60A0" w:rsidRPr="00EB60A0">
        <w:rPr>
          <w:rFonts w:ascii="Times New Roman" w:hAnsi="Times New Roman" w:cs="Times New Roman"/>
          <w:i/>
          <w:iCs/>
          <w:noProof/>
          <w:sz w:val="24"/>
          <w:szCs w:val="24"/>
        </w:rPr>
        <w:t>Boletín Informativo Techint</w:t>
      </w:r>
      <w:r w:rsidR="00EB60A0" w:rsidRPr="00EB60A0">
        <w:rPr>
          <w:rFonts w:ascii="Times New Roman" w:hAnsi="Times New Roman" w:cs="Times New Roman"/>
          <w:noProof/>
          <w:sz w:val="24"/>
          <w:szCs w:val="24"/>
        </w:rPr>
        <w:t xml:space="preserve">, </w:t>
      </w:r>
      <w:r w:rsidR="00EB60A0" w:rsidRPr="00EB60A0">
        <w:rPr>
          <w:rFonts w:ascii="Times New Roman" w:hAnsi="Times New Roman" w:cs="Times New Roman"/>
          <w:i/>
          <w:iCs/>
          <w:noProof/>
          <w:sz w:val="24"/>
          <w:szCs w:val="24"/>
        </w:rPr>
        <w:t>312</w:t>
      </w:r>
      <w:r w:rsidR="00EB60A0"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Bonnet, A. (2011). Diciembre de 2001: la resistencia de los ajustados. </w:t>
      </w:r>
      <w:r w:rsidRPr="00EB60A0">
        <w:rPr>
          <w:rFonts w:ascii="Times New Roman" w:hAnsi="Times New Roman" w:cs="Times New Roman"/>
          <w:i/>
          <w:iCs/>
          <w:noProof/>
          <w:sz w:val="24"/>
          <w:szCs w:val="24"/>
        </w:rPr>
        <w:t>Revista Herramienta</w:t>
      </w:r>
      <w:r w:rsidRPr="00EB60A0">
        <w:rPr>
          <w:rFonts w:ascii="Times New Roman" w:hAnsi="Times New Roman" w:cs="Times New Roman"/>
          <w:noProof/>
          <w:sz w:val="24"/>
          <w:szCs w:val="24"/>
        </w:rPr>
        <w:t xml:space="preserve">, </w:t>
      </w:r>
      <w:r w:rsidRPr="00EB60A0">
        <w:rPr>
          <w:rFonts w:ascii="Times New Roman" w:hAnsi="Times New Roman" w:cs="Times New Roman"/>
          <w:i/>
          <w:iCs/>
          <w:noProof/>
          <w:sz w:val="24"/>
          <w:szCs w:val="24"/>
        </w:rPr>
        <w:t>46</w:t>
      </w:r>
      <w:r w:rsidRPr="00EB60A0">
        <w:rPr>
          <w:rFonts w:ascii="Times New Roman" w:hAnsi="Times New Roman" w:cs="Times New Roman"/>
          <w:noProof/>
          <w:sz w:val="24"/>
          <w:szCs w:val="24"/>
        </w:rPr>
        <w:t>. Retrieved from http://www.herramienta.com.ar/revista-herramienta-n-46/diciembre-de-2001-la-resistencia-de-los-ajustados</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Boschi, R. (2013). Governance challenges, Institutional building, and National responses: </w:t>
      </w:r>
      <w:r w:rsidRPr="00EB60A0">
        <w:rPr>
          <w:rFonts w:ascii="Times New Roman" w:hAnsi="Times New Roman" w:cs="Times New Roman"/>
          <w:noProof/>
          <w:sz w:val="24"/>
          <w:szCs w:val="24"/>
        </w:rPr>
        <w:lastRenderedPageBreak/>
        <w:t xml:space="preserve">reflections on the Brazilian development trajectory. </w:t>
      </w:r>
      <w:r w:rsidRPr="00EB60A0">
        <w:rPr>
          <w:rFonts w:ascii="Times New Roman" w:hAnsi="Times New Roman" w:cs="Times New Roman"/>
          <w:i/>
          <w:iCs/>
          <w:noProof/>
          <w:sz w:val="24"/>
          <w:szCs w:val="24"/>
        </w:rPr>
        <w:t>IESP/UERJ</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Bourdieu, P. (2000). </w:t>
      </w:r>
      <w:r w:rsidRPr="00EB60A0">
        <w:rPr>
          <w:rFonts w:ascii="Times New Roman" w:hAnsi="Times New Roman" w:cs="Times New Roman"/>
          <w:i/>
          <w:iCs/>
          <w:noProof/>
          <w:sz w:val="24"/>
          <w:szCs w:val="24"/>
        </w:rPr>
        <w:t>Poder, derecho y clases sociales</w:t>
      </w:r>
      <w:r w:rsidRPr="00EB60A0">
        <w:rPr>
          <w:rFonts w:ascii="Times New Roman" w:hAnsi="Times New Roman" w:cs="Times New Roman"/>
          <w:noProof/>
          <w:sz w:val="24"/>
          <w:szCs w:val="24"/>
        </w:rPr>
        <w:t>. Bilbao: Descleé de Brouwer.</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Buchanan, J. M. (1980). </w:t>
      </w:r>
      <w:r w:rsidRPr="00EB60A0">
        <w:rPr>
          <w:rFonts w:ascii="Times New Roman" w:hAnsi="Times New Roman" w:cs="Times New Roman"/>
          <w:i/>
          <w:iCs/>
          <w:noProof/>
          <w:sz w:val="24"/>
          <w:szCs w:val="24"/>
        </w:rPr>
        <w:t>The Power to Tax: Analytical Foundations of a Fiscal Constitution,</w:t>
      </w:r>
      <w:r w:rsidRPr="00EB60A0">
        <w:rPr>
          <w:rFonts w:ascii="Times New Roman" w:hAnsi="Times New Roman" w:cs="Times New Roman"/>
          <w:noProof/>
          <w:sz w:val="24"/>
          <w:szCs w:val="24"/>
        </w:rPr>
        <w:t xml:space="preserve">. </w:t>
      </w:r>
      <w:r w:rsidRPr="00EB60A0">
        <w:rPr>
          <w:rFonts w:ascii="Times New Roman" w:hAnsi="Times New Roman" w:cs="Times New Roman"/>
          <w:i/>
          <w:iCs/>
          <w:noProof/>
          <w:sz w:val="24"/>
          <w:szCs w:val="24"/>
        </w:rPr>
        <w:t>Power</w:t>
      </w:r>
      <w:r w:rsidRPr="00EB60A0">
        <w:rPr>
          <w:rFonts w:ascii="Times New Roman" w:hAnsi="Times New Roman" w:cs="Times New Roman"/>
          <w:noProof/>
          <w:sz w:val="24"/>
          <w:szCs w:val="24"/>
        </w:rPr>
        <w:t xml:space="preserve"> (Vol. 9). Retrieved from http://oll.libertyfund.org/title/2114</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Chang, H., &amp; Evans, P. (2000). The Role of Institutions in Economic Change. </w:t>
      </w:r>
      <w:r w:rsidRPr="00EB60A0">
        <w:rPr>
          <w:rFonts w:ascii="Times New Roman" w:hAnsi="Times New Roman" w:cs="Times New Roman"/>
          <w:i/>
          <w:iCs/>
          <w:noProof/>
          <w:sz w:val="24"/>
          <w:szCs w:val="24"/>
        </w:rPr>
        <w:t>World</w:t>
      </w:r>
      <w:r w:rsidRPr="00EB60A0">
        <w:rPr>
          <w:rFonts w:ascii="Times New Roman" w:hAnsi="Times New Roman" w:cs="Times New Roman"/>
          <w:noProof/>
          <w:sz w:val="24"/>
          <w:szCs w:val="24"/>
        </w:rPr>
        <w:t>, (December 1999), 1–67. Retrieved from http://www.libertyparkusafd.org/Hamilton/reports%5CThe Role of Institutionas in Economic Change.pdf</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Danani, C. (2012). La otra década de regormas de las políticas sociales y laborales, 2002-2010. </w:t>
      </w:r>
      <w:r w:rsidRPr="00EB60A0">
        <w:rPr>
          <w:rFonts w:ascii="Times New Roman" w:hAnsi="Times New Roman" w:cs="Times New Roman"/>
          <w:i/>
          <w:iCs/>
          <w:noProof/>
          <w:sz w:val="24"/>
          <w:szCs w:val="24"/>
        </w:rPr>
        <w:t>Revista Ciencias Sociales</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Donatello, L. M. (2013). Las élites empresariales argentinas, su socialización política y un intento de esbozo comparativo con Brasil. </w:t>
      </w:r>
      <w:r w:rsidRPr="00EB60A0">
        <w:rPr>
          <w:rFonts w:ascii="Times New Roman" w:hAnsi="Times New Roman" w:cs="Times New Roman"/>
          <w:i/>
          <w:iCs/>
          <w:noProof/>
          <w:sz w:val="24"/>
          <w:szCs w:val="24"/>
        </w:rPr>
        <w:t>Ponto de Vista</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Evans, P. (2008). </w:t>
      </w:r>
      <w:r w:rsidRPr="00EB60A0">
        <w:rPr>
          <w:rFonts w:ascii="Times New Roman" w:hAnsi="Times New Roman" w:cs="Times New Roman"/>
          <w:i/>
          <w:iCs/>
          <w:noProof/>
          <w:sz w:val="24"/>
          <w:szCs w:val="24"/>
        </w:rPr>
        <w:t>In search of the 21 st century developmental state</w:t>
      </w:r>
      <w:r w:rsidRPr="00EB60A0">
        <w:rPr>
          <w:rFonts w:ascii="Times New Roman" w:hAnsi="Times New Roman" w:cs="Times New Roman"/>
          <w:noProof/>
          <w:sz w:val="24"/>
          <w:szCs w:val="24"/>
        </w:rPr>
        <w:t xml:space="preserve">. </w:t>
      </w:r>
      <w:r w:rsidRPr="00EB60A0">
        <w:rPr>
          <w:rFonts w:ascii="Times New Roman" w:hAnsi="Times New Roman" w:cs="Times New Roman"/>
          <w:i/>
          <w:iCs/>
          <w:noProof/>
          <w:sz w:val="24"/>
          <w:szCs w:val="24"/>
        </w:rPr>
        <w:t>CGPE Working Paper Series</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Gaggero, A. J., &amp; Wainer, A. (2006). Crisis de la convertibilidad: el rol de la UIA y su estrategia para el (tipo de) cambio. </w:t>
      </w:r>
      <w:r w:rsidRPr="00EB60A0">
        <w:rPr>
          <w:rFonts w:ascii="Times New Roman" w:hAnsi="Times New Roman" w:cs="Times New Roman"/>
          <w:i/>
          <w:iCs/>
          <w:noProof/>
          <w:sz w:val="24"/>
          <w:szCs w:val="24"/>
        </w:rPr>
        <w:t>Realidad Económica</w:t>
      </w:r>
      <w:r w:rsidRPr="00EB60A0">
        <w:rPr>
          <w:rFonts w:ascii="Times New Roman" w:hAnsi="Times New Roman" w:cs="Times New Roman"/>
          <w:noProof/>
          <w:sz w:val="24"/>
          <w:szCs w:val="24"/>
        </w:rPr>
        <w:t xml:space="preserve">, </w:t>
      </w:r>
      <w:r w:rsidRPr="00EB60A0">
        <w:rPr>
          <w:rFonts w:ascii="Times New Roman" w:hAnsi="Times New Roman" w:cs="Times New Roman"/>
          <w:i/>
          <w:iCs/>
          <w:noProof/>
          <w:sz w:val="24"/>
          <w:szCs w:val="24"/>
        </w:rPr>
        <w:t>204</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Goldin, A. (2007). Los derechos sociales en el marco de las reformas laborales en América Latina. </w:t>
      </w:r>
      <w:r w:rsidRPr="00EB60A0">
        <w:rPr>
          <w:rFonts w:ascii="Times New Roman" w:hAnsi="Times New Roman" w:cs="Times New Roman"/>
          <w:i/>
          <w:iCs/>
          <w:noProof/>
          <w:sz w:val="24"/>
          <w:szCs w:val="24"/>
        </w:rPr>
        <w:t>Intituto Internacional de Estudios Laborales</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López Castellano, F., &amp; García-Quero, F. (2012). Institutional Approaches to Economic Development: The Current Status of the Debate. </w:t>
      </w:r>
      <w:r w:rsidRPr="00EB60A0">
        <w:rPr>
          <w:rFonts w:ascii="Times New Roman" w:hAnsi="Times New Roman" w:cs="Times New Roman"/>
          <w:i/>
          <w:iCs/>
          <w:noProof/>
          <w:sz w:val="24"/>
          <w:szCs w:val="24"/>
        </w:rPr>
        <w:t>Journal of Economic Issues</w:t>
      </w:r>
      <w:r w:rsidRPr="00EB60A0">
        <w:rPr>
          <w:rFonts w:ascii="Times New Roman" w:hAnsi="Times New Roman" w:cs="Times New Roman"/>
          <w:noProof/>
          <w:sz w:val="24"/>
          <w:szCs w:val="24"/>
        </w:rPr>
        <w:t xml:space="preserve">, </w:t>
      </w:r>
      <w:r w:rsidRPr="00EB60A0">
        <w:rPr>
          <w:rFonts w:ascii="Times New Roman" w:hAnsi="Times New Roman" w:cs="Times New Roman"/>
          <w:i/>
          <w:iCs/>
          <w:noProof/>
          <w:sz w:val="24"/>
          <w:szCs w:val="24"/>
        </w:rPr>
        <w:t>46</w:t>
      </w:r>
      <w:r w:rsidRPr="00EB60A0">
        <w:rPr>
          <w:rFonts w:ascii="Times New Roman" w:hAnsi="Times New Roman" w:cs="Times New Roman"/>
          <w:noProof/>
          <w:sz w:val="24"/>
          <w:szCs w:val="24"/>
        </w:rPr>
        <w:t>(4), 921–940. https://doi.org/10.2753/JEI0021-3624460405</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Manzo, A. G. (2012). ¿Estado post-neoliberal en Argentina? La reforma laboral en el tiempo inmediatamente anterior y posterior a la crisis del 2001. In </w:t>
      </w:r>
      <w:r w:rsidRPr="00EB60A0">
        <w:rPr>
          <w:rFonts w:ascii="Times New Roman" w:hAnsi="Times New Roman" w:cs="Times New Roman"/>
          <w:i/>
          <w:iCs/>
          <w:noProof/>
          <w:sz w:val="24"/>
          <w:szCs w:val="24"/>
        </w:rPr>
        <w:t>Ma. Ovidia Rojas Castro, María Elena Pineda Solorio y Francisco Javier Ibarra Serrano (coords) Derecho y Neoliberalismo</w:t>
      </w:r>
      <w:r w:rsidRPr="00EB60A0">
        <w:rPr>
          <w:rFonts w:ascii="Times New Roman" w:hAnsi="Times New Roman" w:cs="Times New Roman"/>
          <w:noProof/>
          <w:sz w:val="24"/>
          <w:szCs w:val="24"/>
        </w:rPr>
        <w:t>. México.</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Marticorena, C. (2014). </w:t>
      </w:r>
      <w:r w:rsidRPr="00EB60A0">
        <w:rPr>
          <w:rFonts w:ascii="Times New Roman" w:hAnsi="Times New Roman" w:cs="Times New Roman"/>
          <w:i/>
          <w:iCs/>
          <w:noProof/>
          <w:sz w:val="24"/>
          <w:szCs w:val="24"/>
        </w:rPr>
        <w:t>Trabajo y negociación colectiva. Los trabajadores en la industria argentina, de los noventa a la postconvertivilidad</w:t>
      </w:r>
      <w:r w:rsidRPr="00EB60A0">
        <w:rPr>
          <w:rFonts w:ascii="Times New Roman" w:hAnsi="Times New Roman" w:cs="Times New Roman"/>
          <w:noProof/>
          <w:sz w:val="24"/>
          <w:szCs w:val="24"/>
        </w:rPr>
        <w:t>. (Imago Mundi, Ed.). Buenos Aires.</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Neffa, J. C. (2005). </w:t>
      </w:r>
      <w:r w:rsidRPr="00EB60A0">
        <w:rPr>
          <w:rFonts w:ascii="Times New Roman" w:hAnsi="Times New Roman" w:cs="Times New Roman"/>
          <w:i/>
          <w:iCs/>
          <w:noProof/>
          <w:sz w:val="24"/>
          <w:szCs w:val="24"/>
        </w:rPr>
        <w:t>Actividad, empleo y desempleo: conceptos y definiciones</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North, D. C. (1990). Institutions, Institutional Change and Economic Performance. In </w:t>
      </w:r>
      <w:r w:rsidRPr="00EB60A0">
        <w:rPr>
          <w:rFonts w:ascii="Times New Roman" w:hAnsi="Times New Roman" w:cs="Times New Roman"/>
          <w:i/>
          <w:iCs/>
          <w:noProof/>
          <w:sz w:val="24"/>
          <w:szCs w:val="24"/>
        </w:rPr>
        <w:lastRenderedPageBreak/>
        <w:t>Institutions, Institutional Change and Economic Performance</w:t>
      </w:r>
      <w:r w:rsidRPr="00EB60A0">
        <w:rPr>
          <w:rFonts w:ascii="Times New Roman" w:hAnsi="Times New Roman" w:cs="Times New Roman"/>
          <w:noProof/>
          <w:sz w:val="24"/>
          <w:szCs w:val="24"/>
        </w:rPr>
        <w:t>. https://doi.org/10.2307/2234910</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Palomino, H. Trajtemberg, D. (2006). Una nueva dinámica de las relaciones laborales y la negociación colectiva en la Argentina. </w:t>
      </w:r>
      <w:r w:rsidRPr="00EB60A0">
        <w:rPr>
          <w:rFonts w:ascii="Times New Roman" w:hAnsi="Times New Roman" w:cs="Times New Roman"/>
          <w:i/>
          <w:iCs/>
          <w:noProof/>
          <w:sz w:val="24"/>
          <w:szCs w:val="24"/>
        </w:rPr>
        <w:t>Revista de Trabajo Del Ministerio de Trabajo, Empleo Y Seguridad Social</w:t>
      </w:r>
      <w:r w:rsidRPr="00EB60A0">
        <w:rPr>
          <w:rFonts w:ascii="Times New Roman" w:hAnsi="Times New Roman" w:cs="Times New Roman"/>
          <w:noProof/>
          <w:sz w:val="24"/>
          <w:szCs w:val="24"/>
        </w:rPr>
        <w:t>, (3), 47–68. Retrieved from http://www.trabajo.gob.ar/left/estadisticas/descargas/revistaDeTrabajo/2006n03_revistaDeTrabajo.pdf</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Palomino, H. (2007). ¿ Por qué la precariedad no es un fenómeno inevitable del capitalismo contemporáneo? </w:t>
      </w:r>
      <w:r w:rsidRPr="00EB60A0">
        <w:rPr>
          <w:rFonts w:ascii="Times New Roman" w:hAnsi="Times New Roman" w:cs="Times New Roman"/>
          <w:i/>
          <w:iCs/>
          <w:noProof/>
          <w:sz w:val="24"/>
          <w:szCs w:val="24"/>
        </w:rPr>
        <w:t>Veredas. Revista Del Pensamiento Sociológico</w:t>
      </w:r>
      <w:r w:rsidRPr="00EB60A0">
        <w:rPr>
          <w:rFonts w:ascii="Times New Roman" w:hAnsi="Times New Roman" w:cs="Times New Roman"/>
          <w:noProof/>
          <w:sz w:val="24"/>
          <w:szCs w:val="24"/>
        </w:rPr>
        <w:t xml:space="preserve">, </w:t>
      </w:r>
      <w:r w:rsidRPr="00EB60A0">
        <w:rPr>
          <w:rFonts w:ascii="Times New Roman" w:hAnsi="Times New Roman" w:cs="Times New Roman"/>
          <w:i/>
          <w:iCs/>
          <w:noProof/>
          <w:sz w:val="24"/>
          <w:szCs w:val="24"/>
        </w:rPr>
        <w:t>16</w:t>
      </w:r>
      <w:r w:rsidRPr="00EB60A0">
        <w:rPr>
          <w:rFonts w:ascii="Times New Roman" w:hAnsi="Times New Roman" w:cs="Times New Roman"/>
          <w:noProof/>
          <w:sz w:val="24"/>
          <w:szCs w:val="24"/>
        </w:rPr>
        <w:t>, 153–179.</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Schmitter, P. C., &amp; Streeck, W. (1999). </w:t>
      </w:r>
      <w:r w:rsidRPr="00EB60A0">
        <w:rPr>
          <w:rFonts w:ascii="Times New Roman" w:hAnsi="Times New Roman" w:cs="Times New Roman"/>
          <w:i/>
          <w:iCs/>
          <w:noProof/>
          <w:sz w:val="24"/>
          <w:szCs w:val="24"/>
        </w:rPr>
        <w:t>The Organization of Business Interests</w:t>
      </w:r>
      <w:r w:rsidRPr="00EB60A0">
        <w:rPr>
          <w:rFonts w:ascii="Times New Roman" w:hAnsi="Times New Roman" w:cs="Times New Roman"/>
          <w:noProof/>
          <w:sz w:val="24"/>
          <w:szCs w:val="24"/>
        </w:rPr>
        <w:t>. Journal of Economic Issues.</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Schorr, M. (2002). Mitos y realidades del pensamiento neoliberal: la evolución de la industria manufacturera argentina durante la década de los noventa. In </w:t>
      </w:r>
      <w:r w:rsidRPr="00EB60A0">
        <w:rPr>
          <w:rFonts w:ascii="Times New Roman" w:hAnsi="Times New Roman" w:cs="Times New Roman"/>
          <w:i/>
          <w:iCs/>
          <w:noProof/>
          <w:sz w:val="24"/>
          <w:szCs w:val="24"/>
        </w:rPr>
        <w:t>Schorr, Castellani, Duarte y Debrott Sánchez. Más allá del pensamiento único. Hacia una renovación de las ideas económicas en América Latina y el Caribe.</w:t>
      </w:r>
      <w:r w:rsidRPr="00EB60A0">
        <w:rPr>
          <w:rFonts w:ascii="Times New Roman" w:hAnsi="Times New Roman" w:cs="Times New Roman"/>
          <w:noProof/>
          <w:sz w:val="24"/>
          <w:szCs w:val="24"/>
        </w:rPr>
        <w:t xml:space="preserve"> (pp. 11–79). CLACSO/UNESCO.</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Schvarzer, J. (1998). </w:t>
      </w:r>
      <w:r w:rsidRPr="00EB60A0">
        <w:rPr>
          <w:rFonts w:ascii="Times New Roman" w:hAnsi="Times New Roman" w:cs="Times New Roman"/>
          <w:i/>
          <w:iCs/>
          <w:noProof/>
          <w:sz w:val="24"/>
          <w:szCs w:val="24"/>
        </w:rPr>
        <w:t>Implantación de un Modelo Económico. La experiencia argentina entre 1975 y el 2000</w:t>
      </w:r>
      <w:r w:rsidRPr="00EB60A0">
        <w:rPr>
          <w:rFonts w:ascii="Times New Roman" w:hAnsi="Times New Roman" w:cs="Times New Roman"/>
          <w:noProof/>
          <w:sz w:val="24"/>
          <w:szCs w:val="24"/>
        </w:rPr>
        <w:t>. Buenos Aires: AZ Editora.</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Screpanti, E., &amp; Zamagni, S. (1997). </w:t>
      </w:r>
      <w:r w:rsidRPr="00EB60A0">
        <w:rPr>
          <w:rFonts w:ascii="Times New Roman" w:hAnsi="Times New Roman" w:cs="Times New Roman"/>
          <w:i/>
          <w:iCs/>
          <w:noProof/>
          <w:sz w:val="24"/>
          <w:szCs w:val="24"/>
        </w:rPr>
        <w:t>Panorama de historia del pensamiento económico</w:t>
      </w:r>
      <w:r w:rsidRPr="00EB60A0">
        <w:rPr>
          <w:rFonts w:ascii="Times New Roman" w:hAnsi="Times New Roman" w:cs="Times New Roman"/>
          <w:noProof/>
          <w:sz w:val="24"/>
          <w:szCs w:val="24"/>
        </w:rPr>
        <w:t>. Barcelona: Ariel.</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szCs w:val="24"/>
        </w:rPr>
      </w:pPr>
      <w:r w:rsidRPr="00EB60A0">
        <w:rPr>
          <w:rFonts w:ascii="Times New Roman" w:hAnsi="Times New Roman" w:cs="Times New Roman"/>
          <w:noProof/>
          <w:sz w:val="24"/>
          <w:szCs w:val="24"/>
        </w:rPr>
        <w:t xml:space="preserve">Streeck, W. (2010). </w:t>
      </w:r>
      <w:r w:rsidRPr="00EB60A0">
        <w:rPr>
          <w:rFonts w:ascii="Times New Roman" w:hAnsi="Times New Roman" w:cs="Times New Roman"/>
          <w:i/>
          <w:iCs/>
          <w:noProof/>
          <w:sz w:val="24"/>
          <w:szCs w:val="24"/>
        </w:rPr>
        <w:t>Taking Capitalism seriously</w:t>
      </w:r>
      <w:r w:rsidRPr="00EB60A0">
        <w:rPr>
          <w:rFonts w:ascii="Times New Roman" w:hAnsi="Times New Roman" w:cs="Times New Roman"/>
          <w:noProof/>
          <w:sz w:val="24"/>
          <w:szCs w:val="24"/>
        </w:rPr>
        <w:t>.</w:t>
      </w:r>
    </w:p>
    <w:p w:rsidR="00EB60A0" w:rsidRPr="00EB60A0" w:rsidRDefault="00EB60A0" w:rsidP="00EB60A0">
      <w:pPr>
        <w:widowControl w:val="0"/>
        <w:autoSpaceDE w:val="0"/>
        <w:autoSpaceDN w:val="0"/>
        <w:adjustRightInd w:val="0"/>
        <w:spacing w:line="360" w:lineRule="auto"/>
        <w:ind w:left="480" w:hanging="480"/>
        <w:rPr>
          <w:rFonts w:ascii="Times New Roman" w:hAnsi="Times New Roman" w:cs="Times New Roman"/>
          <w:noProof/>
          <w:sz w:val="24"/>
        </w:rPr>
      </w:pPr>
      <w:r w:rsidRPr="00EB60A0">
        <w:rPr>
          <w:rFonts w:ascii="Times New Roman" w:hAnsi="Times New Roman" w:cs="Times New Roman"/>
          <w:noProof/>
          <w:sz w:val="24"/>
          <w:szCs w:val="24"/>
        </w:rPr>
        <w:t xml:space="preserve">Takagi, S. (2004). Informe sobre la evaluación del papel del </w:t>
      </w:r>
      <w:r>
        <w:rPr>
          <w:rFonts w:ascii="Times New Roman" w:hAnsi="Times New Roman" w:cs="Times New Roman"/>
          <w:noProof/>
          <w:sz w:val="24"/>
          <w:szCs w:val="24"/>
        </w:rPr>
        <w:t>FMI</w:t>
      </w:r>
      <w:r w:rsidRPr="00EB60A0">
        <w:rPr>
          <w:rFonts w:ascii="Times New Roman" w:hAnsi="Times New Roman" w:cs="Times New Roman"/>
          <w:noProof/>
          <w:sz w:val="24"/>
          <w:szCs w:val="24"/>
        </w:rPr>
        <w:t xml:space="preserve"> en </w:t>
      </w:r>
      <w:r>
        <w:rPr>
          <w:rFonts w:ascii="Times New Roman" w:hAnsi="Times New Roman" w:cs="Times New Roman"/>
          <w:noProof/>
          <w:sz w:val="24"/>
          <w:szCs w:val="24"/>
        </w:rPr>
        <w:t>A</w:t>
      </w:r>
      <w:r w:rsidRPr="00EB60A0">
        <w:rPr>
          <w:rFonts w:ascii="Times New Roman" w:hAnsi="Times New Roman" w:cs="Times New Roman"/>
          <w:noProof/>
          <w:sz w:val="24"/>
          <w:szCs w:val="24"/>
        </w:rPr>
        <w:t>rgentina, 1991–200</w:t>
      </w:r>
      <w:r>
        <w:rPr>
          <w:rFonts w:ascii="Times New Roman" w:hAnsi="Times New Roman" w:cs="Times New Roman"/>
          <w:noProof/>
          <w:sz w:val="24"/>
          <w:szCs w:val="24"/>
        </w:rPr>
        <w:t>0</w:t>
      </w:r>
      <w:r w:rsidRPr="00EB60A0">
        <w:rPr>
          <w:rFonts w:ascii="Times New Roman" w:hAnsi="Times New Roman" w:cs="Times New Roman"/>
          <w:noProof/>
          <w:sz w:val="24"/>
          <w:szCs w:val="24"/>
        </w:rPr>
        <w:t>.</w:t>
      </w:r>
    </w:p>
    <w:p w:rsidR="00645EC2" w:rsidRPr="00645EC2" w:rsidRDefault="00645EC2" w:rsidP="00645EC2">
      <w:pPr>
        <w:tabs>
          <w:tab w:val="left" w:pos="284"/>
        </w:tabs>
        <w:spacing w:line="360" w:lineRule="auto"/>
        <w:contextualSpacing/>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fldChar w:fldCharType="end"/>
      </w:r>
    </w:p>
    <w:p w:rsidR="00645EC2" w:rsidRPr="00645EC2" w:rsidRDefault="00645EC2" w:rsidP="00645EC2">
      <w:pPr>
        <w:tabs>
          <w:tab w:val="left" w:pos="284"/>
        </w:tabs>
        <w:spacing w:line="360" w:lineRule="auto"/>
        <w:contextualSpacing/>
        <w:jc w:val="both"/>
        <w:rPr>
          <w:rFonts w:ascii="Times New Roman" w:hAnsi="Times New Roman" w:cs="Times New Roman"/>
          <w:color w:val="000000"/>
          <w:sz w:val="24"/>
          <w:szCs w:val="24"/>
        </w:rPr>
      </w:pPr>
    </w:p>
    <w:p w:rsidR="00645EC2" w:rsidRPr="00645EC2" w:rsidRDefault="00645EC2" w:rsidP="00645EC2">
      <w:pPr>
        <w:tabs>
          <w:tab w:val="left" w:pos="284"/>
        </w:tabs>
        <w:spacing w:line="360" w:lineRule="auto"/>
        <w:contextualSpacing/>
        <w:jc w:val="both"/>
        <w:rPr>
          <w:rFonts w:ascii="Times New Roman" w:hAnsi="Times New Roman" w:cs="Times New Roman"/>
          <w:b/>
          <w:color w:val="000000"/>
          <w:sz w:val="24"/>
          <w:szCs w:val="24"/>
        </w:rPr>
      </w:pPr>
      <w:r w:rsidRPr="00645EC2">
        <w:rPr>
          <w:rFonts w:ascii="Times New Roman" w:hAnsi="Times New Roman" w:cs="Times New Roman"/>
          <w:b/>
          <w:smallCaps/>
          <w:color w:val="000000"/>
          <w:sz w:val="24"/>
          <w:szCs w:val="24"/>
        </w:rPr>
        <w:t xml:space="preserve">Documentos </w:t>
      </w:r>
    </w:p>
    <w:p w:rsidR="00645EC2" w:rsidRPr="00645EC2" w:rsidRDefault="00645EC2" w:rsidP="00645EC2">
      <w:pPr>
        <w:pStyle w:val="NormalWeb"/>
        <w:spacing w:line="360" w:lineRule="auto"/>
        <w:ind w:left="480" w:hanging="480"/>
        <w:rPr>
          <w:color w:val="000000"/>
        </w:rPr>
      </w:pPr>
      <w:r w:rsidRPr="00645EC2">
        <w:rPr>
          <w:color w:val="000000"/>
        </w:rPr>
        <w:t>Honorable Senado de la Nación, 15° Reunión - Sesión especial, 26 de abril de 2000.</w:t>
      </w:r>
    </w:p>
    <w:p w:rsidR="00645EC2" w:rsidRPr="00645EC2" w:rsidRDefault="00645EC2" w:rsidP="00645EC2">
      <w:pPr>
        <w:pStyle w:val="NormalWeb"/>
        <w:spacing w:line="360" w:lineRule="auto"/>
        <w:ind w:left="480" w:hanging="480"/>
        <w:rPr>
          <w:color w:val="000000"/>
        </w:rPr>
      </w:pPr>
      <w:r w:rsidRPr="00645EC2">
        <w:rPr>
          <w:color w:val="000000"/>
        </w:rPr>
        <w:t>Honorable Cámara de Diputados de la Nación, 8° Reunión - 5° Sesión ordinaria (especial), 3 de mayo de 2000.</w:t>
      </w:r>
    </w:p>
    <w:p w:rsidR="00645EC2" w:rsidRPr="00645EC2" w:rsidRDefault="00645EC2" w:rsidP="00645EC2">
      <w:pPr>
        <w:pStyle w:val="NormalWeb"/>
        <w:spacing w:line="360" w:lineRule="auto"/>
        <w:ind w:left="480" w:hanging="480"/>
        <w:rPr>
          <w:color w:val="000000"/>
        </w:rPr>
      </w:pPr>
      <w:r w:rsidRPr="00645EC2">
        <w:rPr>
          <w:color w:val="000000"/>
        </w:rPr>
        <w:lastRenderedPageBreak/>
        <w:t>Honorable Cámara de Diputados de la Nación, 12° Reunión - 7° Sesión ordinaria, 11 de mayo de 2000.</w:t>
      </w:r>
    </w:p>
    <w:p w:rsidR="00645EC2" w:rsidRPr="00645EC2" w:rsidRDefault="00645EC2" w:rsidP="00645EC2">
      <w:pPr>
        <w:pStyle w:val="NormalWeb"/>
        <w:spacing w:line="360" w:lineRule="auto"/>
        <w:ind w:left="480" w:hanging="480"/>
        <w:rPr>
          <w:color w:val="000000"/>
        </w:rPr>
      </w:pPr>
      <w:r w:rsidRPr="00645EC2">
        <w:rPr>
          <w:color w:val="000000"/>
        </w:rPr>
        <w:t>Honorable Cámara de Diputados de la Nación, 19° Reunión - 10° Sesión ordinaria, 29 de junio de 2000.</w:t>
      </w:r>
    </w:p>
    <w:p w:rsidR="00645EC2" w:rsidRPr="00645EC2" w:rsidRDefault="00645EC2" w:rsidP="00645EC2">
      <w:pPr>
        <w:pStyle w:val="NormalWeb"/>
        <w:spacing w:line="360" w:lineRule="auto"/>
        <w:ind w:left="480" w:hanging="480"/>
        <w:rPr>
          <w:color w:val="000000"/>
        </w:rPr>
      </w:pPr>
      <w:r w:rsidRPr="00645EC2">
        <w:rPr>
          <w:color w:val="000000"/>
        </w:rPr>
        <w:t>Honorable Cámara de Diputados de la Nación, Reunión No. 1 - 1° Sesión ordinaria (especial) 2 de marzo de 2004.</w:t>
      </w:r>
    </w:p>
    <w:p w:rsidR="00645EC2" w:rsidRPr="00645EC2" w:rsidRDefault="00645EC2" w:rsidP="00645EC2">
      <w:pPr>
        <w:pStyle w:val="NormalWeb"/>
        <w:spacing w:line="360" w:lineRule="auto"/>
        <w:ind w:left="480" w:hanging="480"/>
        <w:rPr>
          <w:color w:val="000000"/>
        </w:rPr>
      </w:pPr>
      <w:r w:rsidRPr="00645EC2">
        <w:rPr>
          <w:color w:val="000000"/>
        </w:rPr>
        <w:t xml:space="preserve">Poder Ejecutivo Nacional, Decreto 608/03 sobre fundamentos de </w:t>
      </w:r>
      <w:r w:rsidRPr="00645EC2">
        <w:t>proyecto de ley de ordenamiento laboral</w:t>
      </w:r>
      <w:r w:rsidRPr="00645EC2">
        <w:rPr>
          <w:color w:val="000000"/>
        </w:rPr>
        <w:t xml:space="preserve"> publicado el 11 de febrero de 2004.</w:t>
      </w:r>
    </w:p>
    <w:p w:rsidR="00645EC2" w:rsidRPr="00645EC2" w:rsidRDefault="00645EC2" w:rsidP="00645EC2">
      <w:pPr>
        <w:pStyle w:val="NormalWeb"/>
        <w:spacing w:line="360" w:lineRule="auto"/>
        <w:ind w:left="480" w:hanging="480"/>
        <w:rPr>
          <w:color w:val="000000"/>
        </w:rPr>
      </w:pPr>
      <w:r w:rsidRPr="00645EC2">
        <w:rPr>
          <w:color w:val="000000"/>
        </w:rPr>
        <w:t xml:space="preserve">Honorable Senado de la Nación, 43° Reunión - 1° Sesión ordinaria, 24 de febrero de 2004.  </w:t>
      </w:r>
    </w:p>
    <w:p w:rsidR="00645EC2" w:rsidRPr="00645EC2" w:rsidRDefault="00645EC2" w:rsidP="00645EC2">
      <w:pPr>
        <w:tabs>
          <w:tab w:val="left" w:pos="284"/>
        </w:tabs>
        <w:spacing w:line="360" w:lineRule="auto"/>
        <w:contextualSpacing/>
        <w:jc w:val="both"/>
        <w:rPr>
          <w:rFonts w:ascii="Times New Roman" w:hAnsi="Times New Roman" w:cs="Times New Roman"/>
          <w:b/>
          <w:color w:val="000000"/>
          <w:sz w:val="24"/>
          <w:szCs w:val="24"/>
        </w:rPr>
      </w:pPr>
    </w:p>
    <w:p w:rsidR="00645EC2" w:rsidRPr="00EB60A0" w:rsidRDefault="00645EC2" w:rsidP="00645EC2">
      <w:pPr>
        <w:tabs>
          <w:tab w:val="left" w:pos="284"/>
        </w:tabs>
        <w:spacing w:line="360" w:lineRule="auto"/>
        <w:contextualSpacing/>
        <w:jc w:val="both"/>
        <w:rPr>
          <w:rFonts w:ascii="Times New Roman" w:hAnsi="Times New Roman" w:cs="Times New Roman"/>
          <w:b/>
          <w:smallCaps/>
          <w:color w:val="000000"/>
          <w:sz w:val="24"/>
          <w:szCs w:val="24"/>
        </w:rPr>
      </w:pPr>
      <w:r w:rsidRPr="00645EC2">
        <w:rPr>
          <w:rFonts w:ascii="Times New Roman" w:hAnsi="Times New Roman" w:cs="Times New Roman"/>
          <w:b/>
          <w:smallCaps/>
          <w:color w:val="000000"/>
          <w:sz w:val="24"/>
          <w:szCs w:val="24"/>
        </w:rPr>
        <w:t>Artículos de prensa escrita</w:t>
      </w:r>
    </w:p>
    <w:p w:rsidR="00645EC2" w:rsidRPr="00645EC2" w:rsidRDefault="00645EC2" w:rsidP="00645EC2">
      <w:pPr>
        <w:tabs>
          <w:tab w:val="left" w:pos="284"/>
        </w:tabs>
        <w:spacing w:line="360" w:lineRule="auto"/>
        <w:contextualSpacing/>
        <w:jc w:val="both"/>
        <w:rPr>
          <w:rFonts w:ascii="Times New Roman" w:hAnsi="Times New Roman" w:cs="Times New Roman"/>
          <w:color w:val="000000"/>
          <w:sz w:val="24"/>
          <w:szCs w:val="24"/>
        </w:rPr>
      </w:pPr>
      <w:r w:rsidRPr="00645EC2">
        <w:rPr>
          <w:rFonts w:ascii="Times New Roman" w:hAnsi="Times New Roman" w:cs="Times New Roman"/>
          <w:color w:val="000000"/>
          <w:sz w:val="24"/>
          <w:szCs w:val="24"/>
        </w:rPr>
        <w:t>La Nación 14/02/1999, 23/02/1999, 31/03/1999, 11/05/1999, 30/05/1999, 12/06/1999, 22/06/1999, 05/11/1999, 6/11/1999, 12/12/1999, 23/01/2000, 4/02/2000, 23/02/1999, 6/04/2000, 18/01/2004, 24/01/2004, 6/02/2004, 11/02/2004, 17/02/2004, 18/02/2004, 26/02/2004, 7/03/2004.</w:t>
      </w:r>
    </w:p>
    <w:p w:rsidR="00EB60A0" w:rsidRDefault="00EB60A0" w:rsidP="00323CE1">
      <w:pPr>
        <w:spacing w:after="120" w:line="360" w:lineRule="auto"/>
        <w:rPr>
          <w:rFonts w:ascii="Times New Roman" w:hAnsi="Times New Roman"/>
          <w:sz w:val="24"/>
        </w:rPr>
      </w:pPr>
    </w:p>
    <w:p w:rsidR="00EB60A0" w:rsidRPr="00323CE1" w:rsidRDefault="00EB60A0" w:rsidP="00323CE1">
      <w:pPr>
        <w:spacing w:after="120" w:line="360" w:lineRule="auto"/>
        <w:rPr>
          <w:rFonts w:ascii="Times New Roman" w:hAnsi="Times New Roman"/>
          <w:sz w:val="24"/>
        </w:rPr>
      </w:pPr>
    </w:p>
    <w:sectPr w:rsidR="00EB60A0" w:rsidRPr="00323CE1" w:rsidSect="00072A6C">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8F" w:rsidRDefault="00E24E8F" w:rsidP="00645EC2">
      <w:pPr>
        <w:spacing w:after="0" w:line="240" w:lineRule="auto"/>
      </w:pPr>
      <w:r>
        <w:separator/>
      </w:r>
    </w:p>
  </w:endnote>
  <w:endnote w:type="continuationSeparator" w:id="0">
    <w:p w:rsidR="00E24E8F" w:rsidRDefault="00E24E8F" w:rsidP="0064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8F" w:rsidRDefault="00E24E8F" w:rsidP="00645EC2">
      <w:pPr>
        <w:spacing w:after="0" w:line="240" w:lineRule="auto"/>
      </w:pPr>
      <w:r>
        <w:separator/>
      </w:r>
    </w:p>
  </w:footnote>
  <w:footnote w:type="continuationSeparator" w:id="0">
    <w:p w:rsidR="00E24E8F" w:rsidRDefault="00E24E8F" w:rsidP="00645EC2">
      <w:pPr>
        <w:spacing w:after="0" w:line="240" w:lineRule="auto"/>
      </w:pPr>
      <w:r>
        <w:continuationSeparator/>
      </w:r>
    </w:p>
  </w:footnote>
  <w:footnote w:id="1">
    <w:p w:rsidR="00645EC2" w:rsidRPr="0071532A" w:rsidRDefault="00645EC2" w:rsidP="00645EC2">
      <w:pPr>
        <w:pStyle w:val="FootnoteText"/>
        <w:rPr>
          <w:rFonts w:ascii="Times New Roman" w:hAnsi="Times New Roman" w:cs="Times New Roman"/>
        </w:rPr>
      </w:pPr>
      <w:r w:rsidRPr="0071532A">
        <w:rPr>
          <w:rStyle w:val="FootnoteReference"/>
          <w:rFonts w:ascii="Times New Roman" w:hAnsi="Times New Roman" w:cs="Times New Roman"/>
        </w:rPr>
        <w:footnoteRef/>
      </w:r>
      <w:r w:rsidRPr="0071532A">
        <w:rPr>
          <w:rFonts w:ascii="Times New Roman" w:hAnsi="Times New Roman" w:cs="Times New Roman"/>
        </w:rPr>
        <w:t xml:space="preserve"> En la exposición de la propuesta de la nueva economía institucional y la economía política institucional sigo, en líneas generales, el artículo de </w:t>
      </w:r>
      <w:r w:rsidRPr="0071532A">
        <w:rPr>
          <w:rFonts w:ascii="Times New Roman" w:hAnsi="Times New Roman" w:cs="Times New Roman"/>
        </w:rPr>
        <w:fldChar w:fldCharType="begin" w:fldLock="1"/>
      </w:r>
      <w:r w:rsidR="00EB60A0">
        <w:rPr>
          <w:rFonts w:ascii="Times New Roman" w:hAnsi="Times New Roman" w:cs="Times New Roman"/>
        </w:rPr>
        <w:instrText>ADDIN CSL_CITATION { "citationItems" : [ { "id" : "ITEM-1", "itemData" : { "DOI" : "10.2753/JEI0021-3624460405", "ISBN" : "0021-3624", "ISSN" : "0021-3624", "abstract" : "The recent publication of \"Institutions and Economic Development: Theory, Policy and History\" (Chang 2011a) has stimulated a thought-provoking debate, and has brought forth a wide-ranging demonstration of the theoretical arsenal of the new institutional economics. The debate proves that, as of yet, no satisfactory theory of institutions has been articulated, nor is there an agreement on the relationship between institutional change and the politics of development, It also demonstrates the presence of two distinct lines of research: ideological and political, both of which rely on different theoretical legacies, and embody distinct economic worldviews. This scenario allows a summary of the argument in the most recent literature to be made on the relationship between institutions and development, as well as to relate the debate to the concept of development as a process of expansion of capacities.", "author" : [ { "dropping-particle" : "", "family" : "L\u00f3pez Castellano", "given" : "Fernando", "non-dropping-particle" : "", "parse-names" : false, "suffix" : "" }, { "dropping-particle" : "", "family" : "Garc\u00eda-Quero", "given" : "Fernando", "non-dropping-particle" : "", "parse-names" : false, "suffix" : "" } ], "container-title" : "Journal of Economic Issues", "id" : "ITEM-1", "issue" : "4", "issued" : { "date-parts" : [ [ "2012" ] ] }, "page" : "921-940", "title" : "Institutional Approaches to Economic Development: The Current Status of the Debate", "type" : "article-journal", "volume" : "46" }, "uris" : [ "http://www.mendeley.com/documents/?uuid=2447eabd-dd1d-45ce-be68-54b15391296c" ] } ], "mendeley" : { "formattedCitation" : "(L\u00f3pez Castellano &amp; Garc\u00eda-Quero, 2012)", "manualFormatting" : "L\u00f3pez Castellano &amp; Garc\u00eda-Quero (2012)", "plainTextFormattedCitation" : "(L\u00f3pez Castellano &amp; Garc\u00eda-Quero, 2012)", "previouslyFormattedCitation" : "(L\u00f3pez Castellano &amp; Garc\u00eda-Quero, 2012)" }, "properties" : { "noteIndex" : 0 }, "schema" : "https://github.com/citation-style-language/schema/raw/master/csl-citation.json" }</w:instrText>
      </w:r>
      <w:r w:rsidRPr="0071532A">
        <w:rPr>
          <w:rFonts w:ascii="Times New Roman" w:hAnsi="Times New Roman" w:cs="Times New Roman"/>
        </w:rPr>
        <w:fldChar w:fldCharType="separate"/>
      </w:r>
      <w:r w:rsidRPr="0071532A">
        <w:rPr>
          <w:rFonts w:ascii="Times New Roman" w:hAnsi="Times New Roman" w:cs="Times New Roman"/>
          <w:noProof/>
        </w:rPr>
        <w:t>López Castellano &amp; García-Quero (2012)</w:t>
      </w:r>
      <w:r w:rsidRPr="0071532A">
        <w:rPr>
          <w:rFonts w:ascii="Times New Roman" w:hAnsi="Times New Roman" w:cs="Times New Roman"/>
        </w:rPr>
        <w:fldChar w:fldCharType="end"/>
      </w:r>
      <w:r w:rsidRPr="0071532A">
        <w:rPr>
          <w:rFonts w:ascii="Times New Roman" w:hAnsi="Times New Roman" w:cs="Times New Roman"/>
        </w:rPr>
        <w:t>.</w:t>
      </w:r>
    </w:p>
  </w:footnote>
  <w:footnote w:id="2">
    <w:p w:rsidR="00645EC2" w:rsidRDefault="00645EC2" w:rsidP="00645EC2">
      <w:pPr>
        <w:pStyle w:val="FootnoteText"/>
        <w:jc w:val="both"/>
      </w:pPr>
      <w:r w:rsidRPr="00227228">
        <w:rPr>
          <w:rFonts w:ascii="Times New Roman" w:hAnsi="Times New Roman" w:cs="Times New Roman"/>
        </w:rPr>
        <w:footnoteRef/>
      </w:r>
      <w:r w:rsidRPr="00227228">
        <w:rPr>
          <w:rFonts w:ascii="Times New Roman" w:hAnsi="Times New Roman" w:cs="Times New Roman"/>
        </w:rPr>
        <w:t xml:space="preserve"> La ley 25.013 de 1998 </w:t>
      </w:r>
      <w:r>
        <w:rPr>
          <w:rFonts w:ascii="Times New Roman" w:hAnsi="Times New Roman" w:cs="Times New Roman"/>
        </w:rPr>
        <w:t>fijó</w:t>
      </w:r>
      <w:r w:rsidRPr="00227228">
        <w:rPr>
          <w:rFonts w:ascii="Times New Roman" w:hAnsi="Times New Roman" w:cs="Times New Roman"/>
        </w:rPr>
        <w:t xml:space="preserve"> las indemnizaciones por despido </w:t>
      </w:r>
      <w:r>
        <w:rPr>
          <w:rFonts w:ascii="Times New Roman" w:hAnsi="Times New Roman" w:cs="Times New Roman"/>
        </w:rPr>
        <w:t>en</w:t>
      </w:r>
      <w:r w:rsidRPr="00227228">
        <w:rPr>
          <w:rFonts w:ascii="Times New Roman" w:hAnsi="Times New Roman" w:cs="Times New Roman"/>
        </w:rPr>
        <w:t xml:space="preserve"> un mes de sueldo.</w:t>
      </w:r>
    </w:p>
  </w:footnote>
  <w:footnote w:id="3">
    <w:p w:rsidR="00645EC2" w:rsidRPr="009D06A5" w:rsidRDefault="00645EC2" w:rsidP="00645EC2">
      <w:pPr>
        <w:pStyle w:val="FootnoteText"/>
        <w:jc w:val="both"/>
        <w:rPr>
          <w:rFonts w:ascii="Times New Roman" w:hAnsi="Times New Roman" w:cs="Times New Roman"/>
        </w:rPr>
      </w:pPr>
      <w:r w:rsidRPr="009D06A5">
        <w:rPr>
          <w:rStyle w:val="FootnoteReference"/>
          <w:rFonts w:ascii="Times New Roman" w:hAnsi="Times New Roman" w:cs="Times New Roman"/>
        </w:rPr>
        <w:footnoteRef/>
      </w:r>
      <w:r w:rsidRPr="009D06A5">
        <w:rPr>
          <w:rFonts w:ascii="Times New Roman" w:hAnsi="Times New Roman" w:cs="Times New Roman"/>
        </w:rPr>
        <w:t xml:space="preserve"> La ley 25.561 de Emergencia Pública y de Reforma del Régimen Cambiario sancionada en enero de 2002 estableció en el artículo 16° la doble indemnización por despido. Los Decretos N° 883/02, N° 662 /03, N° 256/03, N° 1351/03 y la ley 25.820 prorrogaron el plazo de vigencia de las disposiciones contenidas en aquél artículo. Por otro lado, la Ley 25.972 sancionada en diciembre de 2004 en el artículo 4° estableció la vigencia de la doble indemnización “</w:t>
      </w:r>
      <w:r w:rsidRPr="009D06A5">
        <w:rPr>
          <w:rFonts w:ascii="Times New Roman" w:hAnsi="Times New Roman" w:cs="Times New Roman"/>
          <w:i/>
        </w:rPr>
        <w:t>hasta que la tasa de desocupación elaborada por el Instituto Nacional de Estadística y Censo (INDEC) resulte inferior al DIEZ POR CIENTO (10%).</w:t>
      </w:r>
      <w:r w:rsidRPr="009D06A5">
        <w:rPr>
          <w:rFonts w:ascii="Times New Roman" w:hAnsi="Times New Roman" w:cs="Times New Roman"/>
        </w:rPr>
        <w:t>”.</w:t>
      </w:r>
      <w:r>
        <w:rPr>
          <w:rFonts w:ascii="Times New Roman" w:hAnsi="Times New Roman" w:cs="Times New Roman"/>
        </w:rPr>
        <w:t xml:space="preserve"> </w:t>
      </w:r>
      <w:r w:rsidRPr="009D06A5">
        <w:rPr>
          <w:rFonts w:ascii="Times New Roman" w:hAnsi="Times New Roman" w:cs="Times New Roman"/>
        </w:rPr>
        <w:t>El decreto 823/04 dispuso que la magnitud cuantitativa del agravamiento se reduzca a un 80% (antes era del 100%) y el decreto 1433/05 lo redujo a un 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E1"/>
    <w:rsid w:val="0006494A"/>
    <w:rsid w:val="00072A6C"/>
    <w:rsid w:val="001130B6"/>
    <w:rsid w:val="00154E94"/>
    <w:rsid w:val="001B7C77"/>
    <w:rsid w:val="002912E0"/>
    <w:rsid w:val="00323CE1"/>
    <w:rsid w:val="00382C04"/>
    <w:rsid w:val="003C058D"/>
    <w:rsid w:val="00410CC0"/>
    <w:rsid w:val="0048626A"/>
    <w:rsid w:val="004E04D2"/>
    <w:rsid w:val="0055665E"/>
    <w:rsid w:val="005F7D38"/>
    <w:rsid w:val="00645EC2"/>
    <w:rsid w:val="00647587"/>
    <w:rsid w:val="00662EB4"/>
    <w:rsid w:val="00685F7B"/>
    <w:rsid w:val="00686A1E"/>
    <w:rsid w:val="00746605"/>
    <w:rsid w:val="00753D81"/>
    <w:rsid w:val="00764D09"/>
    <w:rsid w:val="008779C0"/>
    <w:rsid w:val="008B1719"/>
    <w:rsid w:val="00A3037E"/>
    <w:rsid w:val="00AC5B41"/>
    <w:rsid w:val="00AE1DF6"/>
    <w:rsid w:val="00C83769"/>
    <w:rsid w:val="00CE4A14"/>
    <w:rsid w:val="00DC232D"/>
    <w:rsid w:val="00E058C1"/>
    <w:rsid w:val="00E24E8F"/>
    <w:rsid w:val="00E57A95"/>
    <w:rsid w:val="00EB60A0"/>
    <w:rsid w:val="00FD2DDC"/>
    <w:rsid w:val="00FD3B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6834"/>
  <w15:chartTrackingRefBased/>
  <w15:docId w15:val="{BC8B7949-0F6E-4690-AFE5-7FCE5E9F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CE1"/>
    <w:rPr>
      <w:color w:val="0563C1" w:themeColor="hyperlink"/>
      <w:u w:val="single"/>
    </w:rPr>
  </w:style>
  <w:style w:type="character" w:styleId="UnresolvedMention">
    <w:name w:val="Unresolved Mention"/>
    <w:basedOn w:val="DefaultParagraphFont"/>
    <w:uiPriority w:val="99"/>
    <w:semiHidden/>
    <w:unhideWhenUsed/>
    <w:rsid w:val="00323CE1"/>
    <w:rPr>
      <w:color w:val="808080"/>
      <w:shd w:val="clear" w:color="auto" w:fill="E6E6E6"/>
    </w:rPr>
  </w:style>
  <w:style w:type="paragraph" w:styleId="Header">
    <w:name w:val="header"/>
    <w:basedOn w:val="Normal"/>
    <w:link w:val="HeaderChar"/>
    <w:uiPriority w:val="99"/>
    <w:unhideWhenUsed/>
    <w:rsid w:val="0064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C2"/>
  </w:style>
  <w:style w:type="paragraph" w:styleId="Footer">
    <w:name w:val="footer"/>
    <w:basedOn w:val="Normal"/>
    <w:link w:val="FooterChar"/>
    <w:uiPriority w:val="99"/>
    <w:unhideWhenUsed/>
    <w:rsid w:val="0064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C2"/>
  </w:style>
  <w:style w:type="paragraph" w:styleId="BalloonText">
    <w:name w:val="Balloon Text"/>
    <w:basedOn w:val="Normal"/>
    <w:link w:val="BalloonTextChar"/>
    <w:uiPriority w:val="99"/>
    <w:semiHidden/>
    <w:unhideWhenUsed/>
    <w:rsid w:val="0064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C2"/>
    <w:rPr>
      <w:rFonts w:ascii="Tahoma" w:hAnsi="Tahoma" w:cs="Tahoma"/>
      <w:sz w:val="16"/>
      <w:szCs w:val="16"/>
    </w:rPr>
  </w:style>
  <w:style w:type="paragraph" w:styleId="FootnoteText">
    <w:name w:val="footnote text"/>
    <w:basedOn w:val="Normal"/>
    <w:link w:val="FootnoteTextChar"/>
    <w:uiPriority w:val="99"/>
    <w:semiHidden/>
    <w:unhideWhenUsed/>
    <w:rsid w:val="00645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EC2"/>
    <w:rPr>
      <w:sz w:val="20"/>
      <w:szCs w:val="20"/>
    </w:rPr>
  </w:style>
  <w:style w:type="character" w:styleId="FootnoteReference">
    <w:name w:val="footnote reference"/>
    <w:basedOn w:val="DefaultParagraphFont"/>
    <w:uiPriority w:val="99"/>
    <w:semiHidden/>
    <w:unhideWhenUsed/>
    <w:rsid w:val="00645EC2"/>
    <w:rPr>
      <w:vertAlign w:val="superscript"/>
    </w:rPr>
  </w:style>
  <w:style w:type="paragraph" w:styleId="NormalWeb">
    <w:name w:val="Normal (Web)"/>
    <w:basedOn w:val="Normal"/>
    <w:uiPriority w:val="99"/>
    <w:unhideWhenUsed/>
    <w:rsid w:val="00645EC2"/>
    <w:pPr>
      <w:spacing w:before="100" w:beforeAutospacing="1" w:after="100" w:afterAutospacing="1" w:line="240" w:lineRule="auto"/>
    </w:pPr>
    <w:rPr>
      <w:rFonts w:ascii="Times New Roman" w:eastAsiaTheme="minorEastAsia"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84FA-19DA-4190-8979-49435A32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20729</Words>
  <Characters>114014</Characters>
  <Application>Microsoft Office Word</Application>
  <DocSecurity>0</DocSecurity>
  <Lines>950</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c:creator>
  <cp:keywords/>
  <dc:description/>
  <cp:lastModifiedBy>Gon</cp:lastModifiedBy>
  <cp:revision>3</cp:revision>
  <dcterms:created xsi:type="dcterms:W3CDTF">2017-08-21T19:21:00Z</dcterms:created>
  <dcterms:modified xsi:type="dcterms:W3CDTF">2017-08-21T19:31:00Z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24e9c281-09f5-3fbb-a0cb-d8b5bf370912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http://www.zotero.org/styles/oxford-university-press-humsoc</vt:lpwstr>
  </property>
  <property fmtid="{D5CDD505-2E9C-101B-9397-08002B2CF9AE}" pid="24" name="Mendeley Recent Style Name 9_1">
    <vt:lpwstr>Oxford University Press HUMSOC</vt:lpwstr>
  </property>
</Properties>
</file>